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60052" w14:textId="08E083E0" w:rsidR="00855761" w:rsidRDefault="00855761" w:rsidP="00957453">
      <w:pPr>
        <w:pStyle w:val="Heading1"/>
      </w:pPr>
    </w:p>
    <w:p w14:paraId="50D6DFA1" w14:textId="15C0146C" w:rsidR="00145B45" w:rsidRPr="00415117" w:rsidRDefault="00145B45" w:rsidP="001E043C">
      <w:pPr>
        <w:spacing w:after="0" w:line="240" w:lineRule="auto"/>
        <w:rPr>
          <w:rFonts w:ascii="Verdana" w:hAnsi="Verdana"/>
          <w:b/>
          <w:bCs/>
          <w:color w:val="7030A0"/>
          <w:sz w:val="56"/>
          <w:szCs w:val="56"/>
        </w:rPr>
      </w:pPr>
    </w:p>
    <w:p w14:paraId="082F6E71" w14:textId="51FDDBCE" w:rsidR="00D35F66" w:rsidRDefault="00D35F66" w:rsidP="00415117">
      <w:pPr>
        <w:spacing w:after="0" w:line="240" w:lineRule="auto"/>
        <w:jc w:val="center"/>
        <w:rPr>
          <w:rFonts w:ascii="Verdana" w:hAnsi="Verdana"/>
          <w:b/>
          <w:color w:val="7030A0"/>
          <w:sz w:val="56"/>
          <w:szCs w:val="56"/>
        </w:rPr>
      </w:pPr>
    </w:p>
    <w:p w14:paraId="3AD7B328" w14:textId="77777777" w:rsidR="009A5BD4" w:rsidRPr="00A51927" w:rsidRDefault="009A5BD4" w:rsidP="009A5BD4">
      <w:pPr>
        <w:spacing w:after="0" w:line="240" w:lineRule="auto"/>
        <w:jc w:val="center"/>
        <w:rPr>
          <w:rFonts w:ascii="Arial" w:hAnsi="Arial" w:cs="Arial"/>
          <w:b/>
          <w:color w:val="D26EA3"/>
          <w:sz w:val="56"/>
          <w:szCs w:val="56"/>
        </w:rPr>
      </w:pPr>
      <w:r w:rsidRPr="00A51927">
        <w:rPr>
          <w:rFonts w:ascii="Arial" w:hAnsi="Arial" w:cs="Arial"/>
          <w:b/>
          <w:color w:val="D26EA3"/>
          <w:sz w:val="56"/>
          <w:szCs w:val="56"/>
        </w:rPr>
        <w:t>Aberdeen City</w:t>
      </w:r>
    </w:p>
    <w:p w14:paraId="0000E1C6" w14:textId="77777777" w:rsidR="009A5BD4" w:rsidRPr="00A51927" w:rsidRDefault="009A5BD4" w:rsidP="009A5BD4">
      <w:pPr>
        <w:spacing w:after="0" w:line="240" w:lineRule="auto"/>
        <w:jc w:val="center"/>
        <w:rPr>
          <w:rFonts w:ascii="Arial" w:hAnsi="Arial" w:cs="Arial"/>
          <w:b/>
          <w:color w:val="D26EA3"/>
          <w:sz w:val="56"/>
          <w:szCs w:val="56"/>
        </w:rPr>
      </w:pPr>
      <w:r w:rsidRPr="00A51927">
        <w:rPr>
          <w:rFonts w:ascii="Arial" w:hAnsi="Arial" w:cs="Arial"/>
          <w:b/>
          <w:color w:val="D26EA3"/>
          <w:sz w:val="56"/>
          <w:szCs w:val="56"/>
        </w:rPr>
        <w:t>Integration Joint Board</w:t>
      </w:r>
    </w:p>
    <w:p w14:paraId="12B3D39F" w14:textId="77777777" w:rsidR="00A94178" w:rsidRPr="00A51927" w:rsidRDefault="00A94178" w:rsidP="009A5BD4">
      <w:pPr>
        <w:spacing w:after="0" w:line="240" w:lineRule="auto"/>
        <w:jc w:val="center"/>
        <w:rPr>
          <w:rFonts w:ascii="Arial" w:hAnsi="Arial" w:cs="Arial"/>
          <w:b/>
          <w:sz w:val="56"/>
          <w:szCs w:val="56"/>
        </w:rPr>
      </w:pPr>
    </w:p>
    <w:p w14:paraId="3CE20D0C" w14:textId="42D9DFD5" w:rsidR="009A5BD4" w:rsidRPr="00A51927" w:rsidRDefault="009A5BD4" w:rsidP="001E043C">
      <w:pPr>
        <w:spacing w:after="0" w:line="240" w:lineRule="auto"/>
        <w:rPr>
          <w:rFonts w:ascii="Arial" w:hAnsi="Arial" w:cs="Arial"/>
          <w:b/>
          <w:sz w:val="56"/>
          <w:szCs w:val="56"/>
        </w:rPr>
      </w:pPr>
    </w:p>
    <w:p w14:paraId="2BB3D3A0" w14:textId="075C9950" w:rsidR="00B928FA" w:rsidRPr="00A51927" w:rsidRDefault="009A5BD4" w:rsidP="009A5BD4">
      <w:pPr>
        <w:spacing w:after="0" w:line="240" w:lineRule="auto"/>
        <w:jc w:val="center"/>
        <w:rPr>
          <w:rFonts w:ascii="Arial" w:hAnsi="Arial" w:cs="Arial"/>
          <w:b/>
          <w:color w:val="EE0000"/>
          <w:sz w:val="40"/>
          <w:szCs w:val="40"/>
        </w:rPr>
      </w:pPr>
      <w:r w:rsidRPr="00A51927">
        <w:rPr>
          <w:rFonts w:ascii="Arial" w:hAnsi="Arial" w:cs="Arial"/>
          <w:b/>
          <w:sz w:val="56"/>
          <w:szCs w:val="56"/>
        </w:rPr>
        <w:t xml:space="preserve">Annual Accounts </w:t>
      </w:r>
      <w:r w:rsidR="007C0A78" w:rsidRPr="00A51927">
        <w:rPr>
          <w:rFonts w:ascii="Arial" w:hAnsi="Arial" w:cs="Arial"/>
          <w:b/>
          <w:sz w:val="56"/>
          <w:szCs w:val="56"/>
        </w:rPr>
        <w:t>202</w:t>
      </w:r>
      <w:r w:rsidR="002718D8" w:rsidRPr="00A51927">
        <w:rPr>
          <w:rFonts w:ascii="Arial" w:hAnsi="Arial" w:cs="Arial"/>
          <w:b/>
          <w:sz w:val="56"/>
          <w:szCs w:val="56"/>
        </w:rPr>
        <w:t>5/26</w:t>
      </w:r>
    </w:p>
    <w:p w14:paraId="2A112647" w14:textId="38A1A779" w:rsidR="00145B45" w:rsidRPr="00A45A59" w:rsidRDefault="00145B45" w:rsidP="00957453">
      <w:pPr>
        <w:spacing w:after="0" w:line="240" w:lineRule="auto"/>
        <w:rPr>
          <w:rFonts w:ascii="Verdana" w:hAnsi="Verdana"/>
          <w:sz w:val="72"/>
          <w:szCs w:val="20"/>
          <w:highlight w:val="yellow"/>
        </w:rPr>
      </w:pPr>
    </w:p>
    <w:p w14:paraId="72028EA7" w14:textId="63026148" w:rsidR="00070015" w:rsidRPr="00A45A59" w:rsidRDefault="00070015" w:rsidP="00957453">
      <w:pPr>
        <w:spacing w:after="0" w:line="240" w:lineRule="auto"/>
        <w:rPr>
          <w:rFonts w:ascii="Verdana" w:hAnsi="Verdana"/>
          <w:sz w:val="24"/>
          <w:szCs w:val="20"/>
          <w:highlight w:val="yellow"/>
        </w:rPr>
      </w:pPr>
    </w:p>
    <w:p w14:paraId="7312AB4B" w14:textId="79E31A14" w:rsidR="00070015" w:rsidRPr="00A45A59" w:rsidRDefault="00070015" w:rsidP="00957453">
      <w:pPr>
        <w:spacing w:after="0" w:line="240" w:lineRule="auto"/>
        <w:rPr>
          <w:rFonts w:ascii="Verdana" w:hAnsi="Verdana"/>
          <w:sz w:val="20"/>
          <w:szCs w:val="20"/>
          <w:highlight w:val="yellow"/>
        </w:rPr>
      </w:pPr>
    </w:p>
    <w:p w14:paraId="2E4250FC" w14:textId="72AE5A6D" w:rsidR="00070015" w:rsidRPr="00A45A59" w:rsidRDefault="00070015" w:rsidP="00957453">
      <w:pPr>
        <w:spacing w:after="0" w:line="240" w:lineRule="auto"/>
        <w:rPr>
          <w:rFonts w:ascii="Verdana" w:hAnsi="Verdana"/>
          <w:sz w:val="20"/>
          <w:szCs w:val="20"/>
          <w:highlight w:val="yellow"/>
        </w:rPr>
      </w:pPr>
    </w:p>
    <w:p w14:paraId="4129AD63" w14:textId="77777777" w:rsidR="00070015" w:rsidRPr="00A45A59" w:rsidRDefault="00070015" w:rsidP="00957453">
      <w:pPr>
        <w:spacing w:after="0" w:line="240" w:lineRule="auto"/>
        <w:rPr>
          <w:rFonts w:ascii="Verdana" w:hAnsi="Verdana"/>
          <w:sz w:val="20"/>
          <w:szCs w:val="20"/>
          <w:highlight w:val="yellow"/>
        </w:rPr>
      </w:pPr>
    </w:p>
    <w:p w14:paraId="3FEF465B" w14:textId="77777777" w:rsidR="00A840CF" w:rsidRPr="00A45A59" w:rsidRDefault="00A840CF" w:rsidP="00A70E87">
      <w:pPr>
        <w:widowControl w:val="0"/>
        <w:overflowPunct w:val="0"/>
        <w:autoSpaceDE w:val="0"/>
        <w:autoSpaceDN w:val="0"/>
        <w:adjustRightInd w:val="0"/>
        <w:spacing w:after="0" w:line="240" w:lineRule="auto"/>
        <w:ind w:right="29"/>
        <w:jc w:val="both"/>
        <w:textAlignment w:val="baseline"/>
        <w:rPr>
          <w:rFonts w:ascii="Verdana" w:eastAsia="Times New Roman" w:hAnsi="Verdana"/>
          <w:sz w:val="20"/>
          <w:szCs w:val="20"/>
          <w:highlight w:val="yellow"/>
        </w:rPr>
      </w:pPr>
    </w:p>
    <w:p w14:paraId="1FE3D371" w14:textId="7BCA9725" w:rsidR="009F4415" w:rsidRPr="00A45A59" w:rsidRDefault="009F4415" w:rsidP="00A70E87">
      <w:pPr>
        <w:widowControl w:val="0"/>
        <w:overflowPunct w:val="0"/>
        <w:autoSpaceDE w:val="0"/>
        <w:autoSpaceDN w:val="0"/>
        <w:adjustRightInd w:val="0"/>
        <w:spacing w:after="0" w:line="240" w:lineRule="auto"/>
        <w:ind w:right="29"/>
        <w:jc w:val="both"/>
        <w:textAlignment w:val="baseline"/>
        <w:rPr>
          <w:rFonts w:ascii="Verdana" w:eastAsia="Times New Roman" w:hAnsi="Verdana"/>
          <w:sz w:val="20"/>
          <w:szCs w:val="20"/>
          <w:highlight w:val="yellow"/>
        </w:rPr>
      </w:pPr>
    </w:p>
    <w:p w14:paraId="43811639" w14:textId="0D50660F" w:rsidR="00C15343" w:rsidRPr="00A45A59" w:rsidRDefault="009A5BD4" w:rsidP="00A70E87">
      <w:pPr>
        <w:widowControl w:val="0"/>
        <w:suppressAutoHyphens/>
        <w:overflowPunct w:val="0"/>
        <w:autoSpaceDE w:val="0"/>
        <w:autoSpaceDN w:val="0"/>
        <w:adjustRightInd w:val="0"/>
        <w:spacing w:after="0" w:line="240" w:lineRule="auto"/>
        <w:jc w:val="both"/>
        <w:textAlignment w:val="baseline"/>
        <w:rPr>
          <w:rFonts w:ascii="Verdana" w:eastAsia="Times New Roman" w:hAnsi="Verdana"/>
          <w:sz w:val="20"/>
          <w:szCs w:val="20"/>
          <w:highlight w:val="yellow"/>
          <w:lang w:eastAsia="en-GB"/>
        </w:rPr>
      </w:pPr>
      <w:r w:rsidRPr="00A45A59">
        <w:rPr>
          <w:rFonts w:ascii="Verdana" w:hAnsi="Verdana"/>
          <w:b/>
          <w:noProof/>
          <w:color w:val="7030A0"/>
          <w:sz w:val="56"/>
          <w:szCs w:val="56"/>
          <w:highlight w:val="yellow"/>
          <w:lang w:eastAsia="en-GB"/>
        </w:rPr>
        <mc:AlternateContent>
          <mc:Choice Requires="wps">
            <w:drawing>
              <wp:anchor distT="0" distB="0" distL="114300" distR="114300" simplePos="0" relativeHeight="251658240" behindDoc="0" locked="0" layoutInCell="1" allowOverlap="1" wp14:anchorId="60529953" wp14:editId="4C40173C">
                <wp:simplePos x="0" y="0"/>
                <wp:positionH relativeFrom="column">
                  <wp:posOffset>-267019</wp:posOffset>
                </wp:positionH>
                <wp:positionV relativeFrom="paragraph">
                  <wp:posOffset>673509</wp:posOffset>
                </wp:positionV>
                <wp:extent cx="3323590" cy="3453765"/>
                <wp:effectExtent l="677862" t="731838" r="688023" b="726122"/>
                <wp:wrapNone/>
                <wp:docPr id="15" name="Rectangle 15"/>
                <wp:cNvGraphicFramePr/>
                <a:graphic xmlns:a="http://schemas.openxmlformats.org/drawingml/2006/main">
                  <a:graphicData uri="http://schemas.microsoft.com/office/word/2010/wordprocessingShape">
                    <wps:wsp>
                      <wps:cNvSpPr/>
                      <wps:spPr>
                        <a:xfrm rot="18500715" flipH="1">
                          <a:off x="0" y="0"/>
                          <a:ext cx="3323590" cy="3453765"/>
                        </a:xfrm>
                        <a:prstGeom prst="rect">
                          <a:avLst/>
                        </a:prstGeom>
                        <a:blipFill dpi="0" rotWithShape="1">
                          <a:blip r:embed="rId11">
                            <a:alphaModFix amt="35000"/>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004E3" id="Rectangle 15" o:spid="_x0000_s1026" style="position:absolute;margin-left:-21.05pt;margin-top:53.05pt;width:261.7pt;height:271.95pt;rotation:3385246fd;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JB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pGNzdGMTE3NDA3MjA2ODExODIyQUY1MzQ4Njg2RjEy&#10;MjwveG1wTU06SW5zdGFuY2VJRD4KICAgICAgICAgPHhtcE1NOkRvY3VtZW50SUQ+eG1wLmRpZDpG&#10;NzdGMTE3NDA3MjA2ODExODIyQUY1MzQ4Njg2RjEyMj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1dWlkOjFlOWZlM2NmLWJhYzEtNDhhYy04MzQxLTc3MWE0YmRhMWMyNzwv&#10;c3RSZWY6aW5zdGFuY2VJRD4KICAgICAgICAgICAgPHN0UmVmOmRvY3VtZW50SUQ+eG1wLmRpZDow&#10;OTgwMTE3NDA3MjA2ODExODIyQTg5N0UzODdGRTU0Qz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" strokecolor="white [3212]" strokeweight="2pt">
                <v:fill r:id="rId12" o:title="" opacity="22938f" recolor="t" rotate="t" type="frame"/>
              </v:rect>
            </w:pict>
          </mc:Fallback>
        </mc:AlternateContent>
      </w:r>
    </w:p>
    <w:p w14:paraId="4A3E52BC" w14:textId="77777777" w:rsidR="00CC293D" w:rsidRPr="00A45A59" w:rsidRDefault="00CC293D" w:rsidP="00CC293D">
      <w:pPr>
        <w:widowControl w:val="0"/>
        <w:suppressAutoHyphens/>
        <w:overflowPunct w:val="0"/>
        <w:autoSpaceDE w:val="0"/>
        <w:autoSpaceDN w:val="0"/>
        <w:adjustRightInd w:val="0"/>
        <w:spacing w:after="0" w:line="240" w:lineRule="auto"/>
        <w:jc w:val="both"/>
        <w:textAlignment w:val="baseline"/>
        <w:rPr>
          <w:rFonts w:ascii="Verdana" w:eastAsia="Times New Roman" w:hAnsi="Verdana"/>
          <w:sz w:val="20"/>
          <w:szCs w:val="20"/>
          <w:highlight w:val="yellow"/>
          <w:lang w:eastAsia="en-GB"/>
        </w:rPr>
        <w:sectPr w:rsidR="00CC293D" w:rsidRPr="00A45A59" w:rsidSect="00497E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6B6542F0" w14:textId="436AA40E" w:rsidR="00C51678" w:rsidRPr="00A45A59" w:rsidRDefault="00C51678" w:rsidP="00415117">
      <w:pPr>
        <w:tabs>
          <w:tab w:val="left" w:pos="611"/>
        </w:tabs>
        <w:spacing w:after="0" w:line="240" w:lineRule="auto"/>
        <w:rPr>
          <w:rFonts w:ascii="Arial" w:hAnsi="Arial" w:cs="Arial"/>
          <w:b/>
          <w:sz w:val="20"/>
          <w:szCs w:val="20"/>
          <w:highlight w:val="yellow"/>
          <w:u w:val="single"/>
        </w:rPr>
      </w:pPr>
    </w:p>
    <w:sdt>
      <w:sdtPr>
        <w:rPr>
          <w:rFonts w:ascii="Arial" w:eastAsia="Calibri" w:hAnsi="Arial" w:cs="Arial"/>
          <w:b/>
          <w:bCs/>
          <w:noProof/>
          <w:color w:val="auto"/>
          <w:sz w:val="24"/>
          <w:szCs w:val="24"/>
          <w:lang w:val="en-GB"/>
        </w:rPr>
        <w:id w:val="273460375"/>
        <w:docPartObj>
          <w:docPartGallery w:val="Table of Contents"/>
          <w:docPartUnique/>
        </w:docPartObj>
      </w:sdtPr>
      <w:sdtEndPr>
        <w:rPr>
          <w:rFonts w:ascii="Verdana" w:hAnsi="Verdana"/>
          <w:sz w:val="20"/>
          <w:szCs w:val="20"/>
        </w:rPr>
      </w:sdtEndPr>
      <w:sdtContent>
        <w:p w14:paraId="22C8190C" w14:textId="6B394FB9" w:rsidR="00147B88" w:rsidRPr="00297627" w:rsidRDefault="079A7976">
          <w:pPr>
            <w:pStyle w:val="TOCHeading"/>
            <w:rPr>
              <w:rFonts w:ascii="Arial" w:hAnsi="Arial" w:cs="Arial"/>
              <w:b/>
              <w:bCs/>
              <w:sz w:val="20"/>
              <w:szCs w:val="20"/>
            </w:rPr>
          </w:pPr>
          <w:r w:rsidRPr="00297627">
            <w:rPr>
              <w:rFonts w:ascii="Arial" w:hAnsi="Arial" w:cs="Arial"/>
              <w:b/>
              <w:bCs/>
              <w:sz w:val="20"/>
              <w:szCs w:val="20"/>
            </w:rPr>
            <w:t>Contents</w:t>
          </w:r>
        </w:p>
        <w:p w14:paraId="2626E593" w14:textId="77777777" w:rsidR="00BC381B" w:rsidRPr="00297627" w:rsidRDefault="00BC381B" w:rsidP="00BC381B">
          <w:pPr>
            <w:rPr>
              <w:rFonts w:ascii="Arial" w:hAnsi="Arial" w:cs="Arial"/>
              <w:sz w:val="20"/>
              <w:szCs w:val="20"/>
              <w:lang w:val="en-US"/>
            </w:rPr>
          </w:pPr>
        </w:p>
        <w:p w14:paraId="63EE3E76" w14:textId="1B04D45F" w:rsidR="00297627" w:rsidRPr="00297627" w:rsidRDefault="00AD3F3F">
          <w:pPr>
            <w:pStyle w:val="TOC1"/>
            <w:rPr>
              <w:rFonts w:ascii="Arial" w:eastAsiaTheme="minorEastAsia" w:hAnsi="Arial" w:cs="Arial"/>
              <w:b w:val="0"/>
              <w:noProof/>
              <w:kern w:val="2"/>
              <w:szCs w:val="20"/>
              <w:lang w:eastAsia="en-GB"/>
              <w14:ligatures w14:val="standardContextual"/>
            </w:rPr>
          </w:pPr>
          <w:r w:rsidRPr="00297627">
            <w:rPr>
              <w:rFonts w:ascii="Arial" w:hAnsi="Arial" w:cs="Arial"/>
              <w:szCs w:val="20"/>
            </w:rPr>
            <w:fldChar w:fldCharType="begin"/>
          </w:r>
          <w:r w:rsidR="00D22D94" w:rsidRPr="00297627">
            <w:rPr>
              <w:rFonts w:ascii="Arial" w:hAnsi="Arial" w:cs="Arial"/>
              <w:szCs w:val="20"/>
            </w:rPr>
            <w:instrText>TOC \o "1-3" \z \u \h</w:instrText>
          </w:r>
          <w:r w:rsidRPr="00297627">
            <w:rPr>
              <w:rFonts w:ascii="Arial" w:hAnsi="Arial" w:cs="Arial"/>
              <w:szCs w:val="20"/>
            </w:rPr>
            <w:fldChar w:fldCharType="separate"/>
          </w:r>
          <w:hyperlink w:anchor="_Toc232169334" w:history="1">
            <w:r w:rsidR="00297627" w:rsidRPr="00297627">
              <w:rPr>
                <w:rStyle w:val="Hyperlink"/>
                <w:rFonts w:ascii="Arial" w:hAnsi="Arial" w:cs="Arial"/>
                <w:noProof/>
                <w:szCs w:val="20"/>
              </w:rPr>
              <w:t>Aberdeen City IJB at a Glance</w:t>
            </w:r>
            <w:r w:rsidR="00297627" w:rsidRPr="00297627">
              <w:rPr>
                <w:rFonts w:ascii="Arial" w:hAnsi="Arial" w:cs="Arial"/>
                <w:noProof/>
                <w:webHidden/>
                <w:szCs w:val="20"/>
              </w:rPr>
              <w:tab/>
            </w:r>
            <w:r w:rsidR="00297627" w:rsidRPr="00297627">
              <w:rPr>
                <w:rFonts w:ascii="Arial" w:hAnsi="Arial" w:cs="Arial"/>
                <w:noProof/>
                <w:webHidden/>
                <w:szCs w:val="20"/>
              </w:rPr>
              <w:fldChar w:fldCharType="begin"/>
            </w:r>
            <w:r w:rsidR="00297627" w:rsidRPr="00297627">
              <w:rPr>
                <w:rFonts w:ascii="Arial" w:hAnsi="Arial" w:cs="Arial"/>
                <w:noProof/>
                <w:webHidden/>
                <w:szCs w:val="20"/>
              </w:rPr>
              <w:instrText xml:space="preserve"> PAGEREF _Toc232169334 \h </w:instrText>
            </w:r>
            <w:r w:rsidR="00297627" w:rsidRPr="00297627">
              <w:rPr>
                <w:rFonts w:ascii="Arial" w:hAnsi="Arial" w:cs="Arial"/>
                <w:noProof/>
                <w:webHidden/>
                <w:szCs w:val="20"/>
              </w:rPr>
            </w:r>
            <w:r w:rsidR="00297627" w:rsidRPr="00297627">
              <w:rPr>
                <w:rFonts w:ascii="Arial" w:hAnsi="Arial" w:cs="Arial"/>
                <w:noProof/>
                <w:webHidden/>
                <w:szCs w:val="20"/>
              </w:rPr>
              <w:fldChar w:fldCharType="separate"/>
            </w:r>
            <w:r w:rsidR="00297627" w:rsidRPr="00297627">
              <w:rPr>
                <w:rFonts w:ascii="Arial" w:hAnsi="Arial" w:cs="Arial"/>
                <w:noProof/>
                <w:webHidden/>
                <w:szCs w:val="20"/>
              </w:rPr>
              <w:t>5</w:t>
            </w:r>
            <w:r w:rsidR="00297627" w:rsidRPr="00297627">
              <w:rPr>
                <w:rFonts w:ascii="Arial" w:hAnsi="Arial" w:cs="Arial"/>
                <w:noProof/>
                <w:webHidden/>
                <w:szCs w:val="20"/>
              </w:rPr>
              <w:fldChar w:fldCharType="end"/>
            </w:r>
          </w:hyperlink>
        </w:p>
        <w:p w14:paraId="45DF1CDE" w14:textId="685F1016" w:rsidR="00297627" w:rsidRPr="00297627" w:rsidRDefault="00297627">
          <w:pPr>
            <w:pStyle w:val="TOC1"/>
            <w:rPr>
              <w:rFonts w:ascii="Arial" w:eastAsiaTheme="minorEastAsia" w:hAnsi="Arial" w:cs="Arial"/>
              <w:b w:val="0"/>
              <w:noProof/>
              <w:kern w:val="2"/>
              <w:szCs w:val="20"/>
              <w:lang w:eastAsia="en-GB"/>
              <w14:ligatures w14:val="standardContextual"/>
            </w:rPr>
          </w:pPr>
          <w:hyperlink w:anchor="_Toc232169335" w:history="1">
            <w:r w:rsidRPr="00297627">
              <w:rPr>
                <w:rStyle w:val="Hyperlink"/>
                <w:rFonts w:ascii="Arial" w:hAnsi="Arial" w:cs="Arial"/>
                <w:noProof/>
                <w:szCs w:val="20"/>
              </w:rPr>
              <w:t>Chairman’s Foreword</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_Toc232169335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6</w:t>
            </w:r>
            <w:r w:rsidRPr="00297627">
              <w:rPr>
                <w:rFonts w:ascii="Arial" w:hAnsi="Arial" w:cs="Arial"/>
                <w:noProof/>
                <w:webHidden/>
                <w:szCs w:val="20"/>
              </w:rPr>
              <w:fldChar w:fldCharType="end"/>
            </w:r>
          </w:hyperlink>
        </w:p>
        <w:p w14:paraId="1B634EFC" w14:textId="6A967489" w:rsidR="00297627" w:rsidRPr="00297627" w:rsidRDefault="00297627">
          <w:pPr>
            <w:pStyle w:val="TOC1"/>
            <w:tabs>
              <w:tab w:val="left" w:pos="720"/>
            </w:tabs>
            <w:rPr>
              <w:rFonts w:ascii="Arial" w:eastAsiaTheme="minorEastAsia" w:hAnsi="Arial" w:cs="Arial"/>
              <w:b w:val="0"/>
              <w:noProof/>
              <w:kern w:val="2"/>
              <w:szCs w:val="20"/>
              <w:lang w:eastAsia="en-GB"/>
              <w14:ligatures w14:val="standardContextual"/>
            </w:rPr>
          </w:pPr>
          <w:hyperlink w:anchor="_Toc232169336" w:history="1">
            <w:r w:rsidRPr="00297627">
              <w:rPr>
                <w:rStyle w:val="Hyperlink"/>
                <w:rFonts w:ascii="Arial" w:hAnsi="Arial" w:cs="Arial"/>
                <w:noProof/>
                <w:szCs w:val="20"/>
              </w:rPr>
              <w:t>1.</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Management Commentary</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_Toc232169336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7</w:t>
            </w:r>
            <w:r w:rsidRPr="00297627">
              <w:rPr>
                <w:rFonts w:ascii="Arial" w:hAnsi="Arial" w:cs="Arial"/>
                <w:noProof/>
                <w:webHidden/>
                <w:szCs w:val="20"/>
              </w:rPr>
              <w:fldChar w:fldCharType="end"/>
            </w:r>
          </w:hyperlink>
        </w:p>
        <w:p w14:paraId="4BD9E752" w14:textId="3D5801D9" w:rsidR="00297627" w:rsidRPr="00297627" w:rsidRDefault="00297627">
          <w:pPr>
            <w:pStyle w:val="TOC1"/>
            <w:rPr>
              <w:rFonts w:ascii="Arial" w:eastAsiaTheme="minorEastAsia" w:hAnsi="Arial" w:cs="Arial"/>
              <w:b w:val="0"/>
              <w:noProof/>
              <w:kern w:val="2"/>
              <w:szCs w:val="20"/>
              <w:lang w:eastAsia="en-GB"/>
              <w14:ligatures w14:val="standardContextual"/>
            </w:rPr>
          </w:pPr>
          <w:hyperlink w:anchor="_Toc232169337" w:history="1">
            <w:r w:rsidRPr="00297627">
              <w:rPr>
                <w:rStyle w:val="Hyperlink"/>
                <w:rFonts w:ascii="Arial" w:hAnsi="Arial" w:cs="Arial"/>
                <w:noProof/>
                <w:szCs w:val="20"/>
              </w:rPr>
              <w:t>1.1 Chief Officer’s Review of the Year</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_Toc232169337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7</w:t>
            </w:r>
            <w:r w:rsidRPr="00297627">
              <w:rPr>
                <w:rFonts w:ascii="Arial" w:hAnsi="Arial" w:cs="Arial"/>
                <w:noProof/>
                <w:webHidden/>
                <w:szCs w:val="20"/>
              </w:rPr>
              <w:fldChar w:fldCharType="end"/>
            </w:r>
          </w:hyperlink>
        </w:p>
        <w:p w14:paraId="018C2376" w14:textId="195FDC2B" w:rsidR="00297627" w:rsidRPr="00297627" w:rsidRDefault="00297627">
          <w:pPr>
            <w:pStyle w:val="TOC2"/>
            <w:rPr>
              <w:rFonts w:eastAsiaTheme="minorEastAsia"/>
              <w:b w:val="0"/>
              <w:kern w:val="2"/>
              <w:sz w:val="20"/>
              <w:szCs w:val="20"/>
              <w:lang w:eastAsia="en-GB"/>
              <w14:ligatures w14:val="standardContextual"/>
            </w:rPr>
          </w:pPr>
          <w:hyperlink w:anchor="_Toc232169338" w:history="1">
            <w:r w:rsidRPr="00297627">
              <w:rPr>
                <w:rStyle w:val="Hyperlink"/>
                <w:sz w:val="20"/>
                <w:szCs w:val="20"/>
              </w:rPr>
              <w:t>1.2 Overview</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_Toc232169338 \h </w:instrText>
            </w:r>
            <w:r w:rsidRPr="00297627">
              <w:rPr>
                <w:webHidden/>
                <w:sz w:val="20"/>
                <w:szCs w:val="20"/>
              </w:rPr>
            </w:r>
            <w:r w:rsidRPr="00297627">
              <w:rPr>
                <w:webHidden/>
                <w:sz w:val="20"/>
                <w:szCs w:val="20"/>
              </w:rPr>
              <w:fldChar w:fldCharType="separate"/>
            </w:r>
            <w:r w:rsidRPr="00297627">
              <w:rPr>
                <w:webHidden/>
                <w:sz w:val="20"/>
                <w:szCs w:val="20"/>
              </w:rPr>
              <w:t>9</w:t>
            </w:r>
            <w:r w:rsidRPr="00297627">
              <w:rPr>
                <w:webHidden/>
                <w:sz w:val="20"/>
                <w:szCs w:val="20"/>
              </w:rPr>
              <w:fldChar w:fldCharType="end"/>
            </w:r>
          </w:hyperlink>
        </w:p>
        <w:p w14:paraId="78392434" w14:textId="1D63C711" w:rsidR="00297627" w:rsidRPr="00297627" w:rsidRDefault="00297627">
          <w:pPr>
            <w:pStyle w:val="TOC2"/>
            <w:rPr>
              <w:rFonts w:eastAsiaTheme="minorEastAsia"/>
              <w:b w:val="0"/>
              <w:kern w:val="2"/>
              <w:sz w:val="20"/>
              <w:szCs w:val="20"/>
              <w:lang w:eastAsia="en-GB"/>
              <w14:ligatures w14:val="standardContextual"/>
            </w:rPr>
          </w:pPr>
          <w:hyperlink w:anchor="_Toc232169339" w:history="1">
            <w:r w:rsidRPr="00297627">
              <w:rPr>
                <w:rStyle w:val="Hyperlink"/>
                <w:sz w:val="20"/>
                <w:szCs w:val="20"/>
              </w:rPr>
              <w:t>1.3 Operational Performance</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_Toc232169339 \h </w:instrText>
            </w:r>
            <w:r w:rsidRPr="00297627">
              <w:rPr>
                <w:webHidden/>
                <w:sz w:val="20"/>
                <w:szCs w:val="20"/>
              </w:rPr>
            </w:r>
            <w:r w:rsidRPr="00297627">
              <w:rPr>
                <w:webHidden/>
                <w:sz w:val="20"/>
                <w:szCs w:val="20"/>
              </w:rPr>
              <w:fldChar w:fldCharType="separate"/>
            </w:r>
            <w:r w:rsidRPr="00297627">
              <w:rPr>
                <w:webHidden/>
                <w:sz w:val="20"/>
                <w:szCs w:val="20"/>
              </w:rPr>
              <w:t>11</w:t>
            </w:r>
            <w:r w:rsidRPr="00297627">
              <w:rPr>
                <w:webHidden/>
                <w:sz w:val="20"/>
                <w:szCs w:val="20"/>
              </w:rPr>
              <w:fldChar w:fldCharType="end"/>
            </w:r>
          </w:hyperlink>
        </w:p>
        <w:p w14:paraId="432EE3E4" w14:textId="6D738A7D" w:rsidR="00297627" w:rsidRPr="00297627" w:rsidRDefault="00297627">
          <w:pPr>
            <w:pStyle w:val="TOC2"/>
            <w:tabs>
              <w:tab w:val="left" w:pos="1200"/>
            </w:tabs>
            <w:rPr>
              <w:rFonts w:eastAsiaTheme="minorEastAsia"/>
              <w:b w:val="0"/>
              <w:kern w:val="2"/>
              <w:sz w:val="20"/>
              <w:szCs w:val="20"/>
              <w:lang w:eastAsia="en-GB"/>
              <w14:ligatures w14:val="standardContextual"/>
            </w:rPr>
          </w:pPr>
          <w:hyperlink w:anchor="_Toc232169340" w:history="1">
            <w:r w:rsidRPr="00297627">
              <w:rPr>
                <w:rStyle w:val="Hyperlink"/>
                <w:sz w:val="20"/>
                <w:szCs w:val="20"/>
              </w:rPr>
              <w:t>1.3.1</w:t>
            </w:r>
            <w:r w:rsidRPr="00297627">
              <w:rPr>
                <w:rFonts w:eastAsiaTheme="minorEastAsia"/>
                <w:b w:val="0"/>
                <w:kern w:val="2"/>
                <w:sz w:val="20"/>
                <w:szCs w:val="20"/>
                <w:lang w:eastAsia="en-GB"/>
                <w14:ligatures w14:val="standardContextual"/>
              </w:rPr>
              <w:tab/>
            </w:r>
            <w:r w:rsidRPr="00297627">
              <w:rPr>
                <w:rStyle w:val="Hyperlink"/>
                <w:sz w:val="20"/>
                <w:szCs w:val="20"/>
              </w:rPr>
              <w:t>Strategic Plan and Year 1 Delivery Plan</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_Toc232169340 \h </w:instrText>
            </w:r>
            <w:r w:rsidRPr="00297627">
              <w:rPr>
                <w:webHidden/>
                <w:sz w:val="20"/>
                <w:szCs w:val="20"/>
              </w:rPr>
            </w:r>
            <w:r w:rsidRPr="00297627">
              <w:rPr>
                <w:webHidden/>
                <w:sz w:val="20"/>
                <w:szCs w:val="20"/>
              </w:rPr>
              <w:fldChar w:fldCharType="separate"/>
            </w:r>
            <w:r w:rsidRPr="00297627">
              <w:rPr>
                <w:webHidden/>
                <w:sz w:val="20"/>
                <w:szCs w:val="20"/>
              </w:rPr>
              <w:t>11</w:t>
            </w:r>
            <w:r w:rsidRPr="00297627">
              <w:rPr>
                <w:webHidden/>
                <w:sz w:val="20"/>
                <w:szCs w:val="20"/>
              </w:rPr>
              <w:fldChar w:fldCharType="end"/>
            </w:r>
          </w:hyperlink>
        </w:p>
        <w:p w14:paraId="78E970B9" w14:textId="59AB53F6" w:rsidR="00297627" w:rsidRPr="00297627" w:rsidRDefault="00297627">
          <w:pPr>
            <w:pStyle w:val="TOC3"/>
            <w:rPr>
              <w:rFonts w:eastAsiaTheme="minorEastAsia"/>
              <w:b w:val="0"/>
              <w:bCs w:val="0"/>
              <w:kern w:val="2"/>
              <w:sz w:val="20"/>
              <w:szCs w:val="20"/>
              <w:lang w:eastAsia="en-GB"/>
              <w14:ligatures w14:val="standardContextual"/>
            </w:rPr>
          </w:pPr>
          <w:hyperlink w:anchor="_Toc232169341" w:history="1">
            <w:r w:rsidRPr="00297627">
              <w:rPr>
                <w:rStyle w:val="Hyperlink"/>
                <w:sz w:val="20"/>
                <w:szCs w:val="20"/>
              </w:rPr>
              <w:t>1.3.2 Service delivery, activity and outcomes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_Toc232169341 \h </w:instrText>
            </w:r>
            <w:r w:rsidRPr="00297627">
              <w:rPr>
                <w:webHidden/>
                <w:sz w:val="20"/>
                <w:szCs w:val="20"/>
              </w:rPr>
            </w:r>
            <w:r w:rsidRPr="00297627">
              <w:rPr>
                <w:webHidden/>
                <w:sz w:val="20"/>
                <w:szCs w:val="20"/>
              </w:rPr>
              <w:fldChar w:fldCharType="separate"/>
            </w:r>
            <w:r w:rsidRPr="00297627">
              <w:rPr>
                <w:webHidden/>
                <w:sz w:val="20"/>
                <w:szCs w:val="20"/>
              </w:rPr>
              <w:t>12</w:t>
            </w:r>
            <w:r w:rsidRPr="00297627">
              <w:rPr>
                <w:webHidden/>
                <w:sz w:val="20"/>
                <w:szCs w:val="20"/>
              </w:rPr>
              <w:fldChar w:fldCharType="end"/>
            </w:r>
          </w:hyperlink>
        </w:p>
        <w:p w14:paraId="2E9673AD" w14:textId="2D3C12E3" w:rsidR="00297627" w:rsidRPr="00297627" w:rsidRDefault="00297627">
          <w:pPr>
            <w:pStyle w:val="TOC2"/>
            <w:rPr>
              <w:rFonts w:eastAsiaTheme="minorEastAsia"/>
              <w:b w:val="0"/>
              <w:kern w:val="2"/>
              <w:sz w:val="20"/>
              <w:szCs w:val="20"/>
              <w:lang w:eastAsia="en-GB"/>
              <w14:ligatures w14:val="standardContextual"/>
            </w:rPr>
          </w:pPr>
          <w:hyperlink w:anchor="_Toc232169342" w:history="1">
            <w:r w:rsidRPr="00297627">
              <w:rPr>
                <w:rStyle w:val="Hyperlink"/>
                <w:sz w:val="20"/>
                <w:szCs w:val="20"/>
              </w:rPr>
              <w:t>1.4 Financial performance</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_Toc232169342 \h </w:instrText>
            </w:r>
            <w:r w:rsidRPr="00297627">
              <w:rPr>
                <w:webHidden/>
                <w:sz w:val="20"/>
                <w:szCs w:val="20"/>
              </w:rPr>
            </w:r>
            <w:r w:rsidRPr="00297627">
              <w:rPr>
                <w:webHidden/>
                <w:sz w:val="20"/>
                <w:szCs w:val="20"/>
              </w:rPr>
              <w:fldChar w:fldCharType="separate"/>
            </w:r>
            <w:r w:rsidRPr="00297627">
              <w:rPr>
                <w:webHidden/>
                <w:sz w:val="20"/>
                <w:szCs w:val="20"/>
              </w:rPr>
              <w:t>20</w:t>
            </w:r>
            <w:r w:rsidRPr="00297627">
              <w:rPr>
                <w:webHidden/>
                <w:sz w:val="20"/>
                <w:szCs w:val="20"/>
              </w:rPr>
              <w:fldChar w:fldCharType="end"/>
            </w:r>
          </w:hyperlink>
        </w:p>
        <w:p w14:paraId="5CE08119" w14:textId="3745DB06" w:rsidR="00297627" w:rsidRPr="00297627" w:rsidRDefault="00297627">
          <w:pPr>
            <w:pStyle w:val="TOC2"/>
            <w:rPr>
              <w:rFonts w:eastAsiaTheme="minorEastAsia"/>
              <w:b w:val="0"/>
              <w:kern w:val="2"/>
              <w:sz w:val="20"/>
              <w:szCs w:val="20"/>
              <w:lang w:eastAsia="en-GB"/>
              <w14:ligatures w14:val="standardContextual"/>
            </w:rPr>
          </w:pPr>
          <w:hyperlink w:anchor="_Toc232169343" w:history="1">
            <w:r w:rsidRPr="00297627">
              <w:rPr>
                <w:rStyle w:val="Hyperlink"/>
                <w:sz w:val="20"/>
                <w:szCs w:val="20"/>
              </w:rPr>
              <w:t>1.5  Key risks, mitigations and outlook</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_Toc232169343 \h </w:instrText>
            </w:r>
            <w:r w:rsidRPr="00297627">
              <w:rPr>
                <w:webHidden/>
                <w:sz w:val="20"/>
                <w:szCs w:val="20"/>
              </w:rPr>
            </w:r>
            <w:r w:rsidRPr="00297627">
              <w:rPr>
                <w:webHidden/>
                <w:sz w:val="20"/>
                <w:szCs w:val="20"/>
              </w:rPr>
              <w:fldChar w:fldCharType="separate"/>
            </w:r>
            <w:r w:rsidRPr="00297627">
              <w:rPr>
                <w:webHidden/>
                <w:sz w:val="20"/>
                <w:szCs w:val="20"/>
              </w:rPr>
              <w:t>24</w:t>
            </w:r>
            <w:r w:rsidRPr="00297627">
              <w:rPr>
                <w:webHidden/>
                <w:sz w:val="20"/>
                <w:szCs w:val="20"/>
              </w:rPr>
              <w:fldChar w:fldCharType="end"/>
            </w:r>
          </w:hyperlink>
        </w:p>
        <w:p w14:paraId="2BC58056" w14:textId="555F5825" w:rsidR="00297627" w:rsidRPr="00297627" w:rsidRDefault="00297627">
          <w:pPr>
            <w:pStyle w:val="TOC2"/>
            <w:rPr>
              <w:rFonts w:eastAsiaTheme="minorEastAsia"/>
              <w:b w:val="0"/>
              <w:kern w:val="2"/>
              <w:sz w:val="20"/>
              <w:szCs w:val="20"/>
              <w:lang w:eastAsia="en-GB"/>
              <w14:ligatures w14:val="standardContextual"/>
            </w:rPr>
          </w:pPr>
          <w:hyperlink w:anchor="_Toc232169344" w:history="1">
            <w:r w:rsidRPr="00297627">
              <w:rPr>
                <w:rStyle w:val="Hyperlink"/>
                <w:sz w:val="20"/>
                <w:szCs w:val="20"/>
              </w:rPr>
              <w:t>1.6 Our priorities and plans for the years ahead</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_Toc232169344 \h </w:instrText>
            </w:r>
            <w:r w:rsidRPr="00297627">
              <w:rPr>
                <w:webHidden/>
                <w:sz w:val="20"/>
                <w:szCs w:val="20"/>
              </w:rPr>
            </w:r>
            <w:r w:rsidRPr="00297627">
              <w:rPr>
                <w:webHidden/>
                <w:sz w:val="20"/>
                <w:szCs w:val="20"/>
              </w:rPr>
              <w:fldChar w:fldCharType="separate"/>
            </w:r>
            <w:r w:rsidRPr="00297627">
              <w:rPr>
                <w:webHidden/>
                <w:sz w:val="20"/>
                <w:szCs w:val="20"/>
              </w:rPr>
              <w:t>30</w:t>
            </w:r>
            <w:r w:rsidRPr="00297627">
              <w:rPr>
                <w:webHidden/>
                <w:sz w:val="20"/>
                <w:szCs w:val="20"/>
              </w:rPr>
              <w:fldChar w:fldCharType="end"/>
            </w:r>
          </w:hyperlink>
        </w:p>
        <w:p w14:paraId="52D93E6E" w14:textId="416A0FE1" w:rsidR="00297627" w:rsidRPr="00297627" w:rsidRDefault="00297627">
          <w:pPr>
            <w:pStyle w:val="TOC1"/>
            <w:tabs>
              <w:tab w:val="left" w:pos="720"/>
            </w:tabs>
            <w:rPr>
              <w:rFonts w:ascii="Arial" w:eastAsiaTheme="minorEastAsia" w:hAnsi="Arial" w:cs="Arial"/>
              <w:b w:val="0"/>
              <w:noProof/>
              <w:kern w:val="2"/>
              <w:szCs w:val="20"/>
              <w:lang w:eastAsia="en-GB"/>
              <w14:ligatures w14:val="standardContextual"/>
            </w:rPr>
          </w:pPr>
          <w:hyperlink w:anchor="_Toc232169345" w:history="1">
            <w:r w:rsidRPr="00297627">
              <w:rPr>
                <w:rStyle w:val="Hyperlink"/>
                <w:rFonts w:ascii="Arial" w:hAnsi="Arial" w:cs="Arial"/>
                <w:noProof/>
                <w:szCs w:val="20"/>
              </w:rPr>
              <w:t>2.</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Independent auditor’s report to the members of Aberdeen City Integration Joint Board and the Accounts Commission</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_Toc232169345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33</w:t>
            </w:r>
            <w:r w:rsidRPr="00297627">
              <w:rPr>
                <w:rFonts w:ascii="Arial" w:hAnsi="Arial" w:cs="Arial"/>
                <w:noProof/>
                <w:webHidden/>
                <w:szCs w:val="20"/>
              </w:rPr>
              <w:fldChar w:fldCharType="end"/>
            </w:r>
          </w:hyperlink>
        </w:p>
        <w:p w14:paraId="733CDDF8" w14:textId="3C8B0EDB" w:rsidR="00297627" w:rsidRPr="00297627" w:rsidRDefault="00297627">
          <w:pPr>
            <w:pStyle w:val="TOC1"/>
            <w:tabs>
              <w:tab w:val="left" w:pos="720"/>
            </w:tabs>
            <w:rPr>
              <w:rFonts w:ascii="Arial" w:eastAsiaTheme="minorEastAsia" w:hAnsi="Arial" w:cs="Arial"/>
              <w:b w:val="0"/>
              <w:noProof/>
              <w:kern w:val="2"/>
              <w:szCs w:val="20"/>
              <w:lang w:eastAsia="en-GB"/>
              <w14:ligatures w14:val="standardContextual"/>
            </w:rPr>
          </w:pPr>
          <w:hyperlink w:anchor="_Toc232169346" w:history="1">
            <w:r w:rsidRPr="00297627">
              <w:rPr>
                <w:rStyle w:val="Hyperlink"/>
                <w:rFonts w:ascii="Arial" w:hAnsi="Arial" w:cs="Arial"/>
                <w:noProof/>
                <w:szCs w:val="20"/>
              </w:rPr>
              <w:t>3.</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Governance and Accountability</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_Toc232169346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33</w:t>
            </w:r>
            <w:r w:rsidRPr="00297627">
              <w:rPr>
                <w:rFonts w:ascii="Arial" w:hAnsi="Arial" w:cs="Arial"/>
                <w:noProof/>
                <w:webHidden/>
                <w:szCs w:val="20"/>
              </w:rPr>
              <w:fldChar w:fldCharType="end"/>
            </w:r>
          </w:hyperlink>
        </w:p>
        <w:p w14:paraId="011C7566" w14:textId="653A8781" w:rsidR="00297627" w:rsidRPr="00297627" w:rsidRDefault="00297627">
          <w:pPr>
            <w:pStyle w:val="TOC2"/>
            <w:tabs>
              <w:tab w:val="left" w:pos="960"/>
            </w:tabs>
            <w:rPr>
              <w:rFonts w:eastAsiaTheme="minorEastAsia"/>
              <w:b w:val="0"/>
              <w:kern w:val="2"/>
              <w:sz w:val="20"/>
              <w:szCs w:val="20"/>
              <w:lang w:eastAsia="en-GB"/>
              <w14:ligatures w14:val="standardContextual"/>
            </w:rPr>
          </w:pPr>
          <w:hyperlink w:anchor="_Toc232169347" w:history="1">
            <w:r w:rsidRPr="00297627">
              <w:rPr>
                <w:rStyle w:val="Hyperlink"/>
                <w:sz w:val="20"/>
                <w:szCs w:val="20"/>
              </w:rPr>
              <w:t>3.2</w:t>
            </w:r>
            <w:r w:rsidRPr="00297627">
              <w:rPr>
                <w:rFonts w:eastAsiaTheme="minorEastAsia"/>
                <w:b w:val="0"/>
                <w:kern w:val="2"/>
                <w:sz w:val="20"/>
                <w:szCs w:val="20"/>
                <w:lang w:eastAsia="en-GB"/>
                <w14:ligatures w14:val="standardContextual"/>
              </w:rPr>
              <w:tab/>
            </w:r>
            <w:r w:rsidRPr="00297627">
              <w:rPr>
                <w:rStyle w:val="Hyperlink"/>
                <w:sz w:val="20"/>
                <w:szCs w:val="20"/>
              </w:rPr>
              <w:t>Statement of Responsibilities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_Toc232169347 \h </w:instrText>
            </w:r>
            <w:r w:rsidRPr="00297627">
              <w:rPr>
                <w:webHidden/>
                <w:sz w:val="20"/>
                <w:szCs w:val="20"/>
              </w:rPr>
            </w:r>
            <w:r w:rsidRPr="00297627">
              <w:rPr>
                <w:webHidden/>
                <w:sz w:val="20"/>
                <w:szCs w:val="20"/>
              </w:rPr>
              <w:fldChar w:fldCharType="separate"/>
            </w:r>
            <w:r w:rsidRPr="00297627">
              <w:rPr>
                <w:webHidden/>
                <w:sz w:val="20"/>
                <w:szCs w:val="20"/>
              </w:rPr>
              <w:t>35</w:t>
            </w:r>
            <w:r w:rsidRPr="00297627">
              <w:rPr>
                <w:webHidden/>
                <w:sz w:val="20"/>
                <w:szCs w:val="20"/>
              </w:rPr>
              <w:fldChar w:fldCharType="end"/>
            </w:r>
          </w:hyperlink>
        </w:p>
        <w:p w14:paraId="3BD078BC" w14:textId="26D579DB"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48" w:history="1">
            <w:r w:rsidRPr="00297627">
              <w:rPr>
                <w:rStyle w:val="Hyperlink"/>
                <w:rFonts w:ascii="Arial" w:hAnsi="Arial" w:cs="Arial"/>
                <w:noProof/>
                <w:szCs w:val="20"/>
              </w:rPr>
              <w:t>3.3</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Remuneration Report</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_Toc232169348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37</w:t>
            </w:r>
            <w:r w:rsidRPr="00297627">
              <w:rPr>
                <w:rFonts w:ascii="Arial" w:hAnsi="Arial" w:cs="Arial"/>
                <w:noProof/>
                <w:webHidden/>
                <w:szCs w:val="20"/>
              </w:rPr>
              <w:fldChar w:fldCharType="end"/>
            </w:r>
          </w:hyperlink>
        </w:p>
        <w:p w14:paraId="47B4A45B" w14:textId="200F05DA"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49" w:history="1">
            <w:r w:rsidRPr="00297627">
              <w:rPr>
                <w:rStyle w:val="Hyperlink"/>
                <w:rFonts w:ascii="Arial" w:hAnsi="Arial" w:cs="Arial"/>
                <w:noProof/>
                <w:szCs w:val="20"/>
              </w:rPr>
              <w:t>3.4</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Annual Governance Statement</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_Toc232169349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40</w:t>
            </w:r>
            <w:r w:rsidRPr="00297627">
              <w:rPr>
                <w:rFonts w:ascii="Arial" w:hAnsi="Arial" w:cs="Arial"/>
                <w:noProof/>
                <w:webHidden/>
                <w:szCs w:val="20"/>
              </w:rPr>
              <w:fldChar w:fldCharType="end"/>
            </w:r>
          </w:hyperlink>
        </w:p>
        <w:p w14:paraId="7812171D" w14:textId="355F1C28" w:rsidR="00297627" w:rsidRPr="00297627" w:rsidRDefault="00297627">
          <w:pPr>
            <w:pStyle w:val="TOC1"/>
            <w:tabs>
              <w:tab w:val="left" w:pos="720"/>
            </w:tabs>
            <w:rPr>
              <w:rFonts w:ascii="Arial" w:eastAsiaTheme="minorEastAsia" w:hAnsi="Arial" w:cs="Arial"/>
              <w:b w:val="0"/>
              <w:noProof/>
              <w:kern w:val="2"/>
              <w:szCs w:val="20"/>
              <w:lang w:eastAsia="en-GB"/>
              <w14:ligatures w14:val="standardContextual"/>
            </w:rPr>
          </w:pPr>
          <w:hyperlink w:anchor="_Toc232169350" w:history="1">
            <w:r w:rsidRPr="00297627">
              <w:rPr>
                <w:rStyle w:val="Hyperlink"/>
                <w:rFonts w:ascii="Arial" w:hAnsi="Arial" w:cs="Arial"/>
                <w:noProof/>
                <w:szCs w:val="20"/>
              </w:rPr>
              <w:t>4.</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Financial Statements</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_Toc232169350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46</w:t>
            </w:r>
            <w:r w:rsidRPr="00297627">
              <w:rPr>
                <w:rFonts w:ascii="Arial" w:hAnsi="Arial" w:cs="Arial"/>
                <w:noProof/>
                <w:webHidden/>
                <w:szCs w:val="20"/>
              </w:rPr>
              <w:fldChar w:fldCharType="end"/>
            </w:r>
          </w:hyperlink>
        </w:p>
        <w:p w14:paraId="690DAE7E" w14:textId="3DAAA139"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51" w:history="1">
            <w:r w:rsidRPr="00297627">
              <w:rPr>
                <w:rStyle w:val="Hyperlink"/>
                <w:rFonts w:ascii="Arial" w:hAnsi="Arial" w:cs="Arial"/>
                <w:noProof/>
                <w:szCs w:val="20"/>
              </w:rPr>
              <w:t>4.1</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Comprehensive Income and Expenditure Statement</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_Toc232169351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46</w:t>
            </w:r>
            <w:r w:rsidRPr="00297627">
              <w:rPr>
                <w:rFonts w:ascii="Arial" w:hAnsi="Arial" w:cs="Arial"/>
                <w:noProof/>
                <w:webHidden/>
                <w:szCs w:val="20"/>
              </w:rPr>
              <w:fldChar w:fldCharType="end"/>
            </w:r>
          </w:hyperlink>
        </w:p>
        <w:p w14:paraId="4CEBF476" w14:textId="204158CB"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52" w:history="1">
            <w:r w:rsidRPr="00297627">
              <w:rPr>
                <w:rStyle w:val="Hyperlink"/>
                <w:rFonts w:ascii="Arial" w:hAnsi="Arial" w:cs="Arial"/>
                <w:noProof/>
                <w:szCs w:val="20"/>
              </w:rPr>
              <w:t>4.2</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Movement in Reserves Statement</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_Toc232169352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47</w:t>
            </w:r>
            <w:r w:rsidRPr="00297627">
              <w:rPr>
                <w:rFonts w:ascii="Arial" w:hAnsi="Arial" w:cs="Arial"/>
                <w:noProof/>
                <w:webHidden/>
                <w:szCs w:val="20"/>
              </w:rPr>
              <w:fldChar w:fldCharType="end"/>
            </w:r>
          </w:hyperlink>
        </w:p>
        <w:p w14:paraId="130E20CC" w14:textId="1D710B69"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53" w:history="1">
            <w:r w:rsidRPr="00297627">
              <w:rPr>
                <w:rStyle w:val="Hyperlink"/>
                <w:rFonts w:ascii="Arial" w:hAnsi="Arial" w:cs="Arial"/>
                <w:noProof/>
                <w:szCs w:val="20"/>
              </w:rPr>
              <w:t>4.3</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Balance Sheet</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_Toc232169353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48</w:t>
            </w:r>
            <w:r w:rsidRPr="00297627">
              <w:rPr>
                <w:rFonts w:ascii="Arial" w:hAnsi="Arial" w:cs="Arial"/>
                <w:noProof/>
                <w:webHidden/>
                <w:szCs w:val="20"/>
              </w:rPr>
              <w:fldChar w:fldCharType="end"/>
            </w:r>
          </w:hyperlink>
        </w:p>
        <w:p w14:paraId="200CE1FE" w14:textId="777FBCA7" w:rsidR="00297627" w:rsidRPr="00297627" w:rsidRDefault="00297627">
          <w:pPr>
            <w:pStyle w:val="TOC1"/>
            <w:tabs>
              <w:tab w:val="left" w:pos="960"/>
            </w:tabs>
            <w:rPr>
              <w:rFonts w:ascii="Arial" w:eastAsiaTheme="minorEastAsia" w:hAnsi="Arial" w:cs="Arial"/>
              <w:b w:val="0"/>
              <w:noProof/>
              <w:kern w:val="2"/>
              <w:szCs w:val="20"/>
              <w:lang w:eastAsia="en-GB"/>
              <w14:ligatures w14:val="standardContextual"/>
            </w:rPr>
          </w:pPr>
          <w:hyperlink w:anchor="_Toc232169354" w:history="1">
            <w:r w:rsidRPr="00297627">
              <w:rPr>
                <w:rStyle w:val="Hyperlink"/>
                <w:rFonts w:ascii="Arial" w:hAnsi="Arial" w:cs="Arial"/>
                <w:noProof/>
                <w:szCs w:val="20"/>
              </w:rPr>
              <w:t>4.4</w:t>
            </w:r>
            <w:r w:rsidRPr="00297627">
              <w:rPr>
                <w:rFonts w:ascii="Arial" w:eastAsiaTheme="minorEastAsia" w:hAnsi="Arial" w:cs="Arial"/>
                <w:b w:val="0"/>
                <w:noProof/>
                <w:kern w:val="2"/>
                <w:szCs w:val="20"/>
                <w:lang w:eastAsia="en-GB"/>
                <w14:ligatures w14:val="standardContextual"/>
              </w:rPr>
              <w:tab/>
            </w:r>
            <w:r w:rsidRPr="00297627">
              <w:rPr>
                <w:rStyle w:val="Hyperlink"/>
                <w:rFonts w:ascii="Arial" w:hAnsi="Arial" w:cs="Arial"/>
                <w:noProof/>
                <w:szCs w:val="20"/>
              </w:rPr>
              <w:t>Notes to the Financial Statements</w:t>
            </w:r>
            <w:r w:rsidRPr="00297627">
              <w:rPr>
                <w:rFonts w:ascii="Arial" w:hAnsi="Arial" w:cs="Arial"/>
                <w:noProof/>
                <w:webHidden/>
                <w:szCs w:val="20"/>
              </w:rPr>
              <w:tab/>
            </w:r>
            <w:r w:rsidRPr="00297627">
              <w:rPr>
                <w:rFonts w:ascii="Arial" w:hAnsi="Arial" w:cs="Arial"/>
                <w:noProof/>
                <w:webHidden/>
                <w:szCs w:val="20"/>
              </w:rPr>
              <w:fldChar w:fldCharType="begin"/>
            </w:r>
            <w:r w:rsidRPr="00297627">
              <w:rPr>
                <w:rFonts w:ascii="Arial" w:hAnsi="Arial" w:cs="Arial"/>
                <w:noProof/>
                <w:webHidden/>
                <w:szCs w:val="20"/>
              </w:rPr>
              <w:instrText xml:space="preserve"> PAGEREF _Toc232169354 \h </w:instrText>
            </w:r>
            <w:r w:rsidRPr="00297627">
              <w:rPr>
                <w:rFonts w:ascii="Arial" w:hAnsi="Arial" w:cs="Arial"/>
                <w:noProof/>
                <w:webHidden/>
                <w:szCs w:val="20"/>
              </w:rPr>
            </w:r>
            <w:r w:rsidRPr="00297627">
              <w:rPr>
                <w:rFonts w:ascii="Arial" w:hAnsi="Arial" w:cs="Arial"/>
                <w:noProof/>
                <w:webHidden/>
                <w:szCs w:val="20"/>
              </w:rPr>
              <w:fldChar w:fldCharType="separate"/>
            </w:r>
            <w:r w:rsidRPr="00297627">
              <w:rPr>
                <w:rFonts w:ascii="Arial" w:hAnsi="Arial" w:cs="Arial"/>
                <w:noProof/>
                <w:webHidden/>
                <w:szCs w:val="20"/>
              </w:rPr>
              <w:t>49</w:t>
            </w:r>
            <w:r w:rsidRPr="00297627">
              <w:rPr>
                <w:rFonts w:ascii="Arial" w:hAnsi="Arial" w:cs="Arial"/>
                <w:noProof/>
                <w:webHidden/>
                <w:szCs w:val="20"/>
              </w:rPr>
              <w:fldChar w:fldCharType="end"/>
            </w:r>
          </w:hyperlink>
        </w:p>
        <w:p w14:paraId="29468360" w14:textId="7EA62D09"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55" w:history="1">
            <w:r w:rsidRPr="00297627">
              <w:rPr>
                <w:rStyle w:val="Hyperlink"/>
                <w:sz w:val="20"/>
                <w:szCs w:val="20"/>
              </w:rPr>
              <w:t>4.4.1</w:t>
            </w:r>
            <w:r w:rsidRPr="00297627">
              <w:rPr>
                <w:rFonts w:eastAsiaTheme="minorEastAsia"/>
                <w:b w:val="0"/>
                <w:bCs w:val="0"/>
                <w:kern w:val="2"/>
                <w:sz w:val="20"/>
                <w:szCs w:val="20"/>
                <w:lang w:eastAsia="en-GB"/>
                <w14:ligatures w14:val="standardContextual"/>
              </w:rPr>
              <w:tab/>
            </w:r>
            <w:r w:rsidRPr="00297627">
              <w:rPr>
                <w:rStyle w:val="Hyperlink"/>
                <w:sz w:val="20"/>
                <w:szCs w:val="20"/>
              </w:rPr>
              <w:t>Significant Accounting Policies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_Toc232169355 \h </w:instrText>
            </w:r>
            <w:r w:rsidRPr="00297627">
              <w:rPr>
                <w:webHidden/>
                <w:sz w:val="20"/>
                <w:szCs w:val="20"/>
              </w:rPr>
            </w:r>
            <w:r w:rsidRPr="00297627">
              <w:rPr>
                <w:webHidden/>
                <w:sz w:val="20"/>
                <w:szCs w:val="20"/>
              </w:rPr>
              <w:fldChar w:fldCharType="separate"/>
            </w:r>
            <w:r w:rsidRPr="00297627">
              <w:rPr>
                <w:webHidden/>
                <w:sz w:val="20"/>
                <w:szCs w:val="20"/>
              </w:rPr>
              <w:t>49</w:t>
            </w:r>
            <w:r w:rsidRPr="00297627">
              <w:rPr>
                <w:webHidden/>
                <w:sz w:val="20"/>
                <w:szCs w:val="20"/>
              </w:rPr>
              <w:fldChar w:fldCharType="end"/>
            </w:r>
          </w:hyperlink>
        </w:p>
        <w:p w14:paraId="112AB2E6" w14:textId="430F9FC6"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56" w:history="1">
            <w:r w:rsidRPr="00297627">
              <w:rPr>
                <w:rStyle w:val="Hyperlink"/>
                <w:sz w:val="20"/>
                <w:szCs w:val="20"/>
              </w:rPr>
              <w:t>4.4.2</w:t>
            </w:r>
            <w:r w:rsidRPr="00297627">
              <w:rPr>
                <w:rFonts w:eastAsiaTheme="minorEastAsia"/>
                <w:b w:val="0"/>
                <w:bCs w:val="0"/>
                <w:kern w:val="2"/>
                <w:sz w:val="20"/>
                <w:szCs w:val="20"/>
                <w:lang w:eastAsia="en-GB"/>
                <w14:ligatures w14:val="standardContextual"/>
              </w:rPr>
              <w:tab/>
            </w:r>
            <w:r w:rsidRPr="00297627">
              <w:rPr>
                <w:rStyle w:val="Hyperlink"/>
                <w:sz w:val="20"/>
                <w:szCs w:val="20"/>
              </w:rPr>
              <w:t>Accounting Standards that have been Issued but have not yet been Adopted</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_Toc232169356 \h </w:instrText>
            </w:r>
            <w:r w:rsidRPr="00297627">
              <w:rPr>
                <w:webHidden/>
                <w:sz w:val="20"/>
                <w:szCs w:val="20"/>
              </w:rPr>
            </w:r>
            <w:r w:rsidRPr="00297627">
              <w:rPr>
                <w:webHidden/>
                <w:sz w:val="20"/>
                <w:szCs w:val="20"/>
              </w:rPr>
              <w:fldChar w:fldCharType="separate"/>
            </w:r>
            <w:r w:rsidRPr="00297627">
              <w:rPr>
                <w:webHidden/>
                <w:sz w:val="20"/>
                <w:szCs w:val="20"/>
              </w:rPr>
              <w:t>51</w:t>
            </w:r>
            <w:r w:rsidRPr="00297627">
              <w:rPr>
                <w:webHidden/>
                <w:sz w:val="20"/>
                <w:szCs w:val="20"/>
              </w:rPr>
              <w:fldChar w:fldCharType="end"/>
            </w:r>
          </w:hyperlink>
        </w:p>
        <w:p w14:paraId="2E1DDDCC" w14:textId="195DA69D"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57" w:history="1">
            <w:r w:rsidRPr="00297627">
              <w:rPr>
                <w:rStyle w:val="Hyperlink"/>
                <w:sz w:val="20"/>
                <w:szCs w:val="20"/>
              </w:rPr>
              <w:t>4.4.3</w:t>
            </w:r>
            <w:r w:rsidRPr="00297627">
              <w:rPr>
                <w:rFonts w:eastAsiaTheme="minorEastAsia"/>
                <w:b w:val="0"/>
                <w:bCs w:val="0"/>
                <w:kern w:val="2"/>
                <w:sz w:val="20"/>
                <w:szCs w:val="20"/>
                <w:lang w:eastAsia="en-GB"/>
                <w14:ligatures w14:val="standardContextual"/>
              </w:rPr>
              <w:tab/>
            </w:r>
            <w:r w:rsidRPr="00297627">
              <w:rPr>
                <w:rStyle w:val="Hyperlink"/>
                <w:sz w:val="20"/>
                <w:szCs w:val="20"/>
              </w:rPr>
              <w:t>Critical Judgements and Estimation Uncertainty</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_Toc232169357 \h </w:instrText>
            </w:r>
            <w:r w:rsidRPr="00297627">
              <w:rPr>
                <w:webHidden/>
                <w:sz w:val="20"/>
                <w:szCs w:val="20"/>
              </w:rPr>
            </w:r>
            <w:r w:rsidRPr="00297627">
              <w:rPr>
                <w:webHidden/>
                <w:sz w:val="20"/>
                <w:szCs w:val="20"/>
              </w:rPr>
              <w:fldChar w:fldCharType="separate"/>
            </w:r>
            <w:r w:rsidRPr="00297627">
              <w:rPr>
                <w:webHidden/>
                <w:sz w:val="20"/>
                <w:szCs w:val="20"/>
              </w:rPr>
              <w:t>51</w:t>
            </w:r>
            <w:r w:rsidRPr="00297627">
              <w:rPr>
                <w:webHidden/>
                <w:sz w:val="20"/>
                <w:szCs w:val="20"/>
              </w:rPr>
              <w:fldChar w:fldCharType="end"/>
            </w:r>
          </w:hyperlink>
        </w:p>
        <w:p w14:paraId="4AD2B672" w14:textId="409EB3E4"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58" w:history="1">
            <w:r w:rsidRPr="00297627">
              <w:rPr>
                <w:rStyle w:val="Hyperlink"/>
                <w:sz w:val="20"/>
                <w:szCs w:val="20"/>
              </w:rPr>
              <w:t>4.4.4</w:t>
            </w:r>
            <w:r w:rsidRPr="00297627">
              <w:rPr>
                <w:rFonts w:eastAsiaTheme="minorEastAsia"/>
                <w:b w:val="0"/>
                <w:bCs w:val="0"/>
                <w:kern w:val="2"/>
                <w:sz w:val="20"/>
                <w:szCs w:val="20"/>
                <w:lang w:eastAsia="en-GB"/>
                <w14:ligatures w14:val="standardContextual"/>
              </w:rPr>
              <w:tab/>
            </w:r>
            <w:r w:rsidRPr="00297627">
              <w:rPr>
                <w:rStyle w:val="Hyperlink"/>
                <w:sz w:val="20"/>
                <w:szCs w:val="20"/>
              </w:rPr>
              <w:t>Prior Period Adjustments, Changes in Accounting Policies and Estimates and Errors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_Toc232169358 \h </w:instrText>
            </w:r>
            <w:r w:rsidRPr="00297627">
              <w:rPr>
                <w:webHidden/>
                <w:sz w:val="20"/>
                <w:szCs w:val="20"/>
              </w:rPr>
            </w:r>
            <w:r w:rsidRPr="00297627">
              <w:rPr>
                <w:webHidden/>
                <w:sz w:val="20"/>
                <w:szCs w:val="20"/>
              </w:rPr>
              <w:fldChar w:fldCharType="separate"/>
            </w:r>
            <w:r w:rsidRPr="00297627">
              <w:rPr>
                <w:webHidden/>
                <w:sz w:val="20"/>
                <w:szCs w:val="20"/>
              </w:rPr>
              <w:t>52</w:t>
            </w:r>
            <w:r w:rsidRPr="00297627">
              <w:rPr>
                <w:webHidden/>
                <w:sz w:val="20"/>
                <w:szCs w:val="20"/>
              </w:rPr>
              <w:fldChar w:fldCharType="end"/>
            </w:r>
          </w:hyperlink>
        </w:p>
        <w:p w14:paraId="10AE1D5E" w14:textId="68CE19B7"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59" w:history="1">
            <w:r w:rsidRPr="00297627">
              <w:rPr>
                <w:rStyle w:val="Hyperlink"/>
                <w:sz w:val="20"/>
                <w:szCs w:val="20"/>
              </w:rPr>
              <w:t>4.4.5</w:t>
            </w:r>
            <w:r w:rsidRPr="00297627">
              <w:rPr>
                <w:rFonts w:eastAsiaTheme="minorEastAsia"/>
                <w:b w:val="0"/>
                <w:bCs w:val="0"/>
                <w:kern w:val="2"/>
                <w:sz w:val="20"/>
                <w:szCs w:val="20"/>
                <w:lang w:eastAsia="en-GB"/>
                <w14:ligatures w14:val="standardContextual"/>
              </w:rPr>
              <w:tab/>
            </w:r>
            <w:r w:rsidRPr="00297627">
              <w:rPr>
                <w:rStyle w:val="Hyperlink"/>
                <w:sz w:val="20"/>
                <w:szCs w:val="20"/>
              </w:rPr>
              <w:t>Events after the Balance Sheet Date</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_Toc232169359 \h </w:instrText>
            </w:r>
            <w:r w:rsidRPr="00297627">
              <w:rPr>
                <w:webHidden/>
                <w:sz w:val="20"/>
                <w:szCs w:val="20"/>
              </w:rPr>
            </w:r>
            <w:r w:rsidRPr="00297627">
              <w:rPr>
                <w:webHidden/>
                <w:sz w:val="20"/>
                <w:szCs w:val="20"/>
              </w:rPr>
              <w:fldChar w:fldCharType="separate"/>
            </w:r>
            <w:r w:rsidRPr="00297627">
              <w:rPr>
                <w:webHidden/>
                <w:sz w:val="20"/>
                <w:szCs w:val="20"/>
              </w:rPr>
              <w:t>52</w:t>
            </w:r>
            <w:r w:rsidRPr="00297627">
              <w:rPr>
                <w:webHidden/>
                <w:sz w:val="20"/>
                <w:szCs w:val="20"/>
              </w:rPr>
              <w:fldChar w:fldCharType="end"/>
            </w:r>
          </w:hyperlink>
        </w:p>
        <w:p w14:paraId="02A94C7C" w14:textId="0EB26FF4"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0" w:history="1">
            <w:r w:rsidRPr="00297627">
              <w:rPr>
                <w:rStyle w:val="Hyperlink"/>
                <w:sz w:val="20"/>
                <w:szCs w:val="20"/>
              </w:rPr>
              <w:t>4.4.6</w:t>
            </w:r>
            <w:r w:rsidRPr="00297627">
              <w:rPr>
                <w:rFonts w:eastAsiaTheme="minorEastAsia"/>
                <w:b w:val="0"/>
                <w:bCs w:val="0"/>
                <w:kern w:val="2"/>
                <w:sz w:val="20"/>
                <w:szCs w:val="20"/>
                <w:lang w:eastAsia="en-GB"/>
                <w14:ligatures w14:val="standardContextual"/>
              </w:rPr>
              <w:tab/>
            </w:r>
            <w:r w:rsidRPr="00297627">
              <w:rPr>
                <w:rStyle w:val="Hyperlink"/>
                <w:sz w:val="20"/>
                <w:szCs w:val="20"/>
              </w:rPr>
              <w:t>Expenditure and Income Analysis by Nature</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_Toc232169360 \h </w:instrText>
            </w:r>
            <w:r w:rsidRPr="00297627">
              <w:rPr>
                <w:webHidden/>
                <w:sz w:val="20"/>
                <w:szCs w:val="20"/>
              </w:rPr>
            </w:r>
            <w:r w:rsidRPr="00297627">
              <w:rPr>
                <w:webHidden/>
                <w:sz w:val="20"/>
                <w:szCs w:val="20"/>
              </w:rPr>
              <w:fldChar w:fldCharType="separate"/>
            </w:r>
            <w:r w:rsidRPr="00297627">
              <w:rPr>
                <w:webHidden/>
                <w:sz w:val="20"/>
                <w:szCs w:val="20"/>
              </w:rPr>
              <w:t>53</w:t>
            </w:r>
            <w:r w:rsidRPr="00297627">
              <w:rPr>
                <w:webHidden/>
                <w:sz w:val="20"/>
                <w:szCs w:val="20"/>
              </w:rPr>
              <w:fldChar w:fldCharType="end"/>
            </w:r>
          </w:hyperlink>
        </w:p>
        <w:p w14:paraId="33E7E067" w14:textId="62EA4DC4"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1" w:history="1">
            <w:r w:rsidRPr="00297627">
              <w:rPr>
                <w:rStyle w:val="Hyperlink"/>
                <w:sz w:val="20"/>
                <w:szCs w:val="20"/>
              </w:rPr>
              <w:t>4.4.8</w:t>
            </w:r>
            <w:r w:rsidRPr="00297627">
              <w:rPr>
                <w:rFonts w:eastAsiaTheme="minorEastAsia"/>
                <w:b w:val="0"/>
                <w:bCs w:val="0"/>
                <w:kern w:val="2"/>
                <w:sz w:val="20"/>
                <w:szCs w:val="20"/>
                <w:lang w:eastAsia="en-GB"/>
                <w14:ligatures w14:val="standardContextual"/>
              </w:rPr>
              <w:tab/>
            </w:r>
            <w:r w:rsidRPr="00297627">
              <w:rPr>
                <w:rStyle w:val="Hyperlink"/>
                <w:sz w:val="20"/>
                <w:szCs w:val="20"/>
              </w:rPr>
              <w:t>Debtors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_Toc232169361 \h </w:instrText>
            </w:r>
            <w:r w:rsidRPr="00297627">
              <w:rPr>
                <w:webHidden/>
                <w:sz w:val="20"/>
                <w:szCs w:val="20"/>
              </w:rPr>
            </w:r>
            <w:r w:rsidRPr="00297627">
              <w:rPr>
                <w:webHidden/>
                <w:sz w:val="20"/>
                <w:szCs w:val="20"/>
              </w:rPr>
              <w:fldChar w:fldCharType="separate"/>
            </w:r>
            <w:r w:rsidRPr="00297627">
              <w:rPr>
                <w:webHidden/>
                <w:sz w:val="20"/>
                <w:szCs w:val="20"/>
              </w:rPr>
              <w:t>53</w:t>
            </w:r>
            <w:r w:rsidRPr="00297627">
              <w:rPr>
                <w:webHidden/>
                <w:sz w:val="20"/>
                <w:szCs w:val="20"/>
              </w:rPr>
              <w:fldChar w:fldCharType="end"/>
            </w:r>
          </w:hyperlink>
        </w:p>
        <w:p w14:paraId="6198A177" w14:textId="5A5C2B9C"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2" w:history="1">
            <w:r w:rsidRPr="00297627">
              <w:rPr>
                <w:rStyle w:val="Hyperlink"/>
                <w:sz w:val="20"/>
                <w:szCs w:val="20"/>
              </w:rPr>
              <w:t>4.4.9</w:t>
            </w:r>
            <w:r w:rsidRPr="00297627">
              <w:rPr>
                <w:rFonts w:eastAsiaTheme="minorEastAsia"/>
                <w:b w:val="0"/>
                <w:bCs w:val="0"/>
                <w:kern w:val="2"/>
                <w:sz w:val="20"/>
                <w:szCs w:val="20"/>
                <w:lang w:eastAsia="en-GB"/>
                <w14:ligatures w14:val="standardContextual"/>
              </w:rPr>
              <w:tab/>
            </w:r>
            <w:r w:rsidRPr="00297627">
              <w:rPr>
                <w:rStyle w:val="Hyperlink"/>
                <w:sz w:val="20"/>
                <w:szCs w:val="20"/>
              </w:rPr>
              <w:t>Creditors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_Toc232169362 \h </w:instrText>
            </w:r>
            <w:r w:rsidRPr="00297627">
              <w:rPr>
                <w:webHidden/>
                <w:sz w:val="20"/>
                <w:szCs w:val="20"/>
              </w:rPr>
            </w:r>
            <w:r w:rsidRPr="00297627">
              <w:rPr>
                <w:webHidden/>
                <w:sz w:val="20"/>
                <w:szCs w:val="20"/>
              </w:rPr>
              <w:fldChar w:fldCharType="separate"/>
            </w:r>
            <w:r w:rsidRPr="00297627">
              <w:rPr>
                <w:webHidden/>
                <w:sz w:val="20"/>
                <w:szCs w:val="20"/>
              </w:rPr>
              <w:t>53</w:t>
            </w:r>
            <w:r w:rsidRPr="00297627">
              <w:rPr>
                <w:webHidden/>
                <w:sz w:val="20"/>
                <w:szCs w:val="20"/>
              </w:rPr>
              <w:fldChar w:fldCharType="end"/>
            </w:r>
          </w:hyperlink>
        </w:p>
        <w:p w14:paraId="37773F1A" w14:textId="6B80C292"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3" w:history="1">
            <w:r w:rsidRPr="00297627">
              <w:rPr>
                <w:rStyle w:val="Hyperlink"/>
                <w:sz w:val="20"/>
                <w:szCs w:val="20"/>
              </w:rPr>
              <w:t>4.4.10</w:t>
            </w:r>
            <w:r w:rsidRPr="00297627">
              <w:rPr>
                <w:rFonts w:eastAsiaTheme="minorEastAsia"/>
                <w:b w:val="0"/>
                <w:bCs w:val="0"/>
                <w:kern w:val="2"/>
                <w:sz w:val="20"/>
                <w:szCs w:val="20"/>
                <w:lang w:eastAsia="en-GB"/>
                <w14:ligatures w14:val="standardContextual"/>
              </w:rPr>
              <w:tab/>
            </w:r>
            <w:r w:rsidRPr="00297627">
              <w:rPr>
                <w:rStyle w:val="Hyperlink"/>
                <w:sz w:val="20"/>
                <w:szCs w:val="20"/>
              </w:rPr>
              <w:t>Usable Reserve: General Fund</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_Toc232169363 \h </w:instrText>
            </w:r>
            <w:r w:rsidRPr="00297627">
              <w:rPr>
                <w:webHidden/>
                <w:sz w:val="20"/>
                <w:szCs w:val="20"/>
              </w:rPr>
            </w:r>
            <w:r w:rsidRPr="00297627">
              <w:rPr>
                <w:webHidden/>
                <w:sz w:val="20"/>
                <w:szCs w:val="20"/>
              </w:rPr>
              <w:fldChar w:fldCharType="separate"/>
            </w:r>
            <w:r w:rsidRPr="00297627">
              <w:rPr>
                <w:webHidden/>
                <w:sz w:val="20"/>
                <w:szCs w:val="20"/>
              </w:rPr>
              <w:t>54</w:t>
            </w:r>
            <w:r w:rsidRPr="00297627">
              <w:rPr>
                <w:webHidden/>
                <w:sz w:val="20"/>
                <w:szCs w:val="20"/>
              </w:rPr>
              <w:fldChar w:fldCharType="end"/>
            </w:r>
          </w:hyperlink>
        </w:p>
        <w:p w14:paraId="74BC9F5C" w14:textId="553B9C28"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4" w:history="1">
            <w:r w:rsidRPr="00297627">
              <w:rPr>
                <w:rStyle w:val="Hyperlink"/>
                <w:sz w:val="20"/>
                <w:szCs w:val="20"/>
              </w:rPr>
              <w:t>4.4.11</w:t>
            </w:r>
            <w:r w:rsidRPr="00297627">
              <w:rPr>
                <w:rFonts w:eastAsiaTheme="minorEastAsia"/>
                <w:b w:val="0"/>
                <w:bCs w:val="0"/>
                <w:kern w:val="2"/>
                <w:sz w:val="20"/>
                <w:szCs w:val="20"/>
                <w:lang w:eastAsia="en-GB"/>
                <w14:ligatures w14:val="standardContextual"/>
              </w:rPr>
              <w:tab/>
            </w:r>
            <w:r w:rsidRPr="00297627">
              <w:rPr>
                <w:rStyle w:val="Hyperlink"/>
                <w:sz w:val="20"/>
                <w:szCs w:val="20"/>
              </w:rPr>
              <w:t>Agency Income and Expenditure</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_Toc232169364 \h </w:instrText>
            </w:r>
            <w:r w:rsidRPr="00297627">
              <w:rPr>
                <w:webHidden/>
                <w:sz w:val="20"/>
                <w:szCs w:val="20"/>
              </w:rPr>
            </w:r>
            <w:r w:rsidRPr="00297627">
              <w:rPr>
                <w:webHidden/>
                <w:sz w:val="20"/>
                <w:szCs w:val="20"/>
              </w:rPr>
              <w:fldChar w:fldCharType="separate"/>
            </w:r>
            <w:r w:rsidRPr="00297627">
              <w:rPr>
                <w:webHidden/>
                <w:sz w:val="20"/>
                <w:szCs w:val="20"/>
              </w:rPr>
              <w:t>55</w:t>
            </w:r>
            <w:r w:rsidRPr="00297627">
              <w:rPr>
                <w:webHidden/>
                <w:sz w:val="20"/>
                <w:szCs w:val="20"/>
              </w:rPr>
              <w:fldChar w:fldCharType="end"/>
            </w:r>
          </w:hyperlink>
        </w:p>
        <w:p w14:paraId="033A813D" w14:textId="0DB2710F"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5" w:history="1">
            <w:r w:rsidRPr="00297627">
              <w:rPr>
                <w:rStyle w:val="Hyperlink"/>
                <w:sz w:val="20"/>
                <w:szCs w:val="20"/>
              </w:rPr>
              <w:t>4.4.12</w:t>
            </w:r>
            <w:r w:rsidRPr="00297627">
              <w:rPr>
                <w:rFonts w:eastAsiaTheme="minorEastAsia"/>
                <w:b w:val="0"/>
                <w:bCs w:val="0"/>
                <w:kern w:val="2"/>
                <w:sz w:val="20"/>
                <w:szCs w:val="20"/>
                <w:lang w:eastAsia="en-GB"/>
                <w14:ligatures w14:val="standardContextual"/>
              </w:rPr>
              <w:tab/>
            </w:r>
            <w:r w:rsidRPr="00297627">
              <w:rPr>
                <w:rStyle w:val="Hyperlink"/>
                <w:sz w:val="20"/>
                <w:szCs w:val="20"/>
              </w:rPr>
              <w:t>Related Party Transactions</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_Toc232169365 \h </w:instrText>
            </w:r>
            <w:r w:rsidRPr="00297627">
              <w:rPr>
                <w:webHidden/>
                <w:sz w:val="20"/>
                <w:szCs w:val="20"/>
              </w:rPr>
            </w:r>
            <w:r w:rsidRPr="00297627">
              <w:rPr>
                <w:webHidden/>
                <w:sz w:val="20"/>
                <w:szCs w:val="20"/>
              </w:rPr>
              <w:fldChar w:fldCharType="separate"/>
            </w:r>
            <w:r w:rsidRPr="00297627">
              <w:rPr>
                <w:webHidden/>
                <w:sz w:val="20"/>
                <w:szCs w:val="20"/>
              </w:rPr>
              <w:t>55</w:t>
            </w:r>
            <w:r w:rsidRPr="00297627">
              <w:rPr>
                <w:webHidden/>
                <w:sz w:val="20"/>
                <w:szCs w:val="20"/>
              </w:rPr>
              <w:fldChar w:fldCharType="end"/>
            </w:r>
          </w:hyperlink>
        </w:p>
        <w:p w14:paraId="767CBB87" w14:textId="770BE201" w:rsidR="00297627" w:rsidRPr="00297627" w:rsidRDefault="00297627">
          <w:pPr>
            <w:pStyle w:val="TOC3"/>
            <w:tabs>
              <w:tab w:val="left" w:pos="1200"/>
            </w:tabs>
            <w:rPr>
              <w:rFonts w:eastAsiaTheme="minorEastAsia"/>
              <w:b w:val="0"/>
              <w:bCs w:val="0"/>
              <w:kern w:val="2"/>
              <w:sz w:val="20"/>
              <w:szCs w:val="20"/>
              <w:lang w:eastAsia="en-GB"/>
              <w14:ligatures w14:val="standardContextual"/>
            </w:rPr>
          </w:pPr>
          <w:hyperlink w:anchor="_Toc232169366" w:history="1">
            <w:r w:rsidRPr="00297627">
              <w:rPr>
                <w:rStyle w:val="Hyperlink"/>
                <w:sz w:val="20"/>
                <w:szCs w:val="20"/>
              </w:rPr>
              <w:t>4.4.13</w:t>
            </w:r>
            <w:r w:rsidRPr="00297627">
              <w:rPr>
                <w:rFonts w:eastAsiaTheme="minorEastAsia"/>
                <w:b w:val="0"/>
                <w:bCs w:val="0"/>
                <w:kern w:val="2"/>
                <w:sz w:val="20"/>
                <w:szCs w:val="20"/>
                <w:lang w:eastAsia="en-GB"/>
                <w14:ligatures w14:val="standardContextual"/>
              </w:rPr>
              <w:tab/>
            </w:r>
            <w:r w:rsidRPr="00297627">
              <w:rPr>
                <w:rStyle w:val="Hyperlink"/>
                <w:sz w:val="20"/>
                <w:szCs w:val="20"/>
              </w:rPr>
              <w:t>VAT</w:t>
            </w:r>
            <w:r w:rsidRPr="00297627">
              <w:rPr>
                <w:webHidden/>
                <w:sz w:val="20"/>
                <w:szCs w:val="20"/>
              </w:rPr>
              <w:tab/>
            </w:r>
            <w:r w:rsidRPr="00297627">
              <w:rPr>
                <w:webHidden/>
                <w:sz w:val="20"/>
                <w:szCs w:val="20"/>
              </w:rPr>
              <w:fldChar w:fldCharType="begin"/>
            </w:r>
            <w:r w:rsidRPr="00297627">
              <w:rPr>
                <w:webHidden/>
                <w:sz w:val="20"/>
                <w:szCs w:val="20"/>
              </w:rPr>
              <w:instrText xml:space="preserve"> PAGEREF _Toc232169366 \h </w:instrText>
            </w:r>
            <w:r w:rsidRPr="00297627">
              <w:rPr>
                <w:webHidden/>
                <w:sz w:val="20"/>
                <w:szCs w:val="20"/>
              </w:rPr>
            </w:r>
            <w:r w:rsidRPr="00297627">
              <w:rPr>
                <w:webHidden/>
                <w:sz w:val="20"/>
                <w:szCs w:val="20"/>
              </w:rPr>
              <w:fldChar w:fldCharType="separate"/>
            </w:r>
            <w:r w:rsidRPr="00297627">
              <w:rPr>
                <w:webHidden/>
                <w:sz w:val="20"/>
                <w:szCs w:val="20"/>
              </w:rPr>
              <w:t>56</w:t>
            </w:r>
            <w:r w:rsidRPr="00297627">
              <w:rPr>
                <w:webHidden/>
                <w:sz w:val="20"/>
                <w:szCs w:val="20"/>
              </w:rPr>
              <w:fldChar w:fldCharType="end"/>
            </w:r>
          </w:hyperlink>
        </w:p>
        <w:p w14:paraId="59F4A199" w14:textId="2A3316FE" w:rsidR="00AD3F3F" w:rsidRPr="00343BF5" w:rsidRDefault="00AD3F3F" w:rsidP="5F662CDF">
          <w:pPr>
            <w:pStyle w:val="TOC3"/>
            <w:tabs>
              <w:tab w:val="clear" w:pos="9016"/>
              <w:tab w:val="left" w:pos="960"/>
              <w:tab w:val="right" w:leader="dot" w:pos="9015"/>
            </w:tabs>
            <w:rPr>
              <w:rStyle w:val="Hyperlink"/>
              <w:rFonts w:ascii="Verdana" w:hAnsi="Verdana"/>
              <w:kern w:val="2"/>
              <w:sz w:val="20"/>
              <w:szCs w:val="20"/>
              <w:lang w:eastAsia="en-GB"/>
              <w14:ligatures w14:val="standardContextual"/>
            </w:rPr>
          </w:pPr>
          <w:r w:rsidRPr="00297627">
            <w:rPr>
              <w:sz w:val="20"/>
              <w:szCs w:val="20"/>
            </w:rPr>
            <w:fldChar w:fldCharType="end"/>
          </w:r>
        </w:p>
      </w:sdtContent>
    </w:sdt>
    <w:p w14:paraId="3A2CEC4F" w14:textId="77777777" w:rsidR="00D22D94" w:rsidRPr="00A45A59" w:rsidRDefault="00D22D94" w:rsidP="34A5935B">
      <w:pPr>
        <w:pStyle w:val="TOC3"/>
        <w:tabs>
          <w:tab w:val="clear" w:pos="9016"/>
          <w:tab w:val="left" w:pos="960"/>
          <w:tab w:val="right" w:leader="dot" w:pos="9015"/>
        </w:tabs>
        <w:spacing w:after="0" w:line="240" w:lineRule="auto"/>
        <w:rPr>
          <w:rStyle w:val="Hyperlink"/>
          <w:lang w:eastAsia="en-GB"/>
        </w:rPr>
      </w:pPr>
    </w:p>
    <w:p w14:paraId="499FC0AE" w14:textId="6DAA1D14" w:rsidR="5F662CDF" w:rsidRDefault="5F662CDF" w:rsidP="5F662CDF">
      <w:pPr>
        <w:tabs>
          <w:tab w:val="left" w:pos="960"/>
          <w:tab w:val="right" w:leader="dot" w:pos="9015"/>
        </w:tabs>
        <w:rPr>
          <w:rStyle w:val="Hyperlink"/>
        </w:rPr>
        <w:sectPr w:rsidR="5F662CDF" w:rsidSect="00497E40">
          <w:headerReference w:type="default" r:id="rId19"/>
          <w:footerReference w:type="default" r:id="rId20"/>
          <w:pgSz w:w="11906" w:h="16838"/>
          <w:pgMar w:top="1440" w:right="1440" w:bottom="1440" w:left="1440" w:header="340" w:footer="284" w:gutter="0"/>
          <w:cols w:space="708"/>
          <w:docGrid w:linePitch="360"/>
        </w:sectPr>
      </w:pPr>
      <w:bookmarkStart w:id="0" w:name="_Toc70062047"/>
    </w:p>
    <w:p w14:paraId="255934C6" w14:textId="36F1A503" w:rsidR="00042B45" w:rsidRPr="00C9207C" w:rsidRDefault="00042B45" w:rsidP="00EC10BD">
      <w:pPr>
        <w:rPr>
          <w:rFonts w:ascii="Arial" w:hAnsi="Arial" w:cs="Arial"/>
          <w:sz w:val="20"/>
          <w:szCs w:val="20"/>
        </w:rPr>
      </w:pPr>
      <w:r w:rsidRPr="00C9207C">
        <w:rPr>
          <w:rFonts w:ascii="Arial" w:hAnsi="Arial" w:cs="Arial"/>
          <w:sz w:val="20"/>
          <w:szCs w:val="20"/>
        </w:rPr>
        <w:lastRenderedPageBreak/>
        <w:t>This publication contains the financial statements of Aberdeen City Integration Joint Board (‘IJB’) for the year ended 31 March 2026. The Management Commentary provides a structured narrative to support the accounts, setting out the Chief Officer’s review of the year, an overview of the IJB’s role and operating context, and an assessment of operational and financial performance. It also summarises the key risks, mitigations and outlook, and sets out our priorities and financial plans for the years ahead as we continue to work with partners to meet the needs of the people of Aberdeen.</w:t>
      </w:r>
    </w:p>
    <w:p w14:paraId="52B61AC6" w14:textId="502EAE78" w:rsidR="00EC10BD" w:rsidRPr="00C9207C" w:rsidRDefault="00EC10BD" w:rsidP="00EC10BD">
      <w:pPr>
        <w:rPr>
          <w:rFonts w:ascii="Arial" w:hAnsi="Arial" w:cs="Arial"/>
          <w:sz w:val="20"/>
          <w:szCs w:val="20"/>
        </w:rPr>
      </w:pPr>
      <w:r w:rsidRPr="00C9207C">
        <w:rPr>
          <w:rFonts w:ascii="Arial" w:hAnsi="Arial" w:cs="Arial"/>
          <w:noProof/>
          <w:sz w:val="20"/>
          <w:szCs w:val="20"/>
        </w:rPr>
        <w:drawing>
          <wp:inline distT="0" distB="0" distL="0" distR="0" wp14:anchorId="6BD867AA" wp14:editId="50979EB4">
            <wp:extent cx="5731510" cy="3818619"/>
            <wp:effectExtent l="0" t="0" r="2540" b="0"/>
            <wp:docPr id="1" name="Picture 1" descr="Aberdeen City - Scotland Info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deen City - Scotland Info Gu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14:paraId="4DBC69AB" w14:textId="77777777" w:rsidR="00EC10BD" w:rsidRPr="00C9207C" w:rsidRDefault="00EC10BD">
      <w:pPr>
        <w:spacing w:after="0" w:line="240" w:lineRule="auto"/>
        <w:rPr>
          <w:rFonts w:ascii="Arial" w:hAnsi="Arial" w:cs="Arial"/>
          <w:sz w:val="20"/>
          <w:szCs w:val="20"/>
        </w:rPr>
      </w:pPr>
      <w:r w:rsidRPr="00C9207C">
        <w:rPr>
          <w:rFonts w:ascii="Arial" w:hAnsi="Arial" w:cs="Arial"/>
          <w:sz w:val="20"/>
          <w:szCs w:val="20"/>
        </w:rPr>
        <w:br w:type="page"/>
      </w:r>
    </w:p>
    <w:p w14:paraId="508AF826" w14:textId="77777777" w:rsidR="00142C85" w:rsidRPr="00C9207C" w:rsidRDefault="00142C85" w:rsidP="00A51927">
      <w:pPr>
        <w:pStyle w:val="Heading1"/>
        <w:jc w:val="left"/>
        <w:rPr>
          <w:rFonts w:ascii="Arial" w:hAnsi="Arial" w:cs="Arial"/>
        </w:rPr>
      </w:pPr>
      <w:bookmarkStart w:id="1" w:name="_Toc232169334"/>
      <w:r w:rsidRPr="00C9207C">
        <w:rPr>
          <w:rFonts w:ascii="Arial" w:hAnsi="Arial" w:cs="Arial"/>
        </w:rPr>
        <w:lastRenderedPageBreak/>
        <w:t>Aberdeen City IJB at a Glance</w:t>
      </w:r>
      <w:bookmarkEnd w:id="1"/>
    </w:p>
    <w:p w14:paraId="7F891634" w14:textId="77777777" w:rsidR="0058437A" w:rsidRPr="00C9207C" w:rsidRDefault="0058437A" w:rsidP="00A51927">
      <w:pPr>
        <w:rPr>
          <w:rFonts w:ascii="Arial" w:hAnsi="Arial" w:cs="Arial"/>
          <w:sz w:val="20"/>
          <w:szCs w:val="20"/>
        </w:rPr>
      </w:pPr>
    </w:p>
    <w:p w14:paraId="29DBAFA8" w14:textId="77777777" w:rsidR="0075696C" w:rsidRDefault="0075696C">
      <w:pPr>
        <w:spacing w:after="0" w:line="240" w:lineRule="auto"/>
        <w:rPr>
          <w:kern w:val="2"/>
          <w14:ligatures w14:val="standardContextual"/>
        </w:rPr>
      </w:pPr>
      <w:r>
        <w:rPr>
          <w:rFonts w:ascii="Arial" w:hAnsi="Arial" w:cs="Arial"/>
          <w:color w:val="000000"/>
          <w:sz w:val="20"/>
          <w:szCs w:val="20"/>
        </w:rPr>
        <w:t>Aberdeen City Integration Joint Board (IJB) is a partnership between NHS Grampian and Aberdeen City Council with responsibility for planning and directing adult health and social care services across Aberdeen. Working through the Aberdeen City Health and Social Care Partnership, the IJB is focused on improving outcomes by enabling people to live independently at home, or in a homely setting where it is safe to do so. This approach is underpinned by the Strategic Plan 2025–2029, with its two strategic aims of modernising our approach to service delivery and shifting our focus towards early intervention and prevention.</w:t>
      </w:r>
    </w:p>
    <w:p w14:paraId="36A4C559" w14:textId="77777777" w:rsidR="00096B42" w:rsidRPr="00C9207C" w:rsidRDefault="00096B42" w:rsidP="00A51927">
      <w:pPr>
        <w:spacing w:after="0" w:line="240" w:lineRule="auto"/>
        <w:rPr>
          <w:rFonts w:ascii="Arial" w:hAnsi="Arial" w:cs="Arial"/>
          <w:sz w:val="20"/>
          <w:szCs w:val="20"/>
        </w:rPr>
      </w:pPr>
    </w:p>
    <w:p w14:paraId="3033D8E0" w14:textId="77777777" w:rsidR="0075696C" w:rsidRDefault="0075696C">
      <w:pPr>
        <w:spacing w:after="0" w:line="240" w:lineRule="auto"/>
        <w:rPr>
          <w:kern w:val="2"/>
          <w14:ligatures w14:val="standardContextual"/>
        </w:rPr>
      </w:pPr>
      <w:r>
        <w:rPr>
          <w:rFonts w:ascii="Arial" w:hAnsi="Arial" w:cs="Arial"/>
          <w:color w:val="000000"/>
          <w:sz w:val="20"/>
          <w:szCs w:val="20"/>
        </w:rPr>
        <w:t>During 2025/26, the Partnership continued to operate in a challenging environment, shaped by an ageing population, increasing complexity of need and persistent inequalities in health and wellbeing. Alongside these pressures, work continued to strengthen community-based support, improve access to timely care and support, and advance transformation aligned to the Strategic Plan 2025–2029. This included a continued emphasis on prevention and early intervention, while modernising service delivery to improve sustainability and make best use of the resources available.</w:t>
      </w:r>
    </w:p>
    <w:p w14:paraId="4C768B77" w14:textId="77777777" w:rsidR="005A12A3" w:rsidRPr="00C9207C" w:rsidRDefault="005A12A3">
      <w:pPr>
        <w:spacing w:after="120" w:line="240" w:lineRule="auto"/>
        <w:rPr>
          <w:rFonts w:ascii="Arial" w:hAnsi="Arial" w:cs="Arial"/>
          <w:kern w:val="2"/>
          <w:sz w:val="20"/>
          <w:szCs w:val="20"/>
          <w14:ligatures w14:val="standardContextual"/>
        </w:rPr>
      </w:pPr>
      <w:r w:rsidRPr="00C9207C">
        <w:rPr>
          <w:rFonts w:ascii="Arial" w:hAnsi="Arial" w:cs="Arial"/>
          <w:b/>
          <w:bCs/>
          <w:sz w:val="20"/>
          <w:szCs w:val="20"/>
        </w:rPr>
        <w:t> </w:t>
      </w:r>
    </w:p>
    <w:tbl>
      <w:tblPr>
        <w:tblStyle w:val="TableGrid1"/>
        <w:tblW w:w="9974" w:type="dxa"/>
        <w:tblLook w:val="04A0" w:firstRow="1" w:lastRow="0" w:firstColumn="1" w:lastColumn="0" w:noHBand="0" w:noVBand="1"/>
      </w:tblPr>
      <w:tblGrid>
        <w:gridCol w:w="2623"/>
        <w:gridCol w:w="3675"/>
        <w:gridCol w:w="3676"/>
      </w:tblGrid>
      <w:tr w:rsidR="00645AE9" w:rsidRPr="00C9207C" w14:paraId="0EA86791" w14:textId="77777777" w:rsidTr="00F8599D">
        <w:trPr>
          <w:trHeight w:val="116"/>
        </w:trPr>
        <w:tc>
          <w:tcPr>
            <w:tcW w:w="0" w:type="auto"/>
            <w:vAlign w:val="center"/>
            <w:hideMark/>
          </w:tcPr>
          <w:p w14:paraId="211B327F" w14:textId="6CB98418" w:rsidR="00645AE9" w:rsidRPr="00C9207C" w:rsidRDefault="00645AE9" w:rsidP="00A51927">
            <w:pPr>
              <w:spacing w:after="0" w:line="240" w:lineRule="auto"/>
              <w:rPr>
                <w:rFonts w:ascii="Arial" w:hAnsi="Arial" w:cs="Arial"/>
                <w:kern w:val="2"/>
                <w:sz w:val="20"/>
                <w:szCs w:val="20"/>
                <w14:ligatures w14:val="standardContextual"/>
              </w:rPr>
            </w:pPr>
            <w:r w:rsidRPr="00C9207C">
              <w:rPr>
                <w:rFonts w:ascii="Arial" w:hAnsi="Arial" w:cs="Arial"/>
                <w:b/>
                <w:bCs/>
                <w:sz w:val="20"/>
                <w:szCs w:val="20"/>
              </w:rPr>
              <w:t xml:space="preserve">Key </w:t>
            </w:r>
            <w:r w:rsidR="00A43CEC">
              <w:rPr>
                <w:rFonts w:ascii="Arial" w:hAnsi="Arial" w:cs="Arial"/>
                <w:b/>
                <w:bCs/>
                <w:sz w:val="20"/>
                <w:szCs w:val="20"/>
              </w:rPr>
              <w:t xml:space="preserve">financial </w:t>
            </w:r>
            <w:r w:rsidR="009D1B97">
              <w:rPr>
                <w:rFonts w:ascii="Arial" w:hAnsi="Arial" w:cs="Arial"/>
                <w:b/>
                <w:bCs/>
                <w:sz w:val="20"/>
                <w:szCs w:val="20"/>
              </w:rPr>
              <w:t>info</w:t>
            </w:r>
          </w:p>
        </w:tc>
        <w:tc>
          <w:tcPr>
            <w:tcW w:w="3675" w:type="dxa"/>
            <w:vAlign w:val="center"/>
          </w:tcPr>
          <w:p w14:paraId="0A1E28F2" w14:textId="78CC1687" w:rsidR="00645AE9" w:rsidRPr="00C9207C" w:rsidRDefault="003C4FD8" w:rsidP="00E64FCF">
            <w:pPr>
              <w:spacing w:after="0" w:line="240" w:lineRule="auto"/>
              <w:jc w:val="center"/>
              <w:rPr>
                <w:rFonts w:ascii="Arial" w:hAnsi="Arial" w:cs="Arial"/>
                <w:b/>
                <w:bCs/>
                <w:sz w:val="20"/>
                <w:szCs w:val="20"/>
              </w:rPr>
            </w:pPr>
            <w:r w:rsidRPr="00C9207C">
              <w:rPr>
                <w:rFonts w:ascii="Arial" w:hAnsi="Arial" w:cs="Arial"/>
                <w:b/>
                <w:bCs/>
                <w:sz w:val="20"/>
                <w:szCs w:val="20"/>
              </w:rPr>
              <w:t>2025/26</w:t>
            </w:r>
          </w:p>
        </w:tc>
        <w:tc>
          <w:tcPr>
            <w:tcW w:w="3676" w:type="dxa"/>
            <w:vAlign w:val="center"/>
            <w:hideMark/>
          </w:tcPr>
          <w:p w14:paraId="2B6CF965" w14:textId="3D2FEDAD" w:rsidR="00645AE9" w:rsidRPr="00C9207C" w:rsidRDefault="003C4FD8" w:rsidP="00E64FCF">
            <w:pPr>
              <w:spacing w:after="0" w:line="240" w:lineRule="auto"/>
              <w:jc w:val="center"/>
              <w:rPr>
                <w:rFonts w:ascii="Arial" w:hAnsi="Arial" w:cs="Arial"/>
                <w:sz w:val="20"/>
                <w:szCs w:val="20"/>
              </w:rPr>
            </w:pPr>
            <w:r w:rsidRPr="00C9207C">
              <w:rPr>
                <w:rFonts w:ascii="Arial" w:hAnsi="Arial" w:cs="Arial"/>
                <w:b/>
                <w:bCs/>
                <w:sz w:val="20"/>
                <w:szCs w:val="20"/>
              </w:rPr>
              <w:t>2024/25</w:t>
            </w:r>
          </w:p>
        </w:tc>
      </w:tr>
      <w:tr w:rsidR="00645AE9" w:rsidRPr="00C9207C" w14:paraId="606A89B9" w14:textId="77777777" w:rsidTr="00F8599D">
        <w:trPr>
          <w:trHeight w:val="116"/>
        </w:trPr>
        <w:tc>
          <w:tcPr>
            <w:tcW w:w="0" w:type="auto"/>
            <w:vAlign w:val="center"/>
            <w:hideMark/>
          </w:tcPr>
          <w:p w14:paraId="20F6D2A8" w14:textId="24CF2638" w:rsidR="00645AE9" w:rsidRPr="00C9207C" w:rsidRDefault="000C1042" w:rsidP="00A51927">
            <w:pPr>
              <w:spacing w:after="0" w:line="240" w:lineRule="auto"/>
              <w:rPr>
                <w:rFonts w:ascii="Arial" w:hAnsi="Arial" w:cs="Arial"/>
                <w:sz w:val="20"/>
                <w:szCs w:val="20"/>
              </w:rPr>
            </w:pPr>
            <w:r>
              <w:rPr>
                <w:rFonts w:ascii="Arial" w:hAnsi="Arial" w:cs="Arial"/>
                <w:sz w:val="20"/>
                <w:szCs w:val="20"/>
              </w:rPr>
              <w:t>B</w:t>
            </w:r>
            <w:r w:rsidR="007A7EF8" w:rsidRPr="00C9207C">
              <w:rPr>
                <w:rFonts w:ascii="Arial" w:hAnsi="Arial" w:cs="Arial"/>
                <w:sz w:val="20"/>
                <w:szCs w:val="20"/>
              </w:rPr>
              <w:t>udget</w:t>
            </w:r>
            <w:r w:rsidR="00A67122">
              <w:rPr>
                <w:rFonts w:ascii="Arial" w:hAnsi="Arial" w:cs="Arial"/>
                <w:sz w:val="20"/>
                <w:szCs w:val="20"/>
              </w:rPr>
              <w:t xml:space="preserve"> (set initially)</w:t>
            </w:r>
          </w:p>
        </w:tc>
        <w:tc>
          <w:tcPr>
            <w:tcW w:w="3675" w:type="dxa"/>
            <w:vAlign w:val="center"/>
          </w:tcPr>
          <w:p w14:paraId="0B1B8381" w14:textId="3DDCA4C0" w:rsidR="00645AE9" w:rsidRPr="00C9207C" w:rsidRDefault="0097580A" w:rsidP="00357F8B">
            <w:pPr>
              <w:spacing w:after="0" w:line="240" w:lineRule="auto"/>
              <w:rPr>
                <w:rFonts w:ascii="Arial" w:hAnsi="Arial" w:cs="Arial"/>
                <w:sz w:val="20"/>
                <w:szCs w:val="20"/>
                <w:highlight w:val="yellow"/>
              </w:rPr>
            </w:pPr>
            <w:r w:rsidRPr="00C9207C">
              <w:rPr>
                <w:rFonts w:ascii="Arial" w:hAnsi="Arial" w:cs="Arial"/>
                <w:sz w:val="20"/>
                <w:szCs w:val="20"/>
              </w:rPr>
              <w:t>£4</w:t>
            </w:r>
            <w:r w:rsidR="009005B2" w:rsidRPr="00C9207C">
              <w:rPr>
                <w:rFonts w:ascii="Arial" w:hAnsi="Arial" w:cs="Arial"/>
                <w:sz w:val="20"/>
                <w:szCs w:val="20"/>
              </w:rPr>
              <w:t>39.1</w:t>
            </w:r>
            <w:r w:rsidRPr="00C9207C">
              <w:rPr>
                <w:rFonts w:ascii="Arial" w:hAnsi="Arial" w:cs="Arial"/>
                <w:sz w:val="20"/>
                <w:szCs w:val="20"/>
              </w:rPr>
              <w:t>m</w:t>
            </w:r>
          </w:p>
        </w:tc>
        <w:tc>
          <w:tcPr>
            <w:tcW w:w="3676" w:type="dxa"/>
            <w:vAlign w:val="center"/>
            <w:hideMark/>
          </w:tcPr>
          <w:p w14:paraId="37FC2D81" w14:textId="77777777" w:rsidR="00645AE9" w:rsidRPr="00C9207C" w:rsidRDefault="00645AE9" w:rsidP="00A51927">
            <w:pPr>
              <w:spacing w:after="0" w:line="240" w:lineRule="auto"/>
              <w:rPr>
                <w:rFonts w:ascii="Arial" w:hAnsi="Arial" w:cs="Arial"/>
                <w:sz w:val="20"/>
                <w:szCs w:val="20"/>
              </w:rPr>
            </w:pPr>
            <w:r w:rsidRPr="00C9207C">
              <w:rPr>
                <w:rFonts w:ascii="Arial" w:hAnsi="Arial" w:cs="Arial"/>
                <w:sz w:val="20"/>
                <w:szCs w:val="20"/>
              </w:rPr>
              <w:t>£437.8m</w:t>
            </w:r>
          </w:p>
        </w:tc>
      </w:tr>
      <w:tr w:rsidR="00645AE9" w:rsidRPr="00C9207C" w14:paraId="14AEF798" w14:textId="77777777" w:rsidTr="00F8599D">
        <w:trPr>
          <w:trHeight w:val="116"/>
        </w:trPr>
        <w:tc>
          <w:tcPr>
            <w:tcW w:w="0" w:type="auto"/>
            <w:vAlign w:val="center"/>
            <w:hideMark/>
          </w:tcPr>
          <w:p w14:paraId="72327291" w14:textId="77777777" w:rsidR="00645AE9" w:rsidRPr="00C9207C" w:rsidRDefault="00645AE9" w:rsidP="00A51927">
            <w:pPr>
              <w:spacing w:after="0" w:line="240" w:lineRule="auto"/>
              <w:rPr>
                <w:rFonts w:ascii="Arial" w:hAnsi="Arial" w:cs="Arial"/>
                <w:sz w:val="20"/>
                <w:szCs w:val="20"/>
              </w:rPr>
            </w:pPr>
            <w:r w:rsidRPr="00C9207C">
              <w:rPr>
                <w:rFonts w:ascii="Arial" w:hAnsi="Arial" w:cs="Arial"/>
                <w:sz w:val="20"/>
                <w:szCs w:val="20"/>
              </w:rPr>
              <w:t>Mainstream outturn</w:t>
            </w:r>
          </w:p>
        </w:tc>
        <w:tc>
          <w:tcPr>
            <w:tcW w:w="3675" w:type="dxa"/>
            <w:vAlign w:val="center"/>
          </w:tcPr>
          <w:p w14:paraId="110B8AC6" w14:textId="426E22FA" w:rsidR="00645AE9" w:rsidRPr="006E58C7" w:rsidRDefault="0097580A" w:rsidP="00A51927">
            <w:pPr>
              <w:spacing w:after="0" w:line="240" w:lineRule="auto"/>
              <w:rPr>
                <w:rFonts w:ascii="Arial" w:hAnsi="Arial" w:cs="Arial"/>
                <w:sz w:val="20"/>
                <w:szCs w:val="20"/>
              </w:rPr>
            </w:pPr>
            <w:r w:rsidRPr="00C9207C">
              <w:rPr>
                <w:rFonts w:ascii="Arial" w:hAnsi="Arial" w:cs="Arial"/>
                <w:sz w:val="20"/>
                <w:szCs w:val="20"/>
              </w:rPr>
              <w:t>£11.231m underspend (before earmarking)</w:t>
            </w:r>
            <w:r w:rsidR="001501F5">
              <w:rPr>
                <w:rFonts w:ascii="Arial" w:hAnsi="Arial" w:cs="Arial"/>
                <w:sz w:val="20"/>
                <w:szCs w:val="20"/>
              </w:rPr>
              <w:t xml:space="preserve">. Additional </w:t>
            </w:r>
            <w:r w:rsidR="009804EB">
              <w:rPr>
                <w:rFonts w:ascii="Arial" w:hAnsi="Arial" w:cs="Arial"/>
                <w:sz w:val="20"/>
                <w:szCs w:val="20"/>
              </w:rPr>
              <w:t>partner contribution</w:t>
            </w:r>
            <w:r w:rsidR="004C4800">
              <w:rPr>
                <w:rFonts w:ascii="Arial" w:hAnsi="Arial" w:cs="Arial"/>
                <w:sz w:val="20"/>
                <w:szCs w:val="20"/>
              </w:rPr>
              <w:t xml:space="preserve"> of</w:t>
            </w:r>
            <w:r w:rsidRPr="00C9207C">
              <w:rPr>
                <w:rFonts w:ascii="Arial" w:hAnsi="Arial" w:cs="Arial"/>
                <w:sz w:val="20"/>
                <w:szCs w:val="20"/>
              </w:rPr>
              <w:t xml:space="preserve"> £10.909m </w:t>
            </w:r>
            <w:r w:rsidR="006E58C7" w:rsidRPr="006E58C7">
              <w:rPr>
                <w:rFonts w:ascii="Arial" w:hAnsi="Arial" w:cs="Arial"/>
                <w:sz w:val="20"/>
                <w:szCs w:val="20"/>
              </w:rPr>
              <w:t>to support service pressures and financial resilience</w:t>
            </w:r>
          </w:p>
        </w:tc>
        <w:tc>
          <w:tcPr>
            <w:tcW w:w="3676" w:type="dxa"/>
            <w:vAlign w:val="center"/>
            <w:hideMark/>
          </w:tcPr>
          <w:p w14:paraId="14622841" w14:textId="77777777" w:rsidR="00645AE9" w:rsidRPr="00C9207C" w:rsidRDefault="00645AE9" w:rsidP="00A51927">
            <w:pPr>
              <w:spacing w:after="0" w:line="240" w:lineRule="auto"/>
              <w:rPr>
                <w:rFonts w:ascii="Arial" w:hAnsi="Arial" w:cs="Arial"/>
                <w:sz w:val="20"/>
                <w:szCs w:val="20"/>
              </w:rPr>
            </w:pPr>
            <w:r w:rsidRPr="00C9207C">
              <w:rPr>
                <w:rFonts w:ascii="Arial" w:hAnsi="Arial" w:cs="Arial"/>
                <w:sz w:val="20"/>
                <w:szCs w:val="20"/>
              </w:rPr>
              <w:t>£19.25m overspend, supported by £9.835m uncommitted reserves and £10.490m additional partner contributions</w:t>
            </w:r>
          </w:p>
        </w:tc>
      </w:tr>
      <w:tr w:rsidR="00645AE9" w:rsidRPr="00C9207C" w14:paraId="1030CCFF" w14:textId="77777777" w:rsidTr="00F8599D">
        <w:trPr>
          <w:trHeight w:val="116"/>
        </w:trPr>
        <w:tc>
          <w:tcPr>
            <w:tcW w:w="0" w:type="auto"/>
            <w:vAlign w:val="center"/>
            <w:hideMark/>
          </w:tcPr>
          <w:p w14:paraId="175D3B9E" w14:textId="62DEF842" w:rsidR="00645AE9" w:rsidRPr="00C9207C" w:rsidRDefault="00645AE9" w:rsidP="00A51927">
            <w:pPr>
              <w:spacing w:after="0" w:line="240" w:lineRule="auto"/>
              <w:rPr>
                <w:rFonts w:ascii="Arial" w:hAnsi="Arial" w:cs="Arial"/>
                <w:sz w:val="20"/>
                <w:szCs w:val="20"/>
              </w:rPr>
            </w:pPr>
            <w:r w:rsidRPr="00C9207C">
              <w:rPr>
                <w:rFonts w:ascii="Arial" w:hAnsi="Arial" w:cs="Arial"/>
                <w:sz w:val="20"/>
                <w:szCs w:val="20"/>
              </w:rPr>
              <w:t>Usable reserves at 31 March</w:t>
            </w:r>
          </w:p>
        </w:tc>
        <w:tc>
          <w:tcPr>
            <w:tcW w:w="3675" w:type="dxa"/>
            <w:vAlign w:val="center"/>
          </w:tcPr>
          <w:p w14:paraId="4A08E0F9" w14:textId="02D49F48" w:rsidR="00645AE9" w:rsidRPr="00C9207C" w:rsidRDefault="0097580A" w:rsidP="00193101">
            <w:pPr>
              <w:spacing w:after="0" w:line="240" w:lineRule="auto"/>
              <w:rPr>
                <w:rFonts w:ascii="Arial" w:hAnsi="Arial" w:cs="Arial"/>
                <w:sz w:val="20"/>
                <w:szCs w:val="20"/>
                <w:highlight w:val="yellow"/>
              </w:rPr>
            </w:pPr>
            <w:r w:rsidRPr="00C9207C">
              <w:rPr>
                <w:rFonts w:ascii="Arial" w:hAnsi="Arial" w:cs="Arial"/>
                <w:sz w:val="20"/>
                <w:szCs w:val="20"/>
              </w:rPr>
              <w:t>£7.</w:t>
            </w:r>
            <w:r w:rsidR="000C1287" w:rsidRPr="00C9207C">
              <w:rPr>
                <w:rFonts w:ascii="Arial" w:hAnsi="Arial" w:cs="Arial"/>
                <w:sz w:val="20"/>
                <w:szCs w:val="20"/>
              </w:rPr>
              <w:t>704</w:t>
            </w:r>
            <w:r w:rsidRPr="00C9207C">
              <w:rPr>
                <w:rFonts w:ascii="Arial" w:hAnsi="Arial" w:cs="Arial"/>
                <w:sz w:val="20"/>
                <w:szCs w:val="20"/>
              </w:rPr>
              <w:t>m</w:t>
            </w:r>
          </w:p>
        </w:tc>
        <w:tc>
          <w:tcPr>
            <w:tcW w:w="3676" w:type="dxa"/>
            <w:vAlign w:val="center"/>
            <w:hideMark/>
          </w:tcPr>
          <w:p w14:paraId="6EC4D51E" w14:textId="68B745CF" w:rsidR="00645AE9" w:rsidRPr="00C9207C" w:rsidRDefault="00645AE9" w:rsidP="00A51927">
            <w:pPr>
              <w:spacing w:after="0" w:line="240" w:lineRule="auto"/>
              <w:rPr>
                <w:rFonts w:ascii="Arial" w:hAnsi="Arial" w:cs="Arial"/>
                <w:sz w:val="20"/>
                <w:szCs w:val="20"/>
              </w:rPr>
            </w:pPr>
            <w:r w:rsidRPr="00C9207C">
              <w:rPr>
                <w:rFonts w:ascii="Arial" w:hAnsi="Arial" w:cs="Arial"/>
                <w:sz w:val="20"/>
                <w:szCs w:val="20"/>
              </w:rPr>
              <w:t>£nil</w:t>
            </w:r>
          </w:p>
        </w:tc>
      </w:tr>
    </w:tbl>
    <w:p w14:paraId="0B8781F2" w14:textId="77777777" w:rsidR="00F630E1" w:rsidRDefault="00F630E1" w:rsidP="00F630E1">
      <w:pPr>
        <w:rPr>
          <w:rFonts w:ascii="Arial" w:hAnsi="Arial" w:cs="Arial"/>
          <w:b/>
          <w:bCs/>
          <w:color w:val="000000"/>
          <w:sz w:val="20"/>
          <w:szCs w:val="20"/>
        </w:rPr>
      </w:pPr>
    </w:p>
    <w:p w14:paraId="004CA4D4" w14:textId="3D6B39A4" w:rsidR="00F630E1" w:rsidRPr="00F630E1" w:rsidRDefault="00F630E1" w:rsidP="00F630E1">
      <w:pPr>
        <w:rPr>
          <w:rFonts w:ascii="Arial" w:hAnsi="Arial" w:cs="Arial"/>
          <w:b/>
          <w:bCs/>
          <w:color w:val="000000"/>
          <w:sz w:val="20"/>
          <w:szCs w:val="20"/>
        </w:rPr>
      </w:pPr>
      <w:r w:rsidRPr="00F630E1">
        <w:rPr>
          <w:rFonts w:ascii="Arial" w:hAnsi="Arial" w:cs="Arial"/>
          <w:b/>
          <w:bCs/>
          <w:color w:val="000000"/>
          <w:sz w:val="20"/>
          <w:szCs w:val="20"/>
        </w:rPr>
        <w:t>Key factors shaping 2025/26</w:t>
      </w:r>
    </w:p>
    <w:p w14:paraId="2AA97CE2" w14:textId="77777777" w:rsidR="00B30C75" w:rsidRPr="00B30C75" w:rsidRDefault="00B30C75" w:rsidP="00B30C75">
      <w:pPr>
        <w:pStyle w:val="ListParagraph"/>
        <w:numPr>
          <w:ilvl w:val="0"/>
          <w:numId w:val="19"/>
        </w:numPr>
        <w:rPr>
          <w:kern w:val="2"/>
          <w:sz w:val="24"/>
          <w:szCs w:val="24"/>
          <w14:ligatures w14:val="standardContextual"/>
        </w:rPr>
      </w:pPr>
      <w:r w:rsidRPr="00B30C75">
        <w:rPr>
          <w:rFonts w:ascii="Arial" w:hAnsi="Arial" w:cs="Arial"/>
          <w:color w:val="000000"/>
          <w:sz w:val="20"/>
          <w:szCs w:val="20"/>
        </w:rPr>
        <w:t>Responding to growing demand and increasingly complex needs across the city.</w:t>
      </w:r>
    </w:p>
    <w:p w14:paraId="4328BF12" w14:textId="77777777" w:rsidR="00B30C75" w:rsidRDefault="00B30C75" w:rsidP="00B30C75">
      <w:pPr>
        <w:pStyle w:val="ListParagraph"/>
        <w:numPr>
          <w:ilvl w:val="0"/>
          <w:numId w:val="19"/>
        </w:numPr>
        <w:rPr>
          <w:sz w:val="24"/>
          <w:szCs w:val="24"/>
        </w:rPr>
      </w:pPr>
      <w:r>
        <w:rPr>
          <w:rFonts w:ascii="Arial" w:hAnsi="Arial" w:cs="Arial"/>
          <w:color w:val="000000"/>
          <w:sz w:val="20"/>
          <w:szCs w:val="20"/>
        </w:rPr>
        <w:t>Strengthening community pathways and supporting improved flow across the wider system.</w:t>
      </w:r>
    </w:p>
    <w:p w14:paraId="0D36EEA2" w14:textId="77777777" w:rsidR="00B30C75" w:rsidRDefault="00B30C75" w:rsidP="00B30C75">
      <w:pPr>
        <w:pStyle w:val="ListParagraph"/>
        <w:numPr>
          <w:ilvl w:val="0"/>
          <w:numId w:val="19"/>
        </w:numPr>
        <w:rPr>
          <w:sz w:val="24"/>
          <w:szCs w:val="24"/>
        </w:rPr>
      </w:pPr>
      <w:r>
        <w:rPr>
          <w:rFonts w:ascii="Arial" w:hAnsi="Arial" w:cs="Arial"/>
          <w:color w:val="000000"/>
          <w:sz w:val="20"/>
          <w:szCs w:val="20"/>
        </w:rPr>
        <w:t>Supporting workforce resilience, recruitment and retention.</w:t>
      </w:r>
    </w:p>
    <w:p w14:paraId="0F6D6F35" w14:textId="77777777" w:rsidR="00B30C75" w:rsidRDefault="00B30C75" w:rsidP="00B30C75">
      <w:pPr>
        <w:pStyle w:val="ListParagraph"/>
        <w:numPr>
          <w:ilvl w:val="0"/>
          <w:numId w:val="19"/>
        </w:numPr>
        <w:rPr>
          <w:sz w:val="24"/>
          <w:szCs w:val="24"/>
        </w:rPr>
      </w:pPr>
      <w:r>
        <w:rPr>
          <w:rFonts w:ascii="Arial" w:hAnsi="Arial" w:cs="Arial"/>
          <w:color w:val="000000"/>
          <w:sz w:val="20"/>
          <w:szCs w:val="20"/>
        </w:rPr>
        <w:t>Maintaining financial sustainability while delivering recurring savings over time.</w:t>
      </w:r>
    </w:p>
    <w:p w14:paraId="744FFA20" w14:textId="77777777" w:rsidR="00B30C75" w:rsidRDefault="00B30C75" w:rsidP="00B30C75">
      <w:pPr>
        <w:pStyle w:val="ListParagraph"/>
        <w:numPr>
          <w:ilvl w:val="0"/>
          <w:numId w:val="19"/>
        </w:numPr>
        <w:rPr>
          <w:sz w:val="24"/>
          <w:szCs w:val="24"/>
        </w:rPr>
      </w:pPr>
      <w:r>
        <w:rPr>
          <w:rFonts w:ascii="Arial" w:hAnsi="Arial" w:cs="Arial"/>
          <w:color w:val="000000"/>
          <w:sz w:val="20"/>
          <w:szCs w:val="20"/>
        </w:rPr>
        <w:t>Working with providers to support capacity and sustainability in commissioned services.</w:t>
      </w:r>
    </w:p>
    <w:p w14:paraId="3B3B8E78" w14:textId="77777777" w:rsidR="00B30C75" w:rsidRDefault="00B30C75" w:rsidP="00B30C75">
      <w:pPr>
        <w:pStyle w:val="ListParagraph"/>
        <w:numPr>
          <w:ilvl w:val="0"/>
          <w:numId w:val="19"/>
        </w:numPr>
        <w:rPr>
          <w:sz w:val="24"/>
          <w:szCs w:val="24"/>
        </w:rPr>
      </w:pPr>
      <w:r>
        <w:rPr>
          <w:rFonts w:ascii="Arial" w:hAnsi="Arial" w:cs="Arial"/>
          <w:color w:val="000000"/>
          <w:sz w:val="20"/>
          <w:szCs w:val="20"/>
        </w:rPr>
        <w:t>Continuing to modernise services and expand prevention and early intervention.</w:t>
      </w:r>
    </w:p>
    <w:p w14:paraId="7526B2C6" w14:textId="2D26E59C" w:rsidR="00CB53BD" w:rsidRPr="00C9207C" w:rsidRDefault="00E523F6" w:rsidP="00A51927">
      <w:pPr>
        <w:spacing w:after="0" w:line="240" w:lineRule="auto"/>
        <w:rPr>
          <w:rFonts w:ascii="Arial" w:hAnsi="Arial" w:cs="Arial"/>
          <w:sz w:val="20"/>
          <w:szCs w:val="20"/>
        </w:rPr>
      </w:pPr>
      <w:r w:rsidRPr="00C9207C">
        <w:rPr>
          <w:rFonts w:ascii="Arial" w:hAnsi="Arial" w:cs="Arial"/>
          <w:sz w:val="20"/>
          <w:szCs w:val="20"/>
        </w:rPr>
        <w:t> </w:t>
      </w:r>
    </w:p>
    <w:p w14:paraId="37DC16BC" w14:textId="2F79F65C" w:rsidR="00C9207C" w:rsidRDefault="00C9207C">
      <w:pPr>
        <w:spacing w:after="0" w:line="240" w:lineRule="auto"/>
        <w:rPr>
          <w:rFonts w:ascii="Arial" w:hAnsi="Arial" w:cs="Arial"/>
          <w:b/>
          <w:sz w:val="20"/>
          <w:szCs w:val="20"/>
          <w:highlight w:val="yellow"/>
          <w:u w:val="single"/>
        </w:rPr>
      </w:pPr>
      <w:r>
        <w:rPr>
          <w:rFonts w:ascii="Arial" w:hAnsi="Arial" w:cs="Arial"/>
          <w:highlight w:val="yellow"/>
        </w:rPr>
        <w:br w:type="page"/>
      </w:r>
    </w:p>
    <w:p w14:paraId="4F654DEF" w14:textId="5A1A23CB" w:rsidR="00554A08" w:rsidRPr="00090BC0" w:rsidRDefault="00554A08" w:rsidP="00A51927">
      <w:pPr>
        <w:pStyle w:val="Heading1"/>
        <w:jc w:val="left"/>
        <w:rPr>
          <w:rFonts w:ascii="Arial" w:hAnsi="Arial" w:cs="Arial"/>
        </w:rPr>
      </w:pPr>
      <w:bookmarkStart w:id="2" w:name="_Toc232169335"/>
      <w:r w:rsidRPr="00090BC0">
        <w:rPr>
          <w:rFonts w:ascii="Arial" w:hAnsi="Arial" w:cs="Arial"/>
        </w:rPr>
        <w:lastRenderedPageBreak/>
        <w:t>Chairman’s Foreword</w:t>
      </w:r>
      <w:bookmarkEnd w:id="2"/>
    </w:p>
    <w:p w14:paraId="58311453" w14:textId="77777777" w:rsidR="0018693D" w:rsidRPr="00C9207C" w:rsidRDefault="0018693D" w:rsidP="00A51927">
      <w:pPr>
        <w:rPr>
          <w:rFonts w:ascii="Arial" w:hAnsi="Arial" w:cs="Arial"/>
          <w:sz w:val="20"/>
          <w:szCs w:val="20"/>
          <w:highlight w:val="yellow"/>
        </w:rPr>
      </w:pPr>
    </w:p>
    <w:p w14:paraId="480FCAD0" w14:textId="77777777" w:rsidR="00830D7E" w:rsidRPr="00C9207C" w:rsidRDefault="00830D7E" w:rsidP="00A51927">
      <w:pPr>
        <w:spacing w:after="0" w:line="240" w:lineRule="auto"/>
        <w:rPr>
          <w:rFonts w:ascii="Arial" w:hAnsi="Arial" w:cs="Arial"/>
          <w:sz w:val="20"/>
          <w:szCs w:val="20"/>
        </w:rPr>
      </w:pPr>
      <w:r w:rsidRPr="00C9207C">
        <w:rPr>
          <w:rFonts w:ascii="Arial" w:hAnsi="Arial" w:cs="Arial"/>
          <w:sz w:val="20"/>
          <w:szCs w:val="20"/>
        </w:rPr>
        <w:t>I am pleased to present the Aberdeen City Integration Joint Board’s Annual Accounts for the year ended 31 March 2026.</w:t>
      </w:r>
    </w:p>
    <w:p w14:paraId="1ADA13D4" w14:textId="77777777" w:rsidR="003B3B78" w:rsidRPr="00C9207C" w:rsidRDefault="003B3B78" w:rsidP="00A51927">
      <w:pPr>
        <w:spacing w:after="0" w:line="240" w:lineRule="auto"/>
        <w:rPr>
          <w:rFonts w:ascii="Arial" w:hAnsi="Arial" w:cs="Arial"/>
          <w:sz w:val="20"/>
          <w:szCs w:val="20"/>
        </w:rPr>
      </w:pPr>
    </w:p>
    <w:p w14:paraId="4EEC6184" w14:textId="665DD705"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 xml:space="preserve">The financial year 2025/26 was delivered in an exceptionally demanding environment for health and social care. Rising and increasingly complex demand, workforce pressures, inflationary costs and continued uncertainty over future public sector funding placed significant strain on services across the system. In that context, the Board maintained a clear focus on safe, person-centred care, timely access to support, and protecting those with the most complex needs. We also strengthened financial </w:t>
      </w:r>
      <w:r w:rsidR="00DB7502">
        <w:rPr>
          <w:rFonts w:ascii="Arial" w:hAnsi="Arial" w:cs="Arial"/>
          <w:sz w:val="20"/>
          <w:szCs w:val="20"/>
        </w:rPr>
        <w:t>resilience</w:t>
      </w:r>
      <w:r w:rsidRPr="00C9207C">
        <w:rPr>
          <w:rFonts w:ascii="Arial" w:hAnsi="Arial" w:cs="Arial"/>
          <w:sz w:val="20"/>
          <w:szCs w:val="20"/>
        </w:rPr>
        <w:t>, accountability and decision-making, supported by enhanced scrutiny through the Board and its committees.</w:t>
      </w:r>
    </w:p>
    <w:p w14:paraId="22ECA621" w14:textId="77777777" w:rsidR="005F5805" w:rsidRPr="00C9207C" w:rsidRDefault="005F5805" w:rsidP="00A51927">
      <w:pPr>
        <w:spacing w:after="0" w:line="240" w:lineRule="auto"/>
        <w:rPr>
          <w:rFonts w:ascii="Arial" w:hAnsi="Arial" w:cs="Arial"/>
          <w:sz w:val="20"/>
          <w:szCs w:val="20"/>
        </w:rPr>
      </w:pPr>
    </w:p>
    <w:p w14:paraId="27AE1B6B" w14:textId="466BDBC8"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 xml:space="preserve">Sound financial stewardship is essential to protecting services and enabling improvement. For 2025/26, the IJB delivered an underspend of £11.2 million against the revised budget (prior to earmarking) and closed the year with an uncommitted reserve balance of £7.7 million. </w:t>
      </w:r>
    </w:p>
    <w:p w14:paraId="0E16AEBD" w14:textId="77777777" w:rsidR="005F5805" w:rsidRPr="00C9207C" w:rsidRDefault="005F5805" w:rsidP="00A51927">
      <w:pPr>
        <w:spacing w:after="0" w:line="240" w:lineRule="auto"/>
        <w:rPr>
          <w:rFonts w:ascii="Arial" w:hAnsi="Arial" w:cs="Arial"/>
          <w:sz w:val="20"/>
          <w:szCs w:val="20"/>
        </w:rPr>
      </w:pPr>
    </w:p>
    <w:p w14:paraId="20296881" w14:textId="32DB62B2"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 xml:space="preserve">The Board is clear, however, that the improved year-end position does not remove the underlying challenge of achieving recurring balance. During the year, partner support was provided on a non-recurring basis to help manage volatility and emerging pressures. This provided short-term stability, but it reinforces the need to accelerate transformation and deliver recurring savings. </w:t>
      </w:r>
    </w:p>
    <w:p w14:paraId="30B755AA" w14:textId="77777777" w:rsidR="005F5805" w:rsidRPr="00C9207C" w:rsidRDefault="005F5805" w:rsidP="00A51927">
      <w:pPr>
        <w:spacing w:after="0" w:line="240" w:lineRule="auto"/>
        <w:rPr>
          <w:rFonts w:ascii="Arial" w:hAnsi="Arial" w:cs="Arial"/>
          <w:sz w:val="20"/>
          <w:szCs w:val="20"/>
        </w:rPr>
      </w:pPr>
    </w:p>
    <w:p w14:paraId="2CD117CD" w14:textId="5D994C84"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 xml:space="preserve">The year-end position also highlights continuing volatility within the system. While underspends were reported in some service areas, these were offset by sustained pressures elsewhere, including Learning Disabilities, Mental Health and Addictions, </w:t>
      </w:r>
      <w:r w:rsidR="00FB7EB7" w:rsidRPr="00C9207C">
        <w:rPr>
          <w:rFonts w:ascii="Arial" w:hAnsi="Arial" w:cs="Arial"/>
          <w:sz w:val="20"/>
          <w:szCs w:val="20"/>
        </w:rPr>
        <w:t>pre</w:t>
      </w:r>
      <w:r w:rsidR="00753FF2" w:rsidRPr="00C9207C">
        <w:rPr>
          <w:rFonts w:ascii="Arial" w:hAnsi="Arial" w:cs="Arial"/>
          <w:sz w:val="20"/>
          <w:szCs w:val="20"/>
        </w:rPr>
        <w:t xml:space="preserve">scribing </w:t>
      </w:r>
      <w:r w:rsidRPr="00C9207C">
        <w:rPr>
          <w:rFonts w:ascii="Arial" w:hAnsi="Arial" w:cs="Arial"/>
          <w:sz w:val="20"/>
          <w:szCs w:val="20"/>
        </w:rPr>
        <w:t>and out-of-area placements. These pressures matter because they can affect people’s experience of care and the timeliness of support. The Board recognises that achieving recurring financial balance will require fundamental service redesign and clear prioritisation, rather than reliance on short-term measures.</w:t>
      </w:r>
    </w:p>
    <w:p w14:paraId="29A50AD4" w14:textId="77777777" w:rsidR="005F5805" w:rsidRPr="00C9207C" w:rsidRDefault="005F5805" w:rsidP="00A51927">
      <w:pPr>
        <w:spacing w:after="0" w:line="240" w:lineRule="auto"/>
        <w:rPr>
          <w:rFonts w:ascii="Arial" w:hAnsi="Arial" w:cs="Arial"/>
          <w:sz w:val="20"/>
          <w:szCs w:val="20"/>
        </w:rPr>
      </w:pPr>
    </w:p>
    <w:p w14:paraId="029B6AFB" w14:textId="77777777"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The reserves position provides limited but important resilience as the Partnership enters a period of heightened financial risk. These reserves will be applied prudently to manage volatility and to support targeted transformation and invest-to-save activity aligned to the Strategic Plan. They are not a substitute for recurring savings, nor can they defer the difficult decisions required on affordability and prioritisation.</w:t>
      </w:r>
    </w:p>
    <w:p w14:paraId="19FEEC8B" w14:textId="77777777" w:rsidR="005F5805" w:rsidRPr="00C9207C" w:rsidRDefault="005F5805" w:rsidP="00A51927">
      <w:pPr>
        <w:spacing w:after="0" w:line="240" w:lineRule="auto"/>
        <w:rPr>
          <w:rFonts w:ascii="Arial" w:hAnsi="Arial" w:cs="Arial"/>
          <w:sz w:val="20"/>
          <w:szCs w:val="20"/>
        </w:rPr>
      </w:pPr>
    </w:p>
    <w:p w14:paraId="62AB9BB3" w14:textId="0C538550" w:rsidR="00CC2104" w:rsidRPr="00C9207C" w:rsidRDefault="00CC2104">
      <w:pPr>
        <w:spacing w:after="0" w:line="240" w:lineRule="auto"/>
        <w:rPr>
          <w:rFonts w:ascii="Arial" w:hAnsi="Arial" w:cs="Arial"/>
          <w:kern w:val="2"/>
          <w:sz w:val="20"/>
          <w:szCs w:val="20"/>
          <w14:ligatures w14:val="standardContextual"/>
        </w:rPr>
      </w:pPr>
      <w:r w:rsidRPr="00C9207C">
        <w:rPr>
          <w:rFonts w:ascii="Arial" w:hAnsi="Arial" w:cs="Arial"/>
          <w:sz w:val="20"/>
          <w:szCs w:val="20"/>
        </w:rPr>
        <w:t>Looking ahead, our priority is to improve outcomes by shifting the balance of care towards prevention and early intervention, strengthening community-based support, and ensuring people can access the right support at the right time. The Board is encouraged by progress already made in areas such as Technology Enabled Care and the continued development of community-based models of support. In 2026/27, we will focus on: maintaining safe services; strengthening performance and financial oversight; and accelerating delivery of transformation and recurring savings aligned to the Strategic Plan 2025–2029</w:t>
      </w:r>
      <w:r w:rsidR="003110E1">
        <w:rPr>
          <w:rFonts w:ascii="Arial" w:hAnsi="Arial" w:cs="Arial"/>
          <w:sz w:val="20"/>
          <w:szCs w:val="20"/>
        </w:rPr>
        <w:t xml:space="preserve"> </w:t>
      </w:r>
      <w:hyperlink r:id="rId22" w:history="1">
        <w:r w:rsidR="00F43EF7">
          <w:rPr>
            <w:rStyle w:val="Hyperlink"/>
            <w:rFonts w:ascii="Arial" w:hAnsi="Arial" w:cs="Arial"/>
            <w:sz w:val="20"/>
            <w:szCs w:val="20"/>
          </w:rPr>
          <w:t>(Link)</w:t>
        </w:r>
      </w:hyperlink>
      <w:r w:rsidRPr="00C9207C">
        <w:rPr>
          <w:rFonts w:ascii="Arial" w:hAnsi="Arial" w:cs="Arial"/>
          <w:sz w:val="20"/>
          <w:szCs w:val="20"/>
        </w:rPr>
        <w:t>. Delivering this will require pace, clarity of purpose and sustained collaboration with our partners.</w:t>
      </w:r>
    </w:p>
    <w:p w14:paraId="25F50948" w14:textId="77777777" w:rsidR="005F5805" w:rsidRPr="00C9207C" w:rsidRDefault="005F5805" w:rsidP="00A51927">
      <w:pPr>
        <w:spacing w:after="0" w:line="240" w:lineRule="auto"/>
        <w:rPr>
          <w:rFonts w:ascii="Arial" w:hAnsi="Arial" w:cs="Arial"/>
          <w:sz w:val="20"/>
          <w:szCs w:val="20"/>
        </w:rPr>
      </w:pPr>
    </w:p>
    <w:p w14:paraId="5A94ABF9" w14:textId="77777777" w:rsidR="00FE2F1A" w:rsidRPr="00DC4820" w:rsidRDefault="00FE2F1A" w:rsidP="00DC4820">
      <w:pPr>
        <w:spacing w:after="0" w:line="240" w:lineRule="auto"/>
        <w:rPr>
          <w:rFonts w:ascii="Arial" w:hAnsi="Arial" w:cs="Arial"/>
          <w:sz w:val="20"/>
          <w:szCs w:val="20"/>
        </w:rPr>
      </w:pPr>
      <w:r w:rsidRPr="00DC4820">
        <w:rPr>
          <w:rFonts w:ascii="Arial" w:hAnsi="Arial" w:cs="Arial"/>
          <w:sz w:val="20"/>
          <w:szCs w:val="20"/>
        </w:rPr>
        <w:t>On behalf of the Board, I would like to thank colleagues across Aberdeen City Council and NHS Grampian, our partners, commissioned providers, the third sector and the wider system for their continued commitment during a demanding year, as well as unpaid carers and communities across Aberdeen City. We remain committed to providing strong leadership, transparent decision-making and disciplined financial management as we navigate the challenges ahead. With continued partnership working and a clear focus on prevention, community-based support and sustainability, we are determined to make measurable progress in improving outcomes for the people of Aberdeen.</w:t>
      </w:r>
    </w:p>
    <w:p w14:paraId="486EFA78" w14:textId="77777777" w:rsidR="0018693D" w:rsidRPr="00C9207C" w:rsidRDefault="0018693D" w:rsidP="00A51927">
      <w:pPr>
        <w:spacing w:after="0" w:line="240" w:lineRule="auto"/>
        <w:rPr>
          <w:rFonts w:ascii="Arial" w:hAnsi="Arial" w:cs="Arial"/>
          <w:b/>
          <w:bCs/>
          <w:sz w:val="20"/>
          <w:szCs w:val="20"/>
        </w:rPr>
      </w:pPr>
    </w:p>
    <w:p w14:paraId="65B5C08A" w14:textId="77777777" w:rsidR="003A04E1" w:rsidRPr="00C9207C" w:rsidRDefault="003A04E1" w:rsidP="00A51927">
      <w:pPr>
        <w:spacing w:after="0" w:line="240" w:lineRule="auto"/>
        <w:rPr>
          <w:rFonts w:ascii="Arial" w:hAnsi="Arial" w:cs="Arial"/>
          <w:b/>
          <w:bCs/>
          <w:sz w:val="20"/>
          <w:szCs w:val="20"/>
        </w:rPr>
      </w:pPr>
    </w:p>
    <w:p w14:paraId="7DB95B4B" w14:textId="77777777" w:rsidR="003A04E1" w:rsidRPr="00C9207C" w:rsidRDefault="003A04E1" w:rsidP="00A51927">
      <w:pPr>
        <w:spacing w:after="0" w:line="240" w:lineRule="auto"/>
        <w:rPr>
          <w:rFonts w:ascii="Arial" w:hAnsi="Arial" w:cs="Arial"/>
          <w:b/>
          <w:bCs/>
          <w:sz w:val="20"/>
          <w:szCs w:val="20"/>
        </w:rPr>
      </w:pPr>
    </w:p>
    <w:p w14:paraId="00F67AD7" w14:textId="77777777" w:rsidR="003A04E1" w:rsidRPr="00C9207C" w:rsidRDefault="003A04E1" w:rsidP="00A51927">
      <w:pPr>
        <w:spacing w:after="0" w:line="240" w:lineRule="auto"/>
        <w:rPr>
          <w:rFonts w:ascii="Arial" w:hAnsi="Arial" w:cs="Arial"/>
          <w:b/>
          <w:bCs/>
          <w:sz w:val="20"/>
          <w:szCs w:val="20"/>
        </w:rPr>
      </w:pPr>
    </w:p>
    <w:p w14:paraId="758D16E3" w14:textId="4AF054EA" w:rsidR="00554A08" w:rsidRPr="00C9207C" w:rsidRDefault="00554A08" w:rsidP="00A51927">
      <w:pPr>
        <w:spacing w:after="0" w:line="240" w:lineRule="auto"/>
        <w:rPr>
          <w:rFonts w:ascii="Arial" w:hAnsi="Arial" w:cs="Arial"/>
          <w:kern w:val="2"/>
          <w:sz w:val="20"/>
          <w:szCs w:val="20"/>
          <w14:ligatures w14:val="standardContextual"/>
        </w:rPr>
      </w:pPr>
      <w:r w:rsidRPr="00C9207C">
        <w:rPr>
          <w:rFonts w:ascii="Arial" w:hAnsi="Arial" w:cs="Arial"/>
          <w:b/>
          <w:bCs/>
          <w:sz w:val="20"/>
          <w:szCs w:val="20"/>
        </w:rPr>
        <w:t>Hussein Patwa</w:t>
      </w:r>
    </w:p>
    <w:p w14:paraId="5D46F79F" w14:textId="77777777" w:rsidR="0018693D" w:rsidRPr="00C9207C" w:rsidRDefault="0018693D" w:rsidP="00A51927">
      <w:pPr>
        <w:spacing w:after="0" w:line="240" w:lineRule="auto"/>
        <w:rPr>
          <w:rFonts w:ascii="Arial" w:hAnsi="Arial" w:cs="Arial"/>
          <w:sz w:val="20"/>
          <w:szCs w:val="20"/>
        </w:rPr>
      </w:pPr>
    </w:p>
    <w:p w14:paraId="287D59FF" w14:textId="648BABB4" w:rsidR="00554A08" w:rsidRPr="00C9207C" w:rsidRDefault="00554A08" w:rsidP="00A51927">
      <w:pPr>
        <w:spacing w:after="0" w:line="240" w:lineRule="auto"/>
        <w:rPr>
          <w:rFonts w:ascii="Arial" w:hAnsi="Arial" w:cs="Arial"/>
          <w:kern w:val="2"/>
          <w:sz w:val="20"/>
          <w:szCs w:val="20"/>
          <w14:ligatures w14:val="standardContextual"/>
        </w:rPr>
      </w:pPr>
      <w:r w:rsidRPr="00C9207C">
        <w:rPr>
          <w:rFonts w:ascii="Arial" w:hAnsi="Arial" w:cs="Arial"/>
          <w:sz w:val="20"/>
          <w:szCs w:val="20"/>
        </w:rPr>
        <w:t>Chair, Aberdeen City Integration Joint Board</w:t>
      </w:r>
    </w:p>
    <w:p w14:paraId="038B4F32" w14:textId="7A9B39C6" w:rsidR="00CB53BD" w:rsidRPr="00C9207C" w:rsidRDefault="00554A08" w:rsidP="00A51927">
      <w:pPr>
        <w:spacing w:after="0" w:line="240" w:lineRule="auto"/>
        <w:rPr>
          <w:rFonts w:ascii="Arial" w:hAnsi="Arial" w:cs="Arial"/>
          <w:sz w:val="20"/>
          <w:szCs w:val="20"/>
        </w:rPr>
      </w:pPr>
      <w:r w:rsidRPr="00C9207C">
        <w:rPr>
          <w:rFonts w:ascii="Arial" w:hAnsi="Arial" w:cs="Arial"/>
          <w:sz w:val="20"/>
          <w:szCs w:val="20"/>
        </w:rPr>
        <w:t xml:space="preserve">Date: </w:t>
      </w:r>
      <w:r w:rsidR="0018693D" w:rsidRPr="00C9207C">
        <w:rPr>
          <w:rFonts w:ascii="Arial" w:hAnsi="Arial" w:cs="Arial"/>
          <w:sz w:val="20"/>
          <w:szCs w:val="20"/>
        </w:rPr>
        <w:t>30 Sept 202</w:t>
      </w:r>
      <w:r w:rsidR="00781F1E" w:rsidRPr="00C9207C">
        <w:rPr>
          <w:rFonts w:ascii="Arial" w:hAnsi="Arial" w:cs="Arial"/>
          <w:sz w:val="20"/>
          <w:szCs w:val="20"/>
        </w:rPr>
        <w:t>6</w:t>
      </w:r>
    </w:p>
    <w:p w14:paraId="7A7EE6C8" w14:textId="44BE3757" w:rsidR="00800039" w:rsidRPr="00C9207C" w:rsidRDefault="00800039" w:rsidP="006D5013">
      <w:pPr>
        <w:pStyle w:val="Heading1"/>
        <w:numPr>
          <w:ilvl w:val="0"/>
          <w:numId w:val="11"/>
        </w:numPr>
        <w:jc w:val="left"/>
        <w:rPr>
          <w:rFonts w:ascii="Arial" w:hAnsi="Arial" w:cs="Arial"/>
        </w:rPr>
      </w:pPr>
      <w:bookmarkStart w:id="3" w:name="_Toc232169336"/>
      <w:r w:rsidRPr="00C9207C">
        <w:rPr>
          <w:rFonts w:ascii="Arial" w:hAnsi="Arial" w:cs="Arial"/>
        </w:rPr>
        <w:lastRenderedPageBreak/>
        <w:t>M</w:t>
      </w:r>
      <w:r w:rsidR="00F93F25" w:rsidRPr="00C9207C">
        <w:rPr>
          <w:rFonts w:ascii="Arial" w:hAnsi="Arial" w:cs="Arial"/>
        </w:rPr>
        <w:t>anagement Commentary</w:t>
      </w:r>
      <w:bookmarkEnd w:id="3"/>
    </w:p>
    <w:p w14:paraId="501EEDB5" w14:textId="77777777" w:rsidR="00800039" w:rsidRPr="00C9207C" w:rsidRDefault="00800039" w:rsidP="00A51927">
      <w:pPr>
        <w:pStyle w:val="Heading1"/>
        <w:jc w:val="left"/>
        <w:rPr>
          <w:rFonts w:ascii="Arial" w:hAnsi="Arial" w:cs="Arial"/>
        </w:rPr>
      </w:pPr>
    </w:p>
    <w:p w14:paraId="65515939" w14:textId="78A90AB0" w:rsidR="00B12819" w:rsidRPr="00C9207C" w:rsidRDefault="00D67D21" w:rsidP="00A51927">
      <w:pPr>
        <w:pStyle w:val="Heading1"/>
        <w:jc w:val="left"/>
        <w:rPr>
          <w:rFonts w:ascii="Arial" w:hAnsi="Arial" w:cs="Arial"/>
        </w:rPr>
      </w:pPr>
      <w:bookmarkStart w:id="4" w:name="_Toc232169337"/>
      <w:r w:rsidRPr="00C9207C">
        <w:rPr>
          <w:rFonts w:ascii="Arial" w:hAnsi="Arial" w:cs="Arial"/>
        </w:rPr>
        <w:t xml:space="preserve">1.1 </w:t>
      </w:r>
      <w:r w:rsidR="00B12819" w:rsidRPr="00C9207C">
        <w:rPr>
          <w:rFonts w:ascii="Arial" w:hAnsi="Arial" w:cs="Arial"/>
        </w:rPr>
        <w:t>Chief Officer’s Review of the Year</w:t>
      </w:r>
      <w:bookmarkEnd w:id="4"/>
    </w:p>
    <w:p w14:paraId="7B294205" w14:textId="77777777" w:rsidR="0018693D" w:rsidRPr="00C9207C" w:rsidRDefault="0018693D" w:rsidP="00A51927">
      <w:pPr>
        <w:rPr>
          <w:rFonts w:ascii="Arial" w:hAnsi="Arial" w:cs="Arial"/>
          <w:sz w:val="20"/>
          <w:szCs w:val="20"/>
          <w:highlight w:val="yellow"/>
        </w:rPr>
      </w:pPr>
    </w:p>
    <w:p w14:paraId="762B4827" w14:textId="77777777" w:rsidR="00D862E7" w:rsidRPr="001D1D8D" w:rsidRDefault="00D862E7" w:rsidP="001D1D8D">
      <w:pPr>
        <w:spacing w:after="0" w:line="240" w:lineRule="auto"/>
        <w:rPr>
          <w:rFonts w:ascii="Arial" w:hAnsi="Arial" w:cs="Arial"/>
          <w:sz w:val="20"/>
          <w:szCs w:val="20"/>
        </w:rPr>
      </w:pPr>
      <w:r w:rsidRPr="00C9207C">
        <w:rPr>
          <w:rFonts w:ascii="Arial" w:hAnsi="Arial" w:cs="Arial"/>
          <w:sz w:val="20"/>
          <w:szCs w:val="20"/>
        </w:rPr>
        <w:t xml:space="preserve">In 2025/26, the Partnership made steady progress in strengthening community-based care and sharpening our focus on prevention, improvement and financial </w:t>
      </w:r>
      <w:r>
        <w:rPr>
          <w:rFonts w:ascii="Arial" w:hAnsi="Arial" w:cs="Arial"/>
          <w:sz w:val="20"/>
          <w:szCs w:val="20"/>
        </w:rPr>
        <w:t>resilience</w:t>
      </w:r>
      <w:r w:rsidRPr="00C9207C">
        <w:rPr>
          <w:rFonts w:ascii="Arial" w:hAnsi="Arial" w:cs="Arial"/>
          <w:sz w:val="20"/>
          <w:szCs w:val="20"/>
        </w:rPr>
        <w:t>. This was achieved in a demanding operating environment, with rising and increasingly complex demand, workforce constraints, capacity limitations within commissioned services, and continued cost inflation. Pressures were particularly evident for people requiring high-intensity packages of care, people with learning disabilities, and people experiencing mental health and addictions challenges. This reinforced the need to accelerate service redesign while maintaining safe, person-centred support.</w:t>
      </w:r>
    </w:p>
    <w:p w14:paraId="22E555F8" w14:textId="77777777" w:rsidR="001D1D8D" w:rsidRDefault="001D1D8D" w:rsidP="001D1D8D">
      <w:pPr>
        <w:spacing w:after="0" w:line="240" w:lineRule="auto"/>
        <w:rPr>
          <w:rFonts w:ascii="Arial" w:hAnsi="Arial" w:cs="Arial"/>
          <w:sz w:val="20"/>
          <w:szCs w:val="20"/>
        </w:rPr>
      </w:pPr>
    </w:p>
    <w:p w14:paraId="552BB498" w14:textId="77777777" w:rsidR="00D862E7" w:rsidRPr="001D1D8D" w:rsidRDefault="00D862E7" w:rsidP="001D1D8D">
      <w:pPr>
        <w:spacing w:after="0" w:line="240" w:lineRule="auto"/>
        <w:rPr>
          <w:rFonts w:ascii="Arial" w:hAnsi="Arial" w:cs="Arial"/>
          <w:sz w:val="20"/>
          <w:szCs w:val="20"/>
        </w:rPr>
      </w:pPr>
      <w:r w:rsidRPr="00C9207C">
        <w:rPr>
          <w:rFonts w:ascii="Arial" w:hAnsi="Arial" w:cs="Arial"/>
          <w:sz w:val="20"/>
          <w:szCs w:val="20"/>
        </w:rPr>
        <w:t>Alongside these pressures, there were areas of positive progress across 2025/26. We continued to work with partners to strengthen community-based care and support, reduce avoidable admissions and improve system flow. We also maintained a strong focus on improving how we use data and insight to understand demand, outcomes and cost drivers, and to support timely decision-making by the Partnership and the Board.</w:t>
      </w:r>
    </w:p>
    <w:p w14:paraId="380C45F9" w14:textId="77777777" w:rsidR="00D862E7" w:rsidRDefault="00D862E7">
      <w:pPr>
        <w:spacing w:after="0" w:line="240" w:lineRule="auto"/>
        <w:rPr>
          <w:rFonts w:ascii="Arial" w:hAnsi="Arial" w:cs="Arial"/>
          <w:sz w:val="20"/>
          <w:szCs w:val="20"/>
        </w:rPr>
      </w:pPr>
    </w:p>
    <w:p w14:paraId="08BC0C2E" w14:textId="7A5F7E84" w:rsidR="00D862E7" w:rsidRDefault="00D862E7">
      <w:pPr>
        <w:spacing w:after="0" w:line="240" w:lineRule="auto"/>
        <w:rPr>
          <w:kern w:val="2"/>
          <w14:ligatures w14:val="standardContextual"/>
        </w:rPr>
      </w:pPr>
      <w:r>
        <w:rPr>
          <w:rFonts w:ascii="Arial" w:hAnsi="Arial" w:cs="Arial"/>
          <w:sz w:val="20"/>
          <w:szCs w:val="20"/>
        </w:rPr>
        <w:t>A Grampian-wide KPMG commission was taken forward through the Northeast system partnership to undertake a time-limited system diagnostic. Its purpose is to identify opportunities for greater efficiency, consistency and potential shared service delivery across NHS Grampian and partner organisations. This builds on earlier cost and value analysis, which highlighted improvement and savings opportunities across services, non-pay expenditure and contract management, and now seeks to determine how these can be progressed at Grampian-wide scale.</w:t>
      </w:r>
    </w:p>
    <w:p w14:paraId="7B965377" w14:textId="77777777" w:rsidR="00D862E7" w:rsidRDefault="00D862E7">
      <w:pPr>
        <w:spacing w:after="0" w:line="240" w:lineRule="auto"/>
        <w:rPr>
          <w:rFonts w:ascii="Arial" w:hAnsi="Arial" w:cs="Arial"/>
          <w:sz w:val="20"/>
          <w:szCs w:val="20"/>
        </w:rPr>
      </w:pPr>
    </w:p>
    <w:p w14:paraId="312BF5D6" w14:textId="69FC0E3D" w:rsidR="00D862E7" w:rsidRDefault="00D862E7">
      <w:pPr>
        <w:spacing w:after="0" w:line="240" w:lineRule="auto"/>
        <w:rPr>
          <w:kern w:val="2"/>
          <w14:ligatures w14:val="standardContextual"/>
        </w:rPr>
      </w:pPr>
      <w:r>
        <w:rPr>
          <w:rFonts w:ascii="Arial" w:hAnsi="Arial" w:cs="Arial"/>
          <w:sz w:val="20"/>
          <w:szCs w:val="20"/>
        </w:rPr>
        <w:t>Sub-national planning arrangements are also being developed to strengthen collaboration across the Northeast, aligning partners around shared priorities, service models and use of resources. This is intended to support more coordinated decision-making at scale, enabling partners to plan collectively for sustainable services while maintaining a clear focus on local delivery and population need.</w:t>
      </w:r>
    </w:p>
    <w:p w14:paraId="0446340F" w14:textId="77777777" w:rsidR="001D1D8D" w:rsidRDefault="001D1D8D" w:rsidP="001D1D8D">
      <w:pPr>
        <w:spacing w:after="0" w:line="240" w:lineRule="auto"/>
        <w:rPr>
          <w:rFonts w:ascii="Arial" w:hAnsi="Arial" w:cs="Arial"/>
          <w:sz w:val="20"/>
          <w:szCs w:val="20"/>
        </w:rPr>
      </w:pPr>
    </w:p>
    <w:p w14:paraId="6EED6512" w14:textId="77777777" w:rsidR="00D862E7" w:rsidRPr="001D1D8D" w:rsidRDefault="00D862E7" w:rsidP="001D1D8D">
      <w:pPr>
        <w:spacing w:after="0" w:line="240" w:lineRule="auto"/>
        <w:rPr>
          <w:rFonts w:ascii="Arial" w:hAnsi="Arial" w:cs="Arial"/>
          <w:sz w:val="20"/>
          <w:szCs w:val="20"/>
        </w:rPr>
      </w:pPr>
      <w:r w:rsidRPr="00C9207C">
        <w:rPr>
          <w:rFonts w:ascii="Arial" w:hAnsi="Arial" w:cs="Arial"/>
          <w:sz w:val="20"/>
          <w:szCs w:val="20"/>
        </w:rPr>
        <w:t xml:space="preserve">A key feature of 2025/26 was a renewed emphasis on financial </w:t>
      </w:r>
      <w:r>
        <w:rPr>
          <w:rFonts w:ascii="Arial" w:hAnsi="Arial" w:cs="Arial"/>
          <w:sz w:val="20"/>
          <w:szCs w:val="20"/>
        </w:rPr>
        <w:t>resilience</w:t>
      </w:r>
      <w:r w:rsidRPr="00C9207C">
        <w:rPr>
          <w:rFonts w:ascii="Arial" w:hAnsi="Arial" w:cs="Arial"/>
          <w:sz w:val="20"/>
          <w:szCs w:val="20"/>
        </w:rPr>
        <w:t>, accountability and governance. The experience of 2024/25, when usable reserves were fully utilised and additional partner contributions were required to support the year-end position, underlined the importance of strengthening in-year monitoring, improving forecasting assumptions and ensuring that savings plans are deliverable. Throughout 2025/26, we increased the pace and consistency of financial reporting and reinforced expectations of budget responsibility at all levels, supported by enhanced oversight and scrutiny arrangements.</w:t>
      </w:r>
    </w:p>
    <w:p w14:paraId="35A24D6D" w14:textId="77777777" w:rsidR="001D1D8D" w:rsidRDefault="001D1D8D" w:rsidP="001D1D8D">
      <w:pPr>
        <w:spacing w:after="0" w:line="240" w:lineRule="auto"/>
        <w:rPr>
          <w:rFonts w:ascii="Arial" w:hAnsi="Arial" w:cs="Arial"/>
          <w:sz w:val="20"/>
          <w:szCs w:val="20"/>
        </w:rPr>
      </w:pPr>
    </w:p>
    <w:p w14:paraId="51D2FE4B" w14:textId="09871998" w:rsidR="00D862E7" w:rsidRPr="001D1D8D" w:rsidRDefault="00D862E7" w:rsidP="001D1D8D">
      <w:pPr>
        <w:spacing w:after="0" w:line="240" w:lineRule="auto"/>
        <w:rPr>
          <w:rFonts w:ascii="Arial" w:hAnsi="Arial" w:cs="Arial"/>
          <w:sz w:val="20"/>
          <w:szCs w:val="20"/>
        </w:rPr>
      </w:pPr>
      <w:r w:rsidRPr="00C9207C">
        <w:rPr>
          <w:rFonts w:ascii="Arial" w:hAnsi="Arial" w:cs="Arial"/>
          <w:sz w:val="20"/>
          <w:szCs w:val="20"/>
        </w:rPr>
        <w:t>The year-end financial position for 2025/26 indicates an underspend of £11.2m against the revised budget</w:t>
      </w:r>
      <w:r w:rsidR="00263BD6">
        <w:rPr>
          <w:rFonts w:ascii="Arial" w:hAnsi="Arial" w:cs="Arial"/>
          <w:sz w:val="20"/>
          <w:szCs w:val="20"/>
        </w:rPr>
        <w:t xml:space="preserve">. </w:t>
      </w:r>
      <w:r w:rsidR="00505661">
        <w:rPr>
          <w:rFonts w:ascii="Arial" w:hAnsi="Arial" w:cs="Arial"/>
          <w:sz w:val="20"/>
          <w:szCs w:val="20"/>
        </w:rPr>
        <w:t>T</w:t>
      </w:r>
      <w:r w:rsidR="00BE451D" w:rsidRPr="00BE451D">
        <w:rPr>
          <w:rFonts w:ascii="Arial" w:hAnsi="Arial" w:cs="Arial"/>
          <w:sz w:val="20"/>
          <w:szCs w:val="20"/>
        </w:rPr>
        <w:t>he financial position also benefited from £10.909m of one-off in-year partner funding provided to support service pressures and financial resilience</w:t>
      </w:r>
      <w:r w:rsidR="00CE3B6B">
        <w:rPr>
          <w:rFonts w:ascii="Arial" w:hAnsi="Arial" w:cs="Arial"/>
          <w:sz w:val="20"/>
          <w:szCs w:val="20"/>
        </w:rPr>
        <w:t xml:space="preserve"> </w:t>
      </w:r>
      <w:r w:rsidRPr="00C9207C">
        <w:rPr>
          <w:rFonts w:ascii="Arial" w:hAnsi="Arial" w:cs="Arial"/>
          <w:sz w:val="20"/>
          <w:szCs w:val="20"/>
        </w:rPr>
        <w:t>(Aberdeen City Council £4.2m; NHS Grampian £6.7m)</w:t>
      </w:r>
      <w:r w:rsidR="00994DD1">
        <w:rPr>
          <w:rFonts w:ascii="Arial" w:hAnsi="Arial" w:cs="Arial"/>
          <w:sz w:val="20"/>
          <w:szCs w:val="20"/>
        </w:rPr>
        <w:t>.</w:t>
      </w:r>
      <w:r w:rsidRPr="00C9207C">
        <w:rPr>
          <w:rFonts w:ascii="Arial" w:hAnsi="Arial" w:cs="Arial"/>
          <w:sz w:val="20"/>
          <w:szCs w:val="20"/>
        </w:rPr>
        <w:t xml:space="preserve"> Following earmarking of £3.5m for specific ring-fenced programmes, the year closed with an uncommitted reserve balance of £7.7m.</w:t>
      </w:r>
    </w:p>
    <w:p w14:paraId="2C609DB5" w14:textId="77777777" w:rsidR="001D1D8D" w:rsidRDefault="001D1D8D" w:rsidP="001D1D8D">
      <w:pPr>
        <w:spacing w:after="0" w:line="240" w:lineRule="auto"/>
        <w:rPr>
          <w:rFonts w:ascii="Arial" w:hAnsi="Arial" w:cs="Arial"/>
          <w:sz w:val="20"/>
          <w:szCs w:val="20"/>
        </w:rPr>
      </w:pPr>
    </w:p>
    <w:p w14:paraId="572D50C8" w14:textId="77777777" w:rsidR="00D862E7" w:rsidRPr="00311C25" w:rsidRDefault="00D862E7" w:rsidP="00311C25">
      <w:pPr>
        <w:spacing w:after="0" w:line="240" w:lineRule="auto"/>
        <w:rPr>
          <w:rFonts w:ascii="Arial" w:hAnsi="Arial" w:cs="Arial"/>
          <w:sz w:val="20"/>
          <w:szCs w:val="20"/>
        </w:rPr>
      </w:pPr>
      <w:r w:rsidRPr="00311C25">
        <w:rPr>
          <w:rFonts w:ascii="Arial" w:hAnsi="Arial" w:cs="Arial"/>
          <w:sz w:val="20"/>
          <w:szCs w:val="20"/>
        </w:rPr>
        <w:t>While the improved year-end position gives us greater resilience entering 2026/27, underlying financial pressures remain. With continued transformation and delivery of recurring savings, the Partnership is better placed to respond to demand in Learning Disabilities, Mental Health and Addictions, system flow and commissioned services. By maintaining focus on these key risks and strengthening partnership working, workforce resilience and service sustainability, we can continue to build a more sustainable model of care and reduce reliance on high-cost provision over time.</w:t>
      </w:r>
    </w:p>
    <w:p w14:paraId="3155CD17" w14:textId="77777777" w:rsidR="001D1D8D" w:rsidRDefault="001D1D8D" w:rsidP="001D1D8D">
      <w:pPr>
        <w:spacing w:after="0" w:line="240" w:lineRule="auto"/>
        <w:rPr>
          <w:rFonts w:ascii="Arial" w:hAnsi="Arial" w:cs="Arial"/>
          <w:sz w:val="20"/>
          <w:szCs w:val="20"/>
        </w:rPr>
      </w:pPr>
    </w:p>
    <w:p w14:paraId="02C9A6AF" w14:textId="77777777" w:rsidR="00D862E7" w:rsidRPr="001D1D8D" w:rsidRDefault="00D862E7" w:rsidP="001D1D8D">
      <w:pPr>
        <w:spacing w:after="0" w:line="240" w:lineRule="auto"/>
        <w:rPr>
          <w:rFonts w:ascii="Arial" w:hAnsi="Arial" w:cs="Arial"/>
          <w:sz w:val="20"/>
          <w:szCs w:val="20"/>
        </w:rPr>
      </w:pPr>
      <w:r w:rsidRPr="00C9207C">
        <w:rPr>
          <w:rFonts w:ascii="Arial" w:hAnsi="Arial" w:cs="Arial"/>
          <w:sz w:val="20"/>
          <w:szCs w:val="20"/>
        </w:rPr>
        <w:t>Looking ahead, our priorities are consistent with the Strategic Plan 2025–2029: modernising our approach to service delivery and shifting our focus towards early intervention and prevention. Delivering this agenda will require sustained partnership working, clear prioritisation, and a disciplined focus on affordability and value. We will continue to strengthen the foundations that support delivery</w:t>
      </w:r>
      <w:r w:rsidRPr="62E526D7">
        <w:rPr>
          <w:rFonts w:ascii="Arial" w:hAnsi="Arial" w:cs="Arial"/>
          <w:sz w:val="20"/>
          <w:szCs w:val="20"/>
        </w:rPr>
        <w:t xml:space="preserve">, </w:t>
      </w:r>
      <w:r w:rsidRPr="00C9207C">
        <w:rPr>
          <w:rFonts w:ascii="Arial" w:hAnsi="Arial" w:cs="Arial"/>
          <w:sz w:val="20"/>
          <w:szCs w:val="20"/>
        </w:rPr>
        <w:t>workforce, infrastructure, technology and data</w:t>
      </w:r>
      <w:r w:rsidRPr="62E526D7">
        <w:rPr>
          <w:rFonts w:ascii="Arial" w:hAnsi="Arial" w:cs="Arial"/>
          <w:sz w:val="20"/>
          <w:szCs w:val="20"/>
        </w:rPr>
        <w:t xml:space="preserve">, </w:t>
      </w:r>
      <w:r w:rsidRPr="00C9207C">
        <w:rPr>
          <w:rFonts w:ascii="Arial" w:hAnsi="Arial" w:cs="Arial"/>
          <w:sz w:val="20"/>
          <w:szCs w:val="20"/>
        </w:rPr>
        <w:t>while maintaining our focus on safe, person-centred services and improved outcomes for the people of Aberdeen.</w:t>
      </w:r>
    </w:p>
    <w:p w14:paraId="5F220D53" w14:textId="77777777" w:rsidR="001D1D8D" w:rsidRDefault="001D1D8D" w:rsidP="001D1D8D">
      <w:pPr>
        <w:spacing w:after="0" w:line="240" w:lineRule="auto"/>
        <w:rPr>
          <w:rFonts w:ascii="Arial" w:hAnsi="Arial" w:cs="Arial"/>
          <w:sz w:val="20"/>
          <w:szCs w:val="20"/>
        </w:rPr>
      </w:pPr>
    </w:p>
    <w:p w14:paraId="22ED5D93" w14:textId="77777777" w:rsidR="00D862E7" w:rsidRPr="003A02A3" w:rsidRDefault="00D862E7" w:rsidP="003A02A3">
      <w:pPr>
        <w:spacing w:after="0" w:line="240" w:lineRule="auto"/>
        <w:rPr>
          <w:rFonts w:ascii="Arial" w:hAnsi="Arial" w:cs="Arial"/>
          <w:sz w:val="20"/>
          <w:szCs w:val="20"/>
        </w:rPr>
      </w:pPr>
      <w:r w:rsidRPr="00C9207C">
        <w:rPr>
          <w:rFonts w:ascii="Arial" w:hAnsi="Arial" w:cs="Arial"/>
          <w:sz w:val="20"/>
          <w:szCs w:val="20"/>
        </w:rPr>
        <w:lastRenderedPageBreak/>
        <w:t>I would like to thank colleagues across Aberdeen City Council, NHS Grampian, our commissioned providers and third sector partners for their continued commitment and professionalism</w:t>
      </w:r>
      <w:r>
        <w:rPr>
          <w:rFonts w:ascii="Arial" w:hAnsi="Arial" w:cs="Arial"/>
          <w:sz w:val="20"/>
          <w:szCs w:val="20"/>
        </w:rPr>
        <w:t xml:space="preserve"> and the </w:t>
      </w:r>
      <w:r w:rsidRPr="00C9207C">
        <w:rPr>
          <w:rFonts w:ascii="Arial" w:hAnsi="Arial" w:cs="Arial"/>
          <w:sz w:val="20"/>
          <w:szCs w:val="20"/>
        </w:rPr>
        <w:t>vital role played by unpaid carers and communities across Aberdeen City throughout a demanding year</w:t>
      </w:r>
      <w:r>
        <w:rPr>
          <w:rFonts w:ascii="Arial" w:hAnsi="Arial" w:cs="Arial"/>
          <w:sz w:val="20"/>
          <w:szCs w:val="20"/>
        </w:rPr>
        <w:t xml:space="preserve">. </w:t>
      </w:r>
      <w:r w:rsidRPr="003A02A3">
        <w:rPr>
          <w:rFonts w:ascii="Arial" w:hAnsi="Arial" w:cs="Arial"/>
          <w:sz w:val="20"/>
          <w:szCs w:val="20"/>
        </w:rPr>
        <w:t>Looking ahead, I am encouraged by our clear direction of travel. By continuing to work together, prioritising prevention and community-based support, and making the best use of every pound, we can improve people’s experience of care and deliver better outcomes. The progress made in 2025/26 provides a strong foundation for the next phase of transformation, and I am confident that through sustained partnership working and openness we can build a more resilient and sustainable system for the people of Aberdeen.</w:t>
      </w:r>
    </w:p>
    <w:p w14:paraId="40FDC450" w14:textId="77777777" w:rsidR="0087135F" w:rsidRDefault="0087135F" w:rsidP="00A51927">
      <w:pPr>
        <w:spacing w:after="0" w:line="240" w:lineRule="auto"/>
        <w:rPr>
          <w:rFonts w:ascii="Arial" w:hAnsi="Arial" w:cs="Arial"/>
          <w:b/>
          <w:bCs/>
          <w:sz w:val="20"/>
          <w:szCs w:val="20"/>
        </w:rPr>
      </w:pPr>
    </w:p>
    <w:p w14:paraId="5A6BD5DC" w14:textId="77777777" w:rsidR="001167AE" w:rsidRDefault="001167AE" w:rsidP="00A51927">
      <w:pPr>
        <w:spacing w:after="0" w:line="240" w:lineRule="auto"/>
        <w:rPr>
          <w:rFonts w:ascii="Arial" w:hAnsi="Arial" w:cs="Arial"/>
          <w:b/>
          <w:bCs/>
          <w:sz w:val="20"/>
          <w:szCs w:val="20"/>
        </w:rPr>
      </w:pPr>
    </w:p>
    <w:p w14:paraId="4DB1D528" w14:textId="77777777" w:rsidR="001167AE" w:rsidRDefault="001167AE" w:rsidP="00A51927">
      <w:pPr>
        <w:spacing w:after="0" w:line="240" w:lineRule="auto"/>
        <w:rPr>
          <w:rFonts w:ascii="Arial" w:hAnsi="Arial" w:cs="Arial"/>
          <w:b/>
          <w:bCs/>
          <w:sz w:val="20"/>
          <w:szCs w:val="20"/>
        </w:rPr>
      </w:pPr>
    </w:p>
    <w:p w14:paraId="106A6489" w14:textId="1E88E482" w:rsidR="00F737D1" w:rsidRPr="00C9207C" w:rsidRDefault="00B12819" w:rsidP="00A51927">
      <w:pPr>
        <w:spacing w:after="0" w:line="240" w:lineRule="auto"/>
        <w:rPr>
          <w:rFonts w:ascii="Arial" w:hAnsi="Arial" w:cs="Arial"/>
          <w:sz w:val="20"/>
          <w:szCs w:val="20"/>
        </w:rPr>
      </w:pPr>
      <w:r w:rsidRPr="00C9207C">
        <w:rPr>
          <w:rFonts w:ascii="Arial" w:hAnsi="Arial" w:cs="Arial"/>
          <w:b/>
          <w:bCs/>
          <w:sz w:val="20"/>
          <w:szCs w:val="20"/>
        </w:rPr>
        <w:t>Fiona Mitchelhill</w:t>
      </w:r>
    </w:p>
    <w:p w14:paraId="16A68353" w14:textId="1B185B11" w:rsidR="00B12819" w:rsidRPr="00C9207C" w:rsidRDefault="00B12819" w:rsidP="00A51927">
      <w:pPr>
        <w:spacing w:after="0" w:line="240" w:lineRule="auto"/>
        <w:rPr>
          <w:rFonts w:ascii="Arial" w:hAnsi="Arial" w:cs="Arial"/>
          <w:kern w:val="2"/>
          <w:sz w:val="20"/>
          <w:szCs w:val="20"/>
          <w14:ligatures w14:val="standardContextual"/>
        </w:rPr>
      </w:pPr>
      <w:r w:rsidRPr="00C9207C">
        <w:rPr>
          <w:rFonts w:ascii="Arial" w:hAnsi="Arial" w:cs="Arial"/>
          <w:sz w:val="20"/>
          <w:szCs w:val="20"/>
        </w:rPr>
        <w:t>Chief Officer, Aberdeen City Health and Social Care Partnership</w:t>
      </w:r>
    </w:p>
    <w:p w14:paraId="2C374860" w14:textId="539AF8C5" w:rsidR="00CB53BD" w:rsidRPr="00C9207C" w:rsidRDefault="00B33E49" w:rsidP="00A51927">
      <w:pPr>
        <w:spacing w:after="0" w:line="240" w:lineRule="auto"/>
        <w:rPr>
          <w:rFonts w:ascii="Arial" w:hAnsi="Arial" w:cs="Arial"/>
          <w:sz w:val="20"/>
          <w:szCs w:val="20"/>
        </w:rPr>
      </w:pPr>
      <w:r w:rsidRPr="00C9207C">
        <w:rPr>
          <w:rFonts w:ascii="Arial" w:hAnsi="Arial" w:cs="Arial"/>
          <w:sz w:val="20"/>
          <w:szCs w:val="20"/>
        </w:rPr>
        <w:t>Date: 30 Sept 2026</w:t>
      </w:r>
      <w:r w:rsidR="00CB53BD" w:rsidRPr="00C9207C">
        <w:rPr>
          <w:rFonts w:ascii="Arial" w:hAnsi="Arial" w:cs="Arial"/>
          <w:sz w:val="20"/>
          <w:szCs w:val="20"/>
        </w:rPr>
        <w:br w:type="page"/>
      </w:r>
    </w:p>
    <w:p w14:paraId="33865449" w14:textId="77777777" w:rsidR="00E96223" w:rsidRPr="006B6FF1" w:rsidRDefault="00E96223" w:rsidP="00A51927">
      <w:pPr>
        <w:pStyle w:val="Heading2"/>
        <w:jc w:val="left"/>
        <w:rPr>
          <w:rFonts w:ascii="Arial" w:hAnsi="Arial" w:cs="Arial"/>
          <w:kern w:val="2"/>
          <w14:ligatures w14:val="standardContextual"/>
        </w:rPr>
      </w:pPr>
      <w:bookmarkStart w:id="5" w:name="_Toc230281623"/>
      <w:bookmarkStart w:id="6" w:name="_Toc232169338"/>
      <w:bookmarkEnd w:id="0"/>
      <w:r w:rsidRPr="006B6FF1">
        <w:rPr>
          <w:rFonts w:ascii="Arial" w:hAnsi="Arial" w:cs="Arial"/>
        </w:rPr>
        <w:lastRenderedPageBreak/>
        <w:t>1.2 Overview</w:t>
      </w:r>
      <w:bookmarkEnd w:id="5"/>
      <w:bookmarkEnd w:id="6"/>
    </w:p>
    <w:p w14:paraId="55B7A167" w14:textId="77777777" w:rsidR="005120EA" w:rsidRPr="00C9207C" w:rsidRDefault="005120EA" w:rsidP="00A51927">
      <w:pPr>
        <w:spacing w:after="0"/>
        <w:rPr>
          <w:rFonts w:ascii="Arial" w:eastAsia="Arial" w:hAnsi="Arial" w:cs="Arial"/>
          <w:b/>
          <w:bCs/>
          <w:sz w:val="20"/>
          <w:szCs w:val="20"/>
          <w:highlight w:val="yellow"/>
          <w:lang w:val="en-AU"/>
        </w:rPr>
      </w:pPr>
    </w:p>
    <w:p w14:paraId="7D94CD08" w14:textId="51F5973B" w:rsidR="51C58A12" w:rsidRPr="004C62EC" w:rsidRDefault="51C58A12" w:rsidP="00A51927">
      <w:pPr>
        <w:spacing w:after="0"/>
        <w:rPr>
          <w:rFonts w:ascii="Arial" w:hAnsi="Arial" w:cs="Arial"/>
          <w:sz w:val="20"/>
          <w:szCs w:val="20"/>
        </w:rPr>
      </w:pPr>
      <w:r w:rsidRPr="004C62EC">
        <w:rPr>
          <w:rFonts w:ascii="Arial" w:eastAsia="Arial" w:hAnsi="Arial" w:cs="Arial"/>
          <w:b/>
          <w:sz w:val="20"/>
          <w:szCs w:val="20"/>
          <w:lang w:val="en-AU"/>
        </w:rPr>
        <w:t>The Role and Remit of the Integration Joint Board (IJB)</w:t>
      </w:r>
    </w:p>
    <w:p w14:paraId="364993B1" w14:textId="24B1649E" w:rsidR="51C58A12" w:rsidRPr="004C62EC" w:rsidRDefault="51C58A12" w:rsidP="00A51927">
      <w:pPr>
        <w:spacing w:after="0"/>
        <w:rPr>
          <w:rFonts w:ascii="Arial" w:hAnsi="Arial" w:cs="Arial"/>
          <w:sz w:val="20"/>
          <w:szCs w:val="20"/>
        </w:rPr>
      </w:pPr>
      <w:r w:rsidRPr="004C62EC">
        <w:rPr>
          <w:rFonts w:ascii="Arial" w:eastAsia="Verdana" w:hAnsi="Arial" w:cs="Arial"/>
          <w:b/>
          <w:sz w:val="20"/>
          <w:szCs w:val="20"/>
          <w:lang w:val="en-AU"/>
        </w:rPr>
        <w:t xml:space="preserve"> </w:t>
      </w:r>
    </w:p>
    <w:p w14:paraId="2828759C" w14:textId="4B51DD51" w:rsidR="0020432C" w:rsidRPr="004C62EC" w:rsidRDefault="51C58A12" w:rsidP="004A61EF">
      <w:pPr>
        <w:spacing w:after="0" w:line="240" w:lineRule="auto"/>
        <w:rPr>
          <w:rFonts w:ascii="Arial" w:hAnsi="Arial" w:cs="Arial"/>
          <w:sz w:val="20"/>
          <w:szCs w:val="20"/>
        </w:rPr>
      </w:pPr>
      <w:r w:rsidRPr="004A61EF">
        <w:rPr>
          <w:rFonts w:ascii="Arial" w:hAnsi="Arial" w:cs="Arial"/>
          <w:sz w:val="20"/>
          <w:szCs w:val="20"/>
        </w:rPr>
        <w:t xml:space="preserve">Aberdeen City Integration Joint Board (IJB) is a joint venture between NHS Grampian (NHSG) and Aberdeen City Council (ACC) which has overall responsibility for planning health and social care services within the city. The IJB is the formal legal body that makes the decisions about how health and social care services are delivered. </w:t>
      </w:r>
    </w:p>
    <w:p w14:paraId="2EC3AD2F" w14:textId="4CC703ED" w:rsidR="007163DF" w:rsidRDefault="0020432C" w:rsidP="000B20C1">
      <w:pPr>
        <w:spacing w:after="0" w:line="240" w:lineRule="exact"/>
        <w:rPr>
          <w:rFonts w:ascii="Arial" w:hAnsi="Arial" w:cs="Arial"/>
          <w:sz w:val="20"/>
          <w:szCs w:val="20"/>
        </w:rPr>
      </w:pPr>
      <w:r>
        <w:rPr>
          <w:noProof/>
        </w:rPr>
        <w:drawing>
          <wp:inline distT="0" distB="0" distL="0" distR="0" wp14:anchorId="7746D1B6" wp14:editId="7370DCBB">
            <wp:extent cx="5912485" cy="3543300"/>
            <wp:effectExtent l="0" t="0" r="0" b="0"/>
            <wp:docPr id="6743212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21205"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5912485" cy="3543300"/>
                    </a:xfrm>
                    <a:prstGeom prst="rect">
                      <a:avLst/>
                    </a:prstGeom>
                  </pic:spPr>
                </pic:pic>
              </a:graphicData>
            </a:graphic>
          </wp:inline>
        </w:drawing>
      </w:r>
      <w:r w:rsidR="51C58A12" w:rsidRPr="00A95419">
        <w:rPr>
          <w:rFonts w:ascii="Arial" w:hAnsi="Arial" w:cs="Arial"/>
          <w:sz w:val="20"/>
          <w:szCs w:val="20"/>
        </w:rPr>
        <w:t xml:space="preserve">The functions delegated to the IJB are detailed in the Integration Scheme, and in summary include all community health and social care services provided to adults and older people. Some services such as adult social work, GP services, district nursing, and allied health professionals are fully delegated and the IJB has responsibility both for strategic planning and operational delivery of these. Other services are Grampian-wide services which Aberdeen City IJB “host” on behalf of all three IJBs in the NHS Grampian area. Aberdeen City IJB delivers the services they host but they share strategic planning responsibility with Aberdeen, Aberdeenshire and Moray IJBs. There are also hospital-based services which Aberdeen City IJB has responsibility for the strategic planning of.  Full details of the delegated and hosted services can be found at the </w:t>
      </w:r>
      <w:hyperlink r:id="rId25" w:history="1">
        <w:r w:rsidR="00784F33">
          <w:rPr>
            <w:rStyle w:val="Hyperlink"/>
            <w:rFonts w:ascii="Arial" w:hAnsi="Arial" w:cs="Arial"/>
            <w:sz w:val="20"/>
            <w:szCs w:val="20"/>
          </w:rPr>
          <w:t>Health and Social Care Integration Scheme for Aberdeen City.</w:t>
        </w:r>
      </w:hyperlink>
    </w:p>
    <w:p w14:paraId="7F5A188D" w14:textId="77777777" w:rsidR="005475C6" w:rsidRDefault="005475C6" w:rsidP="00A95419">
      <w:pPr>
        <w:spacing w:after="0" w:line="240" w:lineRule="auto"/>
        <w:rPr>
          <w:rFonts w:ascii="Arial" w:hAnsi="Arial" w:cs="Arial"/>
          <w:sz w:val="20"/>
          <w:szCs w:val="20"/>
        </w:rPr>
      </w:pPr>
    </w:p>
    <w:p w14:paraId="67B76431" w14:textId="094FD8D1" w:rsidR="51C58A12" w:rsidRPr="004C62EC" w:rsidRDefault="51C58A12" w:rsidP="00A95419">
      <w:pPr>
        <w:spacing w:after="0" w:line="240" w:lineRule="auto"/>
        <w:rPr>
          <w:rFonts w:ascii="Arial" w:hAnsi="Arial" w:cs="Arial"/>
          <w:sz w:val="20"/>
          <w:szCs w:val="20"/>
        </w:rPr>
      </w:pPr>
      <w:r>
        <w:rPr>
          <w:rFonts w:ascii="Arial" w:hAnsi="Arial" w:cs="Arial"/>
          <w:sz w:val="20"/>
          <w:szCs w:val="20"/>
        </w:rPr>
        <w:t>T</w:t>
      </w:r>
      <w:r w:rsidRPr="00A95419">
        <w:rPr>
          <w:rFonts w:ascii="Arial" w:hAnsi="Arial" w:cs="Arial"/>
          <w:sz w:val="20"/>
          <w:szCs w:val="20"/>
        </w:rPr>
        <w:t>he IJB directs Aberdeen City Council and NHS Grampian to deliver services. Aberdeen City Health and Social Care Partnership (A</w:t>
      </w:r>
      <w:r w:rsidR="00900DCB">
        <w:rPr>
          <w:rFonts w:ascii="Arial" w:hAnsi="Arial" w:cs="Arial"/>
          <w:sz w:val="20"/>
          <w:szCs w:val="20"/>
        </w:rPr>
        <w:t>C</w:t>
      </w:r>
      <w:r w:rsidRPr="00A95419">
        <w:rPr>
          <w:rFonts w:ascii="Arial" w:hAnsi="Arial" w:cs="Arial"/>
          <w:sz w:val="20"/>
          <w:szCs w:val="20"/>
        </w:rPr>
        <w:t xml:space="preserve">HSCP) </w:t>
      </w:r>
      <w:r w:rsidR="00630360" w:rsidRPr="00A95419">
        <w:rPr>
          <w:rFonts w:ascii="Arial" w:hAnsi="Arial" w:cs="Arial"/>
          <w:sz w:val="20"/>
          <w:szCs w:val="20"/>
        </w:rPr>
        <w:t>deliver</w:t>
      </w:r>
      <w:r w:rsidRPr="00A95419">
        <w:rPr>
          <w:rFonts w:ascii="Arial" w:hAnsi="Arial" w:cs="Arial"/>
          <w:sz w:val="20"/>
          <w:szCs w:val="20"/>
        </w:rPr>
        <w:t xml:space="preserve"> the services on behalf of the IJB and ultimately ACC and NHSG. ACHSCP is comprised of staff from both organisations. At least every three years the IJB publishes a Strategic Plan which sets out the local challenges and how the IJB intends to make changes to the way delegated services are delivered to improve outcomes for the people of</w:t>
      </w:r>
      <w:r w:rsidRPr="004C62EC">
        <w:rPr>
          <w:rFonts w:ascii="Arial" w:eastAsia="Arial" w:hAnsi="Arial" w:cs="Arial"/>
          <w:sz w:val="20"/>
          <w:szCs w:val="20"/>
        </w:rPr>
        <w:t xml:space="preserve"> Aberdeen. The policy ambition is to improve the quality and consistency of services to patients, carers, service users and their families; to provide seamless, joined-up, quality health and social care services in order to care for people in their own homes or a homely setting where it is safe to do so; and to ensure resources are used effectively and efficiently to deliver services that meet the increasing number of people with longer-term and often complex needs, many of whom are older. </w:t>
      </w:r>
    </w:p>
    <w:p w14:paraId="38C8E47B" w14:textId="4EF5B510" w:rsidR="51C58A12" w:rsidRPr="004C62EC" w:rsidRDefault="51C58A12" w:rsidP="00A51927">
      <w:pPr>
        <w:spacing w:before="120"/>
        <w:rPr>
          <w:rFonts w:ascii="Arial" w:hAnsi="Arial" w:cs="Arial"/>
          <w:sz w:val="20"/>
          <w:szCs w:val="20"/>
        </w:rPr>
      </w:pPr>
      <w:r w:rsidRPr="004C62EC">
        <w:rPr>
          <w:rFonts w:ascii="Arial" w:eastAsia="Arial" w:hAnsi="Arial" w:cs="Arial"/>
          <w:b/>
          <w:sz w:val="20"/>
          <w:szCs w:val="20"/>
        </w:rPr>
        <w:t>Population Needs of Aberdeen City</w:t>
      </w:r>
    </w:p>
    <w:p w14:paraId="3F2DECBD" w14:textId="59E2F7C5" w:rsidR="008867B6" w:rsidRDefault="008867B6" w:rsidP="008867B6">
      <w:pPr>
        <w:spacing w:after="0" w:line="240" w:lineRule="auto"/>
        <w:rPr>
          <w:rFonts w:ascii="Arial" w:eastAsia="Arial" w:hAnsi="Arial" w:cs="Arial"/>
          <w:sz w:val="20"/>
          <w:szCs w:val="20"/>
        </w:rPr>
      </w:pPr>
      <w:r w:rsidRPr="004C62EC">
        <w:rPr>
          <w:rFonts w:ascii="Arial" w:eastAsia="Arial" w:hAnsi="Arial" w:cs="Arial"/>
          <w:sz w:val="20"/>
          <w:szCs w:val="20"/>
        </w:rPr>
        <w:t>To understand the bigger picture and help to plan services the IJB gathers and considers information from different sources to build a profile of the city and its needs. A key document is the Population Needs Assessment (PNA) which was last updated in October 2024.</w:t>
      </w:r>
      <w:r w:rsidR="00F652F2">
        <w:rPr>
          <w:rFonts w:ascii="Arial" w:eastAsia="Arial" w:hAnsi="Arial" w:cs="Arial"/>
          <w:sz w:val="20"/>
          <w:szCs w:val="20"/>
        </w:rPr>
        <w:t xml:space="preserve"> </w:t>
      </w:r>
      <w:r w:rsidRPr="004C62EC">
        <w:rPr>
          <w:rFonts w:ascii="Arial" w:eastAsia="Arial" w:hAnsi="Arial" w:cs="Arial"/>
          <w:sz w:val="20"/>
          <w:szCs w:val="20"/>
        </w:rPr>
        <w:t xml:space="preserve">A copy of the full report can be found </w:t>
      </w:r>
      <w:hyperlink r:id="rId26" w:history="1">
        <w:r>
          <w:rPr>
            <w:rStyle w:val="Hyperlink"/>
            <w:rFonts w:ascii="Arial" w:eastAsia="Arial" w:hAnsi="Arial" w:cs="Arial"/>
            <w:sz w:val="20"/>
            <w:szCs w:val="20"/>
          </w:rPr>
          <w:t>here</w:t>
        </w:r>
      </w:hyperlink>
      <w:r w:rsidRPr="004C62EC">
        <w:rPr>
          <w:rFonts w:ascii="Arial" w:eastAsia="Arial" w:hAnsi="Arial" w:cs="Arial"/>
          <w:sz w:val="20"/>
          <w:szCs w:val="20"/>
        </w:rPr>
        <w:t xml:space="preserve"> but the following paragraphs highlight some of the most relevant information that impacts on the level of demand for health and social care services and, therefore, the pressure on the IJB’s budget.</w:t>
      </w:r>
      <w:r w:rsidR="00F652F2">
        <w:rPr>
          <w:rFonts w:ascii="Arial" w:eastAsia="Arial" w:hAnsi="Arial" w:cs="Arial"/>
          <w:sz w:val="20"/>
          <w:szCs w:val="20"/>
        </w:rPr>
        <w:t xml:space="preserve"> </w:t>
      </w:r>
      <w:r w:rsidRPr="004C62EC">
        <w:rPr>
          <w:rFonts w:ascii="Arial" w:eastAsia="Arial" w:hAnsi="Arial" w:cs="Arial"/>
          <w:sz w:val="20"/>
          <w:szCs w:val="20"/>
        </w:rPr>
        <w:t>It should be noted that although the PNA was updated in 2024 some of the most up to date information contained within it relates to previous years.</w:t>
      </w:r>
    </w:p>
    <w:p w14:paraId="5DD343D9" w14:textId="77777777" w:rsidR="008867B6" w:rsidRPr="004C62EC" w:rsidRDefault="008867B6" w:rsidP="008867B6">
      <w:pPr>
        <w:spacing w:after="0" w:line="240" w:lineRule="auto"/>
        <w:rPr>
          <w:rFonts w:ascii="Arial" w:hAnsi="Arial" w:cs="Arial"/>
          <w:sz w:val="20"/>
          <w:szCs w:val="20"/>
        </w:rPr>
      </w:pPr>
    </w:p>
    <w:p w14:paraId="48278513" w14:textId="0298AD5C" w:rsidR="51C58A12" w:rsidRDefault="008867B6" w:rsidP="007163DF">
      <w:pPr>
        <w:spacing w:after="0" w:line="240" w:lineRule="auto"/>
        <w:rPr>
          <w:rFonts w:ascii="Arial" w:eastAsia="Arial" w:hAnsi="Arial" w:cs="Arial"/>
          <w:sz w:val="20"/>
          <w:szCs w:val="20"/>
        </w:rPr>
      </w:pPr>
      <w:r>
        <w:rPr>
          <w:rFonts w:ascii="Arial" w:eastAsia="Arial" w:hAnsi="Arial" w:cs="Arial"/>
          <w:sz w:val="20"/>
          <w:szCs w:val="20"/>
        </w:rPr>
        <w:t xml:space="preserve">The PNA confirmed that at the time or writing </w:t>
      </w:r>
      <w:r w:rsidR="51C58A12" w:rsidRPr="004C62EC">
        <w:rPr>
          <w:rFonts w:ascii="Arial" w:eastAsia="Arial" w:hAnsi="Arial" w:cs="Arial"/>
          <w:sz w:val="20"/>
          <w:szCs w:val="20"/>
        </w:rPr>
        <w:t>Aberdeen City ha</w:t>
      </w:r>
      <w:r>
        <w:rPr>
          <w:rFonts w:ascii="Arial" w:eastAsia="Arial" w:hAnsi="Arial" w:cs="Arial"/>
          <w:sz w:val="20"/>
          <w:szCs w:val="20"/>
        </w:rPr>
        <w:t>d</w:t>
      </w:r>
      <w:r w:rsidR="51C58A12" w:rsidRPr="004C62EC">
        <w:rPr>
          <w:rFonts w:ascii="Arial" w:eastAsia="Arial" w:hAnsi="Arial" w:cs="Arial"/>
          <w:sz w:val="20"/>
          <w:szCs w:val="20"/>
        </w:rPr>
        <w:t xml:space="preserve"> a population of 227,750 which is 4.1% of the population of Scotland. Challenges faced in Aberdeen City as a result of poverty, deprivation, ill health and inequality are well documented.</w:t>
      </w:r>
      <w:r w:rsidR="00F652F2">
        <w:rPr>
          <w:rFonts w:ascii="Arial" w:eastAsia="Arial" w:hAnsi="Arial" w:cs="Arial"/>
          <w:sz w:val="20"/>
          <w:szCs w:val="20"/>
        </w:rPr>
        <w:t xml:space="preserve"> </w:t>
      </w:r>
      <w:r w:rsidR="51C58A12" w:rsidRPr="004C62EC">
        <w:rPr>
          <w:rFonts w:ascii="Arial" w:eastAsia="Arial" w:hAnsi="Arial" w:cs="Arial"/>
          <w:sz w:val="20"/>
          <w:szCs w:val="20"/>
        </w:rPr>
        <w:t xml:space="preserve">ACHSCP understands that there are a whole range of factors that influence people’s health and social care needs. Meeting those needs means considering all these factors and working with our partners to reduce their impact. </w:t>
      </w:r>
    </w:p>
    <w:p w14:paraId="4FACB261" w14:textId="77777777" w:rsidR="0018224B" w:rsidRPr="0018224B" w:rsidRDefault="0018224B" w:rsidP="0018224B">
      <w:pPr>
        <w:spacing w:after="0" w:line="240" w:lineRule="auto"/>
        <w:rPr>
          <w:rFonts w:ascii="Arial" w:eastAsia="Arial" w:hAnsi="Arial" w:cs="Arial"/>
          <w:sz w:val="20"/>
          <w:szCs w:val="20"/>
        </w:rPr>
      </w:pPr>
    </w:p>
    <w:p w14:paraId="4C373A3F" w14:textId="0CE41491" w:rsidR="51C58A12" w:rsidRPr="004C62EC" w:rsidRDefault="51C58A12" w:rsidP="007163DF">
      <w:pPr>
        <w:spacing w:after="0" w:line="240" w:lineRule="auto"/>
        <w:rPr>
          <w:rFonts w:ascii="Arial" w:hAnsi="Arial" w:cs="Arial"/>
          <w:sz w:val="20"/>
          <w:szCs w:val="20"/>
        </w:rPr>
      </w:pPr>
      <w:r w:rsidRPr="004C62EC">
        <w:rPr>
          <w:rFonts w:ascii="Arial" w:eastAsia="Arial" w:hAnsi="Arial" w:cs="Arial"/>
          <w:sz w:val="20"/>
          <w:szCs w:val="20"/>
        </w:rPr>
        <w:t>There is an ageing population in the city.</w:t>
      </w:r>
      <w:r w:rsidR="00F652F2">
        <w:rPr>
          <w:rFonts w:ascii="Arial" w:eastAsia="Arial" w:hAnsi="Arial" w:cs="Arial"/>
          <w:sz w:val="20"/>
          <w:szCs w:val="20"/>
        </w:rPr>
        <w:t xml:space="preserve"> </w:t>
      </w:r>
      <w:r w:rsidRPr="004C62EC">
        <w:rPr>
          <w:rFonts w:ascii="Arial" w:eastAsia="Arial" w:hAnsi="Arial" w:cs="Arial"/>
          <w:sz w:val="20"/>
          <w:szCs w:val="20"/>
        </w:rPr>
        <w:t>By 2028</w:t>
      </w:r>
      <w:r w:rsidR="093E252A" w:rsidRPr="62E526D7">
        <w:rPr>
          <w:rFonts w:ascii="Arial" w:eastAsia="Arial" w:hAnsi="Arial" w:cs="Arial"/>
          <w:sz w:val="20"/>
          <w:szCs w:val="20"/>
        </w:rPr>
        <w:t>,</w:t>
      </w:r>
      <w:r w:rsidRPr="004C62EC">
        <w:rPr>
          <w:rFonts w:ascii="Arial" w:eastAsia="Arial" w:hAnsi="Arial" w:cs="Arial"/>
          <w:sz w:val="20"/>
          <w:szCs w:val="20"/>
        </w:rPr>
        <w:t xml:space="preserve"> the number of </w:t>
      </w:r>
      <w:r w:rsidR="00630360" w:rsidRPr="004C62EC">
        <w:rPr>
          <w:rFonts w:ascii="Arial" w:eastAsia="Arial" w:hAnsi="Arial" w:cs="Arial"/>
          <w:sz w:val="20"/>
          <w:szCs w:val="20"/>
        </w:rPr>
        <w:t>65</w:t>
      </w:r>
      <w:r w:rsidR="00630360" w:rsidRPr="62E526D7">
        <w:rPr>
          <w:rFonts w:ascii="Arial" w:eastAsia="Arial" w:hAnsi="Arial" w:cs="Arial"/>
          <w:sz w:val="20"/>
          <w:szCs w:val="20"/>
        </w:rPr>
        <w:t>–74-year-olds</w:t>
      </w:r>
      <w:r w:rsidRPr="004C62EC">
        <w:rPr>
          <w:rFonts w:ascii="Arial" w:eastAsia="Arial" w:hAnsi="Arial" w:cs="Arial"/>
          <w:sz w:val="20"/>
          <w:szCs w:val="20"/>
        </w:rPr>
        <w:t xml:space="preserve"> will increase by 14.4% and the number of 75+ will increase by 16.1% - that represents an additional 4,000 people who will potentially require health and social care.</w:t>
      </w:r>
      <w:r w:rsidR="00F652F2">
        <w:rPr>
          <w:rFonts w:ascii="Arial" w:eastAsia="Arial" w:hAnsi="Arial" w:cs="Arial"/>
          <w:sz w:val="20"/>
          <w:szCs w:val="20"/>
        </w:rPr>
        <w:t xml:space="preserve"> </w:t>
      </w:r>
      <w:r w:rsidRPr="004C62EC">
        <w:rPr>
          <w:rFonts w:ascii="Arial" w:eastAsia="Arial" w:hAnsi="Arial" w:cs="Arial"/>
          <w:sz w:val="20"/>
          <w:szCs w:val="20"/>
        </w:rPr>
        <w:t xml:space="preserve"> In addition, 28% of people report they are living with limiting, long term conditions whilst 11% report living with non-limiting conditions.  </w:t>
      </w:r>
    </w:p>
    <w:p w14:paraId="29F05CAF" w14:textId="77777777" w:rsidR="007163DF" w:rsidRDefault="007163DF" w:rsidP="007163DF">
      <w:pPr>
        <w:spacing w:after="0" w:line="240" w:lineRule="auto"/>
        <w:rPr>
          <w:rFonts w:ascii="Arial" w:hAnsi="Arial" w:cs="Arial"/>
          <w:sz w:val="20"/>
          <w:szCs w:val="20"/>
        </w:rPr>
      </w:pPr>
    </w:p>
    <w:p w14:paraId="4F782E67" w14:textId="35C33BCF" w:rsidR="51C58A12" w:rsidRPr="004C62EC" w:rsidRDefault="51C58A12" w:rsidP="007163DF">
      <w:pPr>
        <w:spacing w:after="0" w:line="240" w:lineRule="auto"/>
        <w:rPr>
          <w:rFonts w:ascii="Arial" w:hAnsi="Arial" w:cs="Arial"/>
          <w:sz w:val="20"/>
          <w:szCs w:val="20"/>
        </w:rPr>
      </w:pPr>
      <w:r w:rsidRPr="004C62EC">
        <w:rPr>
          <w:rFonts w:ascii="Arial" w:eastAsia="Arial" w:hAnsi="Arial" w:cs="Arial"/>
          <w:sz w:val="20"/>
          <w:szCs w:val="20"/>
        </w:rPr>
        <w:t>The Scottish Burden of Disease study forecasts a 21% increase in the annual disease burden in Scotland over the next 20 years.</w:t>
      </w:r>
      <w:r w:rsidR="00F652F2">
        <w:rPr>
          <w:rFonts w:ascii="Arial" w:eastAsia="Arial" w:hAnsi="Arial" w:cs="Arial"/>
          <w:sz w:val="20"/>
          <w:szCs w:val="20"/>
        </w:rPr>
        <w:t xml:space="preserve"> </w:t>
      </w:r>
      <w:r w:rsidRPr="004C62EC">
        <w:rPr>
          <w:rFonts w:ascii="Arial" w:eastAsia="Arial" w:hAnsi="Arial" w:cs="Arial"/>
          <w:sz w:val="20"/>
          <w:szCs w:val="20"/>
        </w:rPr>
        <w:t>Applied to the local Aberdeen context this would mean potentially an additional 6% of people reporting limiting, long term conditions.</w:t>
      </w:r>
    </w:p>
    <w:p w14:paraId="48ED6C64" w14:textId="77777777" w:rsidR="007163DF" w:rsidRDefault="007163DF" w:rsidP="007163DF">
      <w:pPr>
        <w:spacing w:after="0" w:line="240" w:lineRule="auto"/>
        <w:rPr>
          <w:rFonts w:ascii="Arial" w:hAnsi="Arial" w:cs="Arial"/>
          <w:sz w:val="20"/>
          <w:szCs w:val="20"/>
        </w:rPr>
      </w:pPr>
    </w:p>
    <w:p w14:paraId="4F4E48CD" w14:textId="22FF9F9C" w:rsidR="51C58A12" w:rsidRPr="004C62EC" w:rsidRDefault="51C58A12" w:rsidP="007163DF">
      <w:pPr>
        <w:spacing w:after="0" w:line="240" w:lineRule="auto"/>
        <w:rPr>
          <w:rFonts w:ascii="Arial" w:hAnsi="Arial" w:cs="Arial"/>
          <w:sz w:val="20"/>
          <w:szCs w:val="20"/>
        </w:rPr>
      </w:pPr>
      <w:r w:rsidRPr="004C62EC">
        <w:rPr>
          <w:rFonts w:ascii="Arial" w:eastAsia="Arial" w:hAnsi="Arial" w:cs="Arial"/>
          <w:sz w:val="20"/>
          <w:szCs w:val="20"/>
        </w:rPr>
        <w:t>In terms of physical health, life expectancy in Aberdeen is unchanged from 2012-2014</w:t>
      </w:r>
      <w:r w:rsidRPr="004C62EC">
        <w:rPr>
          <w:rFonts w:ascii="Arial" w:eastAsia="Aptos" w:hAnsi="Arial" w:cs="Arial"/>
          <w:sz w:val="20"/>
          <w:szCs w:val="20"/>
        </w:rPr>
        <w:t xml:space="preserve">.  </w:t>
      </w:r>
      <w:r w:rsidRPr="004C62EC">
        <w:rPr>
          <w:rFonts w:ascii="Arial" w:eastAsia="Arial" w:hAnsi="Arial" w:cs="Arial"/>
          <w:sz w:val="20"/>
          <w:szCs w:val="20"/>
        </w:rPr>
        <w:t xml:space="preserve">In 2023, cancer and circulatory diseases (such as coronary heart disease and stroke) together accounted for half (50.4%) of all causes of death and the most prevalent disease overall was hypertension, at an </w:t>
      </w:r>
      <w:r w:rsidRPr="004C62EC">
        <w:rPr>
          <w:rFonts w:ascii="Arial" w:eastAsia="Arial" w:hAnsi="Arial" w:cs="Arial"/>
          <w:sz w:val="20"/>
          <w:szCs w:val="20"/>
        </w:rPr>
        <w:lastRenderedPageBreak/>
        <w:t>incidence of 11.1 patients per 100 population.  The incidence of Chronic Obstructive Pulmonary Disease (COPD) and doctor-diagnosed asthma has increased.</w:t>
      </w:r>
    </w:p>
    <w:p w14:paraId="32D5276B" w14:textId="77777777" w:rsidR="007163DF" w:rsidRDefault="007163DF" w:rsidP="007163DF">
      <w:pPr>
        <w:spacing w:after="0" w:line="240" w:lineRule="auto"/>
        <w:rPr>
          <w:rFonts w:ascii="Arial" w:hAnsi="Arial" w:cs="Arial"/>
          <w:sz w:val="20"/>
          <w:szCs w:val="20"/>
        </w:rPr>
      </w:pPr>
    </w:p>
    <w:p w14:paraId="0E0C090D" w14:textId="4674339C" w:rsidR="51C58A12" w:rsidRPr="004C62EC" w:rsidRDefault="51C58A12" w:rsidP="007163DF">
      <w:pPr>
        <w:spacing w:after="0" w:line="240" w:lineRule="auto"/>
        <w:rPr>
          <w:rFonts w:ascii="Arial" w:hAnsi="Arial" w:cs="Arial"/>
          <w:sz w:val="20"/>
          <w:szCs w:val="20"/>
        </w:rPr>
      </w:pPr>
      <w:r w:rsidRPr="004C62EC">
        <w:rPr>
          <w:rFonts w:ascii="Arial" w:eastAsia="Arial" w:hAnsi="Arial" w:cs="Arial"/>
          <w:sz w:val="20"/>
          <w:szCs w:val="20"/>
        </w:rPr>
        <w:t xml:space="preserve">In relation to mental health, in 2019-2023, an estimated 18% of people in Aberdeen were deemed to have a potential psychiatric disorder and depression was reported as the second most prevalent condition.   In 2023, Dementia and Alzheimer’s disease were the leading cause of death for females and the second most common cause of death for males.   Also in 2023, in Aberdeen city there were 29 probable suicides. </w:t>
      </w:r>
    </w:p>
    <w:p w14:paraId="064D0EC4" w14:textId="77777777" w:rsidR="00934D89" w:rsidRDefault="00934D89" w:rsidP="00934D89">
      <w:pPr>
        <w:spacing w:after="0" w:line="240" w:lineRule="auto"/>
        <w:rPr>
          <w:rFonts w:ascii="Arial" w:eastAsia="Arial" w:hAnsi="Arial" w:cs="Arial"/>
          <w:sz w:val="20"/>
          <w:szCs w:val="20"/>
        </w:rPr>
      </w:pPr>
    </w:p>
    <w:p w14:paraId="7216E736" w14:textId="63C85287" w:rsidR="51C58A12" w:rsidRPr="004C62EC" w:rsidRDefault="51C58A12" w:rsidP="00934D89">
      <w:pPr>
        <w:spacing w:after="0" w:line="240" w:lineRule="auto"/>
        <w:rPr>
          <w:rFonts w:ascii="Arial" w:hAnsi="Arial" w:cs="Arial"/>
          <w:sz w:val="20"/>
          <w:szCs w:val="20"/>
        </w:rPr>
      </w:pPr>
      <w:r w:rsidRPr="004C62EC">
        <w:rPr>
          <w:rFonts w:ascii="Arial" w:eastAsia="Arial" w:hAnsi="Arial" w:cs="Arial"/>
          <w:sz w:val="20"/>
          <w:szCs w:val="20"/>
        </w:rPr>
        <w:t>Individual behaviour has an impact on health.  In 2019-2023 23% of adults in Aberdeen were drinking alcohol above the guideline recommendations which is an increase on the previous period. In 2023 there were 54 drug related deaths, an increase from 42 in 2022.</w:t>
      </w:r>
      <w:r w:rsidRPr="004C62EC">
        <w:rPr>
          <w:rFonts w:ascii="Arial" w:eastAsia="Aptos" w:hAnsi="Arial" w:cs="Arial"/>
          <w:sz w:val="20"/>
          <w:szCs w:val="20"/>
        </w:rPr>
        <w:t xml:space="preserve">  </w:t>
      </w:r>
      <w:r w:rsidRPr="004C62EC">
        <w:rPr>
          <w:rFonts w:ascii="Arial" w:eastAsia="Arial" w:hAnsi="Arial" w:cs="Arial"/>
          <w:sz w:val="20"/>
          <w:szCs w:val="20"/>
        </w:rPr>
        <w:t>Smoking, obesity, and physical inactivity are risks associated with the deaths from cancers and circulatory diseases mentioned previously.  Smoking during pregnancy can have significant consequences for mother and baby, and increases the risk of stillbirth, miscarriage and preterm birth.   Around 9% of pregnancies booked in Aberdeen are current smokers. In 2023, 5.6% of 13–18-year-olds reported that they were vaping regularly which could lead to smoking in later life. Obesity rates in 2023 were 32%, a significant increase from 23% in 2016-19.  In relation to cancer, the earlier this is detected, the sooner treatment can be considered which can greatly improve chances of survival.   Uptake rates for screening are an important factor in early detection.   The latest data available indicates that in the Grampian area screening uptake for cervical cancer was 67.3%, for bowel cancer was 67.8% and for breast cancer was 80.3%.</w:t>
      </w:r>
    </w:p>
    <w:p w14:paraId="454F01FE" w14:textId="77777777" w:rsidR="00934D89" w:rsidRDefault="00934D89" w:rsidP="00934D89">
      <w:pPr>
        <w:spacing w:after="0" w:line="240" w:lineRule="auto"/>
        <w:rPr>
          <w:rFonts w:ascii="Arial" w:eastAsia="Arial" w:hAnsi="Arial" w:cs="Arial"/>
          <w:sz w:val="20"/>
          <w:szCs w:val="20"/>
        </w:rPr>
      </w:pPr>
    </w:p>
    <w:p w14:paraId="7BE9C45F" w14:textId="3CAA7F57" w:rsidR="5F662CDF" w:rsidRPr="004C62EC" w:rsidRDefault="51C58A12" w:rsidP="00934D89">
      <w:pPr>
        <w:spacing w:after="0" w:line="240" w:lineRule="auto"/>
        <w:rPr>
          <w:rFonts w:ascii="Arial" w:eastAsia="Arial" w:hAnsi="Arial" w:cs="Arial"/>
          <w:sz w:val="20"/>
          <w:szCs w:val="20"/>
        </w:rPr>
      </w:pPr>
      <w:r w:rsidRPr="004C62EC">
        <w:rPr>
          <w:rFonts w:ascii="Arial" w:eastAsia="Arial" w:hAnsi="Arial" w:cs="Arial"/>
          <w:sz w:val="20"/>
          <w:szCs w:val="20"/>
        </w:rPr>
        <w:t xml:space="preserve">There is a strong association between deprivation and health outcomes as indicated by the table below.   The Healthy Life Expectancy of those living in the most deprived areas in Scotland is 26 years lower than those living in the least deprived areas.   According to an analysis of the Scottish Index of Multiple Deprivation (SIMD) in 2020,19.3% of Aberdeen City’s population are in the three most health deprived data zones.    This is higher than Edinburgh (16.2%) but considerably lower than both Dundee (48.4%) and Glasgow (54.4%).   The neighbourhoods in the 20% most deprived data zones (Quintile 1) include Torry, Woodside, Seaton, Northfield, Middlefield, Tillydrone, Mastrick, Sheddocksley and George Street. </w:t>
      </w:r>
    </w:p>
    <w:p w14:paraId="08D497ED" w14:textId="77777777" w:rsidR="00934D89" w:rsidRPr="004C62EC" w:rsidRDefault="00934D89" w:rsidP="00934D89">
      <w:pPr>
        <w:spacing w:after="0" w:line="240" w:lineRule="auto"/>
        <w:rPr>
          <w:rFonts w:ascii="Arial" w:eastAsia="Arial" w:hAnsi="Arial" w:cs="Arial"/>
          <w:sz w:val="20"/>
          <w:szCs w:val="20"/>
        </w:rPr>
      </w:pPr>
    </w:p>
    <w:tbl>
      <w:tblPr>
        <w:tblStyle w:val="TableGrid"/>
        <w:tblW w:w="9637" w:type="dxa"/>
        <w:tblLayout w:type="fixed"/>
        <w:tblLook w:val="04A0" w:firstRow="1" w:lastRow="0" w:firstColumn="1" w:lastColumn="0" w:noHBand="0" w:noVBand="1"/>
      </w:tblPr>
      <w:tblGrid>
        <w:gridCol w:w="6729"/>
        <w:gridCol w:w="1453"/>
        <w:gridCol w:w="1455"/>
      </w:tblGrid>
      <w:tr w:rsidR="3FE69EE5" w:rsidRPr="00C9207C" w14:paraId="29393872"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280DB" w14:textId="17F8B41B" w:rsidR="3FE69EE5" w:rsidRPr="004C62EC" w:rsidRDefault="3FE69EE5" w:rsidP="00A51927">
            <w:pPr>
              <w:spacing w:before="240" w:after="0"/>
              <w:rPr>
                <w:rFonts w:ascii="Arial" w:hAnsi="Arial" w:cs="Arial"/>
                <w:sz w:val="20"/>
                <w:szCs w:val="20"/>
              </w:rPr>
            </w:pPr>
            <w:r w:rsidRPr="004C62EC">
              <w:rPr>
                <w:rFonts w:ascii="Arial" w:eastAsia="Arial" w:hAnsi="Arial" w:cs="Arial"/>
                <w:b/>
                <w:sz w:val="20"/>
                <w:szCs w:val="20"/>
              </w:rPr>
              <w:t>Health Indicator</w:t>
            </w:r>
            <w:r w:rsidRPr="004C62EC">
              <w:rPr>
                <w:rFonts w:ascii="Arial" w:eastAsia="Arial" w:hAnsi="Arial" w:cs="Arial"/>
                <w:sz w:val="20"/>
                <w:szCs w:val="20"/>
              </w:rPr>
              <w:t xml:space="preserve">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E2EA9" w14:textId="2811C92F" w:rsidR="3FE69EE5" w:rsidRPr="004C62EC" w:rsidRDefault="3FE69EE5" w:rsidP="00A345CD">
            <w:pPr>
              <w:spacing w:before="240" w:after="0"/>
              <w:jc w:val="center"/>
              <w:rPr>
                <w:rFonts w:ascii="Arial" w:hAnsi="Arial" w:cs="Arial"/>
                <w:sz w:val="20"/>
                <w:szCs w:val="20"/>
              </w:rPr>
            </w:pPr>
            <w:r w:rsidRPr="004C62EC">
              <w:rPr>
                <w:rFonts w:ascii="Arial" w:eastAsia="Arial" w:hAnsi="Arial" w:cs="Arial"/>
                <w:b/>
                <w:sz w:val="20"/>
                <w:szCs w:val="20"/>
              </w:rPr>
              <w:t>Least Deprived</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91AAFC" w14:textId="4D5FC57F" w:rsidR="3FE69EE5" w:rsidRPr="004C62EC" w:rsidRDefault="3FE69EE5" w:rsidP="00A345CD">
            <w:pPr>
              <w:spacing w:before="240" w:after="0"/>
              <w:jc w:val="center"/>
              <w:rPr>
                <w:rFonts w:ascii="Arial" w:hAnsi="Arial" w:cs="Arial"/>
                <w:sz w:val="20"/>
                <w:szCs w:val="20"/>
              </w:rPr>
            </w:pPr>
            <w:r w:rsidRPr="004C62EC">
              <w:rPr>
                <w:rFonts w:ascii="Arial" w:eastAsia="Arial" w:hAnsi="Arial" w:cs="Arial"/>
                <w:b/>
                <w:sz w:val="20"/>
                <w:szCs w:val="20"/>
              </w:rPr>
              <w:t>Most Deprived</w:t>
            </w:r>
          </w:p>
        </w:tc>
      </w:tr>
      <w:tr w:rsidR="3FE69EE5" w:rsidRPr="00C9207C" w14:paraId="2DFCF730"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9B4915" w14:textId="1C546D95"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Life Expectancy Males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63C484" w14:textId="00B7C6A3"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81.1</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5F25B6" w14:textId="254C0301"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71.7</w:t>
            </w:r>
          </w:p>
        </w:tc>
      </w:tr>
      <w:tr w:rsidR="3FE69EE5" w:rsidRPr="00C9207C" w14:paraId="29A3305B"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4A0508" w14:textId="10437E05"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Life Expectancy Females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F16872" w14:textId="701C0225"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84.8</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9A15C9" w14:textId="7D8B4767"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76.4</w:t>
            </w:r>
          </w:p>
        </w:tc>
      </w:tr>
      <w:tr w:rsidR="3FE69EE5" w:rsidRPr="00C9207C" w14:paraId="54D1DDA1"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EA988" w14:textId="364E5750"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Alcohol related hospital admissions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BB923F" w14:textId="633F29AF"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300.7</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5582A" w14:textId="092F14BD"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1,044.2</w:t>
            </w:r>
          </w:p>
        </w:tc>
      </w:tr>
      <w:tr w:rsidR="3FE69EE5" w:rsidRPr="00C9207C" w14:paraId="3346189D" w14:textId="77777777" w:rsidTr="00A345CD">
        <w:trPr>
          <w:trHeight w:val="231"/>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7E5A7" w14:textId="5161F510"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Alcohol related deaths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173CB" w14:textId="6E3B5B4B"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10.5</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2B3B23" w14:textId="762A34C5"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40.4</w:t>
            </w:r>
          </w:p>
        </w:tc>
      </w:tr>
      <w:tr w:rsidR="3FE69EE5" w:rsidRPr="00C9207C" w14:paraId="45919844"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47E9B" w14:textId="75BEFE95"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Drug related hospital admissions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A02D2" w14:textId="4C375264"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39.9</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750E2" w14:textId="0160A4AB"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532</w:t>
            </w:r>
          </w:p>
        </w:tc>
      </w:tr>
      <w:tr w:rsidR="3FE69EE5" w:rsidRPr="00C9207C" w14:paraId="42BDA569"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56956A" w14:textId="223CAA08"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Drug related deaths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966EA" w14:textId="7399DB88"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5.2</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AC8D6" w14:textId="7087DF13"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57.3</w:t>
            </w:r>
          </w:p>
        </w:tc>
      </w:tr>
      <w:tr w:rsidR="3FE69EE5" w:rsidRPr="00C9207C" w14:paraId="73A330E9"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5E30AF" w14:textId="6CAC2A10"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Psychiatric patient hospital admissions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9717A" w14:textId="2785CC39"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144</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23F3F9" w14:textId="52F864F9"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343</w:t>
            </w:r>
          </w:p>
        </w:tc>
      </w:tr>
      <w:tr w:rsidR="3FE69EE5" w:rsidRPr="00C9207C" w14:paraId="3E8EDF1F"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9C9645" w14:textId="0CA81091"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Prescriptions for anxiety, depression and psychosis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F48A7B" w14:textId="1E467C20"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12.5%</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F5D18" w14:textId="11149F09"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23.8%</w:t>
            </w:r>
          </w:p>
        </w:tc>
      </w:tr>
      <w:tr w:rsidR="3FE69EE5" w:rsidRPr="00C9207C" w14:paraId="434D151D"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B1E06" w14:textId="6CD92841"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Cancer registrations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2CAB4" w14:textId="5F25D3B7"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571.2</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CFC1E5" w14:textId="4937FD34"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768.9</w:t>
            </w:r>
          </w:p>
        </w:tc>
      </w:tr>
      <w:tr w:rsidR="3FE69EE5" w:rsidRPr="00C9207C" w14:paraId="3311849E"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C254B0" w14:textId="70B184A2"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Early deaths from cancer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1F9C9" w14:textId="03F9990C"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98</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842AA" w14:textId="19711D14"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249</w:t>
            </w:r>
          </w:p>
        </w:tc>
      </w:tr>
      <w:tr w:rsidR="3FE69EE5" w:rsidRPr="00C9207C" w14:paraId="18AB7DD2"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9F1069" w14:textId="1D442B74"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Hospitalisations for coronary heart disease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C01BB" w14:textId="23755931"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256.2</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D62229" w14:textId="67EB66DE"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443.1</w:t>
            </w:r>
          </w:p>
        </w:tc>
      </w:tr>
      <w:tr w:rsidR="3FE69EE5" w:rsidRPr="00C9207C" w14:paraId="516F22F6"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08B22" w14:textId="274C9D38"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Early death from coronary heart disease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0EDE88" w14:textId="4CD64A15"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25</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0487F" w14:textId="53E4F5FF"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95.9</w:t>
            </w:r>
          </w:p>
        </w:tc>
      </w:tr>
      <w:tr w:rsidR="3FE69EE5" w:rsidRPr="00C9207C" w14:paraId="439E7115"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B41E6" w14:textId="3C61988B"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Hospitalisations for COPD (per 100,000)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758E7C" w14:textId="11BE26D5"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65.4</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115D7" w14:textId="46E48222"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402.9</w:t>
            </w:r>
          </w:p>
        </w:tc>
      </w:tr>
      <w:tr w:rsidR="3FE69EE5" w:rsidRPr="00C9207C" w14:paraId="3FAFB25B" w14:textId="77777777" w:rsidTr="00A345CD">
        <w:trPr>
          <w:trHeight w:val="289"/>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1B7C4E" w14:textId="11B7AA49"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Incidences of smoking in pregnancy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0C35E6" w14:textId="47613A80"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2.8%</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9F93CC" w14:textId="780E2CC5"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25%</w:t>
            </w:r>
          </w:p>
        </w:tc>
      </w:tr>
      <w:tr w:rsidR="3FE69EE5" w:rsidRPr="00C9207C" w14:paraId="5C3BBF40" w14:textId="77777777" w:rsidTr="00A345CD">
        <w:trPr>
          <w:trHeight w:val="390"/>
        </w:trPr>
        <w:tc>
          <w:tcPr>
            <w:tcW w:w="67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702AE0" w14:textId="19B8A53F" w:rsidR="3FE69EE5" w:rsidRPr="004C62EC" w:rsidRDefault="3FE69EE5" w:rsidP="00A51927">
            <w:pPr>
              <w:spacing w:after="0"/>
              <w:rPr>
                <w:rFonts w:ascii="Arial" w:hAnsi="Arial" w:cs="Arial"/>
                <w:sz w:val="20"/>
                <w:szCs w:val="20"/>
              </w:rPr>
            </w:pPr>
            <w:r w:rsidRPr="004C62EC">
              <w:rPr>
                <w:rFonts w:ascii="Arial" w:eastAsia="Arial" w:hAnsi="Arial" w:cs="Arial"/>
                <w:sz w:val="20"/>
                <w:szCs w:val="20"/>
              </w:rPr>
              <w:t xml:space="preserve">Disposable income required to be spent on healthy diet </w:t>
            </w:r>
          </w:p>
        </w:tc>
        <w:tc>
          <w:tcPr>
            <w:tcW w:w="1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93C56" w14:textId="52D86D76"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11%</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3032D" w14:textId="53EC3749" w:rsidR="3FE69EE5" w:rsidRPr="004C62EC" w:rsidRDefault="3FE69EE5" w:rsidP="00A345CD">
            <w:pPr>
              <w:spacing w:after="0"/>
              <w:jc w:val="center"/>
              <w:rPr>
                <w:rFonts w:ascii="Arial" w:hAnsi="Arial" w:cs="Arial"/>
                <w:sz w:val="20"/>
                <w:szCs w:val="20"/>
              </w:rPr>
            </w:pPr>
            <w:r w:rsidRPr="004C62EC">
              <w:rPr>
                <w:rFonts w:ascii="Arial" w:eastAsia="Arial" w:hAnsi="Arial" w:cs="Arial"/>
                <w:sz w:val="20"/>
                <w:szCs w:val="20"/>
              </w:rPr>
              <w:t>50%</w:t>
            </w:r>
          </w:p>
        </w:tc>
      </w:tr>
    </w:tbl>
    <w:p w14:paraId="458E3F80" w14:textId="77777777" w:rsidR="00461878" w:rsidRDefault="00461878" w:rsidP="00461878">
      <w:pPr>
        <w:spacing w:after="0" w:line="240" w:lineRule="auto"/>
        <w:rPr>
          <w:rFonts w:ascii="Arial" w:eastAsia="Arial" w:hAnsi="Arial" w:cs="Arial"/>
          <w:sz w:val="20"/>
          <w:szCs w:val="20"/>
        </w:rPr>
      </w:pPr>
    </w:p>
    <w:p w14:paraId="57FC35E9" w14:textId="0738EB62" w:rsidR="51C58A12" w:rsidRPr="004C62EC" w:rsidRDefault="51C58A12" w:rsidP="00461878">
      <w:pPr>
        <w:spacing w:after="0" w:line="240" w:lineRule="auto"/>
        <w:rPr>
          <w:rFonts w:ascii="Arial" w:eastAsia="Arial" w:hAnsi="Arial" w:cs="Arial"/>
          <w:sz w:val="20"/>
          <w:szCs w:val="20"/>
        </w:rPr>
      </w:pPr>
      <w:r w:rsidRPr="004C62EC">
        <w:rPr>
          <w:rFonts w:ascii="Arial" w:eastAsia="Arial" w:hAnsi="Arial" w:cs="Arial"/>
          <w:sz w:val="20"/>
          <w:szCs w:val="20"/>
        </w:rPr>
        <w:t>Reducing this impact of inequality and influencing the wider determinants of health will be a focus for the IJB to ensure better outcomes for the population of Aberdeen.</w:t>
      </w:r>
    </w:p>
    <w:p w14:paraId="1BCBBC7E" w14:textId="77777777" w:rsidR="00E96223" w:rsidRPr="00C9207C" w:rsidRDefault="00E96223" w:rsidP="00A51927">
      <w:pPr>
        <w:pStyle w:val="Heading2"/>
        <w:jc w:val="left"/>
        <w:rPr>
          <w:rFonts w:ascii="Arial" w:hAnsi="Arial" w:cs="Arial"/>
          <w:highlight w:val="yellow"/>
        </w:rPr>
      </w:pPr>
      <w:bookmarkStart w:id="7" w:name="_Toc230281624"/>
      <w:bookmarkStart w:id="8" w:name="_Toc232169339"/>
      <w:r w:rsidRPr="00630360">
        <w:rPr>
          <w:rFonts w:ascii="Arial" w:hAnsi="Arial" w:cs="Arial"/>
        </w:rPr>
        <w:lastRenderedPageBreak/>
        <w:t>1.3 Operational Performance</w:t>
      </w:r>
      <w:bookmarkEnd w:id="7"/>
      <w:bookmarkEnd w:id="8"/>
    </w:p>
    <w:p w14:paraId="1B007CB6" w14:textId="4F5FF4FE" w:rsidR="000107E1" w:rsidRPr="00777E40" w:rsidRDefault="001302E4" w:rsidP="00A51927">
      <w:pPr>
        <w:pStyle w:val="Heading2"/>
        <w:jc w:val="left"/>
        <w:rPr>
          <w:rFonts w:ascii="Arial" w:hAnsi="Arial" w:cs="Arial"/>
          <w:kern w:val="2"/>
          <w14:ligatures w14:val="standardContextual"/>
        </w:rPr>
      </w:pPr>
      <w:bookmarkStart w:id="9" w:name="_Toc232169340"/>
      <w:r w:rsidRPr="00777E40">
        <w:rPr>
          <w:rFonts w:ascii="Arial" w:hAnsi="Arial" w:cs="Arial"/>
        </w:rPr>
        <w:t>1.3</w:t>
      </w:r>
      <w:r w:rsidR="00D41402" w:rsidRPr="00777E40">
        <w:rPr>
          <w:rFonts w:ascii="Arial" w:hAnsi="Arial" w:cs="Arial"/>
        </w:rPr>
        <w:t>.1</w:t>
      </w:r>
      <w:r w:rsidR="00D41402" w:rsidRPr="00777E40">
        <w:rPr>
          <w:rFonts w:ascii="Arial" w:hAnsi="Arial" w:cs="Arial"/>
        </w:rPr>
        <w:tab/>
      </w:r>
      <w:r w:rsidR="005942D4" w:rsidRPr="00777E40">
        <w:rPr>
          <w:rFonts w:ascii="Arial" w:hAnsi="Arial" w:cs="Arial"/>
        </w:rPr>
        <w:t xml:space="preserve">Strategic </w:t>
      </w:r>
      <w:r w:rsidR="00C91E0B" w:rsidRPr="00777E40">
        <w:rPr>
          <w:rFonts w:ascii="Arial" w:hAnsi="Arial" w:cs="Arial"/>
        </w:rPr>
        <w:t>Plan and Year 1 Delivery Plan</w:t>
      </w:r>
      <w:bookmarkEnd w:id="9"/>
    </w:p>
    <w:p w14:paraId="182C2691" w14:textId="77777777" w:rsidR="002B753B" w:rsidRPr="00777E40" w:rsidRDefault="002B753B" w:rsidP="00A51927">
      <w:pPr>
        <w:spacing w:after="0" w:line="240" w:lineRule="auto"/>
        <w:rPr>
          <w:rFonts w:ascii="Arial" w:eastAsia="Times New Roman" w:hAnsi="Arial" w:cs="Arial"/>
          <w:b/>
          <w:sz w:val="20"/>
          <w:szCs w:val="20"/>
        </w:rPr>
      </w:pPr>
    </w:p>
    <w:p w14:paraId="606EC28E" w14:textId="41348ABC" w:rsidR="7804D10A" w:rsidRDefault="0032675A" w:rsidP="00141A9D">
      <w:pPr>
        <w:spacing w:after="0" w:line="240" w:lineRule="auto"/>
      </w:pPr>
      <w:r>
        <w:rPr>
          <w:rFonts w:ascii="Arial" w:eastAsia="Times New Roman" w:hAnsi="Arial" w:cs="Arial"/>
          <w:sz w:val="20"/>
          <w:szCs w:val="20"/>
        </w:rPr>
        <w:t>On 1</w:t>
      </w:r>
      <w:r w:rsidRPr="0032675A">
        <w:rPr>
          <w:rFonts w:ascii="Arial" w:eastAsia="Times New Roman" w:hAnsi="Arial" w:cs="Arial"/>
          <w:sz w:val="20"/>
          <w:szCs w:val="20"/>
          <w:vertAlign w:val="superscript"/>
        </w:rPr>
        <w:t>st</w:t>
      </w:r>
      <w:r>
        <w:rPr>
          <w:rFonts w:ascii="Arial" w:eastAsia="Times New Roman" w:hAnsi="Arial" w:cs="Arial"/>
          <w:sz w:val="20"/>
          <w:szCs w:val="20"/>
        </w:rPr>
        <w:t xml:space="preserve"> July 2025 Aberdeen </w:t>
      </w:r>
      <w:r w:rsidR="00CD1ED5">
        <w:rPr>
          <w:rFonts w:ascii="Arial" w:eastAsia="Times New Roman" w:hAnsi="Arial" w:cs="Arial"/>
          <w:sz w:val="20"/>
          <w:szCs w:val="20"/>
        </w:rPr>
        <w:t>City</w:t>
      </w:r>
      <w:r>
        <w:rPr>
          <w:rFonts w:ascii="Arial" w:eastAsia="Times New Roman" w:hAnsi="Arial" w:cs="Arial"/>
          <w:sz w:val="20"/>
          <w:szCs w:val="20"/>
        </w:rPr>
        <w:t xml:space="preserve"> IJB approved a new Strategic </w:t>
      </w:r>
      <w:r w:rsidR="00CD1ED5">
        <w:rPr>
          <w:rFonts w:ascii="Arial" w:eastAsia="Times New Roman" w:hAnsi="Arial" w:cs="Arial"/>
          <w:sz w:val="20"/>
          <w:szCs w:val="20"/>
        </w:rPr>
        <w:t>P</w:t>
      </w:r>
      <w:r>
        <w:rPr>
          <w:rFonts w:ascii="Arial" w:eastAsia="Times New Roman" w:hAnsi="Arial" w:cs="Arial"/>
          <w:sz w:val="20"/>
          <w:szCs w:val="20"/>
        </w:rPr>
        <w:t xml:space="preserve">lan </w:t>
      </w:r>
      <w:r w:rsidR="00CD1ED5">
        <w:rPr>
          <w:rFonts w:ascii="Arial" w:eastAsia="Times New Roman" w:hAnsi="Arial" w:cs="Arial"/>
          <w:sz w:val="20"/>
          <w:szCs w:val="20"/>
        </w:rPr>
        <w:t>and</w:t>
      </w:r>
      <w:r w:rsidR="00CC37E0">
        <w:rPr>
          <w:rFonts w:ascii="Arial" w:eastAsia="Times New Roman" w:hAnsi="Arial" w:cs="Arial"/>
          <w:sz w:val="20"/>
          <w:szCs w:val="20"/>
        </w:rPr>
        <w:t xml:space="preserve"> </w:t>
      </w:r>
      <w:r w:rsidR="00AC1824">
        <w:rPr>
          <w:rFonts w:ascii="Arial" w:eastAsia="Times New Roman" w:hAnsi="Arial" w:cs="Arial"/>
          <w:sz w:val="20"/>
          <w:szCs w:val="20"/>
        </w:rPr>
        <w:t>Route map</w:t>
      </w:r>
      <w:r w:rsidR="00CC37E0">
        <w:rPr>
          <w:rFonts w:ascii="Arial" w:eastAsia="Times New Roman" w:hAnsi="Arial" w:cs="Arial"/>
          <w:sz w:val="20"/>
          <w:szCs w:val="20"/>
        </w:rPr>
        <w:t xml:space="preserve"> for Delivery</w:t>
      </w:r>
      <w:r>
        <w:rPr>
          <w:rFonts w:ascii="Arial" w:eastAsia="Times New Roman" w:hAnsi="Arial" w:cs="Arial"/>
          <w:sz w:val="20"/>
          <w:szCs w:val="20"/>
        </w:rPr>
        <w:t xml:space="preserve"> covering four years from 2025 to 2029.  </w:t>
      </w:r>
      <w:r w:rsidR="00CC37E0">
        <w:rPr>
          <w:rFonts w:ascii="Arial" w:eastAsia="Times New Roman" w:hAnsi="Arial" w:cs="Arial"/>
          <w:sz w:val="20"/>
          <w:szCs w:val="20"/>
        </w:rPr>
        <w:t xml:space="preserve">This is now published on our website and can be found </w:t>
      </w:r>
      <w:hyperlink r:id="rId27" w:history="1">
        <w:r w:rsidR="005906D6">
          <w:rPr>
            <w:rFonts w:asciiTheme="minorBidi" w:hAnsiTheme="minorBidi" w:cstheme="minorBidi"/>
            <w:color w:val="0000FF"/>
            <w:sz w:val="20"/>
            <w:szCs w:val="20"/>
            <w:u w:val="single"/>
          </w:rPr>
          <w:t>here</w:t>
        </w:r>
      </w:hyperlink>
      <w:r w:rsidR="005906D6">
        <w:rPr>
          <w:rFonts w:asciiTheme="minorBidi" w:hAnsiTheme="minorBidi" w:cstheme="minorBidi"/>
          <w:sz w:val="20"/>
          <w:szCs w:val="20"/>
        </w:rPr>
        <w:t xml:space="preserve">. </w:t>
      </w:r>
      <w:r w:rsidR="00E9600D">
        <w:rPr>
          <w:rFonts w:asciiTheme="minorBidi" w:hAnsiTheme="minorBidi" w:cstheme="minorBidi"/>
          <w:sz w:val="20"/>
          <w:szCs w:val="20"/>
        </w:rPr>
        <w:t>In light</w:t>
      </w:r>
      <w:r w:rsidR="005F4C0D" w:rsidRPr="005F4C0D">
        <w:rPr>
          <w:rFonts w:asciiTheme="minorBidi" w:hAnsiTheme="minorBidi" w:cstheme="minorBidi"/>
          <w:sz w:val="20"/>
          <w:szCs w:val="20"/>
        </w:rPr>
        <w:t xml:space="preserve"> of </w:t>
      </w:r>
      <w:r w:rsidR="00E9600D">
        <w:rPr>
          <w:rFonts w:asciiTheme="minorBidi" w:hAnsiTheme="minorBidi" w:cstheme="minorBidi"/>
          <w:sz w:val="20"/>
          <w:szCs w:val="20"/>
        </w:rPr>
        <w:t>the</w:t>
      </w:r>
      <w:r w:rsidR="005F4C0D" w:rsidRPr="005F4C0D">
        <w:rPr>
          <w:rFonts w:asciiTheme="minorBidi" w:hAnsiTheme="minorBidi" w:cstheme="minorBidi"/>
          <w:sz w:val="20"/>
          <w:szCs w:val="20"/>
        </w:rPr>
        <w:t xml:space="preserve"> challenging </w:t>
      </w:r>
      <w:r w:rsidR="00E9600D">
        <w:rPr>
          <w:rFonts w:asciiTheme="minorBidi" w:hAnsiTheme="minorBidi" w:cstheme="minorBidi"/>
          <w:sz w:val="20"/>
          <w:szCs w:val="20"/>
        </w:rPr>
        <w:t>financial situation and the need</w:t>
      </w:r>
      <w:r w:rsidR="005F4C0D" w:rsidRPr="005F4C0D">
        <w:rPr>
          <w:rFonts w:asciiTheme="minorBidi" w:hAnsiTheme="minorBidi" w:cstheme="minorBidi"/>
          <w:sz w:val="20"/>
          <w:szCs w:val="20"/>
        </w:rPr>
        <w:t xml:space="preserve"> to </w:t>
      </w:r>
      <w:r w:rsidR="00E9600D">
        <w:rPr>
          <w:rFonts w:asciiTheme="minorBidi" w:hAnsiTheme="minorBidi" w:cstheme="minorBidi"/>
          <w:sz w:val="20"/>
          <w:szCs w:val="20"/>
        </w:rPr>
        <w:t>ensure sustainability of service provision</w:t>
      </w:r>
      <w:r w:rsidR="005F4C0D" w:rsidRPr="005F4C0D">
        <w:rPr>
          <w:rFonts w:asciiTheme="minorBidi" w:hAnsiTheme="minorBidi" w:cstheme="minorBidi"/>
          <w:sz w:val="20"/>
          <w:szCs w:val="20"/>
        </w:rPr>
        <w:t xml:space="preserve"> </w:t>
      </w:r>
      <w:r w:rsidR="00FC42CA">
        <w:rPr>
          <w:rFonts w:asciiTheme="minorBidi" w:hAnsiTheme="minorBidi" w:cstheme="minorBidi"/>
          <w:sz w:val="20"/>
          <w:szCs w:val="20"/>
        </w:rPr>
        <w:t xml:space="preserve">the plan focuses on </w:t>
      </w:r>
      <w:r w:rsidR="00C813E7">
        <w:rPr>
          <w:rFonts w:asciiTheme="minorBidi" w:hAnsiTheme="minorBidi" w:cstheme="minorBidi"/>
          <w:sz w:val="20"/>
          <w:szCs w:val="20"/>
        </w:rPr>
        <w:t xml:space="preserve">two strategic aims supported by </w:t>
      </w:r>
      <w:r w:rsidR="00B22757">
        <w:rPr>
          <w:rFonts w:asciiTheme="minorBidi" w:hAnsiTheme="minorBidi" w:cstheme="minorBidi"/>
          <w:sz w:val="20"/>
          <w:szCs w:val="20"/>
        </w:rPr>
        <w:t xml:space="preserve">four priorities. </w:t>
      </w:r>
      <w:r w:rsidR="00630360">
        <w:rPr>
          <w:rFonts w:asciiTheme="minorBidi" w:hAnsiTheme="minorBidi" w:cstheme="minorBidi"/>
          <w:sz w:val="20"/>
          <w:szCs w:val="20"/>
        </w:rPr>
        <w:t>Firstly,</w:t>
      </w:r>
      <w:r w:rsidR="008237D4">
        <w:rPr>
          <w:rFonts w:asciiTheme="minorBidi" w:hAnsiTheme="minorBidi" w:cstheme="minorBidi"/>
          <w:sz w:val="20"/>
          <w:szCs w:val="20"/>
        </w:rPr>
        <w:t xml:space="preserve"> </w:t>
      </w:r>
      <w:r w:rsidR="002375A3">
        <w:rPr>
          <w:rFonts w:asciiTheme="minorBidi" w:hAnsiTheme="minorBidi" w:cstheme="minorBidi"/>
          <w:sz w:val="20"/>
          <w:szCs w:val="20"/>
        </w:rPr>
        <w:t xml:space="preserve">we aim to </w:t>
      </w:r>
      <w:r w:rsidR="002375A3" w:rsidRPr="001107D1">
        <w:rPr>
          <w:rFonts w:asciiTheme="minorBidi" w:hAnsiTheme="minorBidi" w:cstheme="minorBidi"/>
          <w:b/>
          <w:sz w:val="20"/>
          <w:szCs w:val="20"/>
        </w:rPr>
        <w:t>modernise our approach to service delivery</w:t>
      </w:r>
      <w:r w:rsidR="002375A3">
        <w:rPr>
          <w:rFonts w:asciiTheme="minorBidi" w:hAnsiTheme="minorBidi" w:cstheme="minorBidi"/>
          <w:sz w:val="20"/>
          <w:szCs w:val="20"/>
        </w:rPr>
        <w:t xml:space="preserve"> by making best use of resources and implementing transformation</w:t>
      </w:r>
      <w:r w:rsidR="004B2DAE">
        <w:rPr>
          <w:rFonts w:asciiTheme="minorBidi" w:hAnsiTheme="minorBidi" w:cstheme="minorBidi"/>
          <w:sz w:val="20"/>
          <w:szCs w:val="20"/>
        </w:rPr>
        <w:t>.   This will be a key focus for us particularly in the first two years of the plan.   Secondl</w:t>
      </w:r>
      <w:r w:rsidR="002479CE">
        <w:rPr>
          <w:rFonts w:asciiTheme="minorBidi" w:hAnsiTheme="minorBidi" w:cstheme="minorBidi"/>
          <w:sz w:val="20"/>
          <w:szCs w:val="20"/>
        </w:rPr>
        <w:t xml:space="preserve">y, we aim to shift our focus </w:t>
      </w:r>
      <w:r w:rsidR="00EC018D">
        <w:rPr>
          <w:rFonts w:asciiTheme="minorBidi" w:hAnsiTheme="minorBidi" w:cstheme="minorBidi"/>
          <w:sz w:val="20"/>
          <w:szCs w:val="20"/>
        </w:rPr>
        <w:t xml:space="preserve">towards </w:t>
      </w:r>
      <w:r w:rsidR="00EC018D" w:rsidRPr="001107D1">
        <w:rPr>
          <w:rFonts w:asciiTheme="minorBidi" w:hAnsiTheme="minorBidi" w:cstheme="minorBidi"/>
          <w:b/>
          <w:sz w:val="20"/>
          <w:szCs w:val="20"/>
        </w:rPr>
        <w:t>prevention and early intervention</w:t>
      </w:r>
      <w:r w:rsidR="00EC018D">
        <w:rPr>
          <w:rFonts w:asciiTheme="minorBidi" w:hAnsiTheme="minorBidi" w:cstheme="minorBidi"/>
          <w:sz w:val="20"/>
          <w:szCs w:val="20"/>
        </w:rPr>
        <w:t xml:space="preserve"> </w:t>
      </w:r>
      <w:r w:rsidR="003A689F">
        <w:rPr>
          <w:rFonts w:asciiTheme="minorBidi" w:hAnsiTheme="minorBidi" w:cstheme="minorBidi"/>
          <w:sz w:val="20"/>
          <w:szCs w:val="20"/>
        </w:rPr>
        <w:t xml:space="preserve">by </w:t>
      </w:r>
      <w:r w:rsidR="00F720D9">
        <w:rPr>
          <w:rFonts w:asciiTheme="minorBidi" w:hAnsiTheme="minorBidi" w:cstheme="minorBidi"/>
          <w:sz w:val="20"/>
          <w:szCs w:val="20"/>
        </w:rPr>
        <w:t xml:space="preserve">finding ways to help improve the physical and mental health of the people of </w:t>
      </w:r>
      <w:r w:rsidR="002B4508">
        <w:rPr>
          <w:rFonts w:asciiTheme="minorBidi" w:hAnsiTheme="minorBidi" w:cstheme="minorBidi"/>
          <w:sz w:val="20"/>
          <w:szCs w:val="20"/>
        </w:rPr>
        <w:t>Aberdeen</w:t>
      </w:r>
      <w:r w:rsidR="00F720D9">
        <w:rPr>
          <w:rFonts w:asciiTheme="minorBidi" w:hAnsiTheme="minorBidi" w:cstheme="minorBidi"/>
          <w:sz w:val="20"/>
          <w:szCs w:val="20"/>
        </w:rPr>
        <w:t xml:space="preserve"> and reducing</w:t>
      </w:r>
      <w:r w:rsidR="002375A3">
        <w:rPr>
          <w:rFonts w:asciiTheme="minorBidi" w:hAnsiTheme="minorBidi" w:cstheme="minorBidi"/>
          <w:sz w:val="20"/>
          <w:szCs w:val="20"/>
        </w:rPr>
        <w:t xml:space="preserve"> </w:t>
      </w:r>
      <w:r w:rsidR="00E04345">
        <w:rPr>
          <w:rFonts w:asciiTheme="minorBidi" w:hAnsiTheme="minorBidi" w:cstheme="minorBidi"/>
          <w:sz w:val="20"/>
          <w:szCs w:val="20"/>
        </w:rPr>
        <w:t xml:space="preserve">the potential for known harms.   </w:t>
      </w:r>
      <w:r w:rsidR="00853486">
        <w:rPr>
          <w:rFonts w:asciiTheme="minorBidi" w:hAnsiTheme="minorBidi" w:cstheme="minorBidi"/>
          <w:sz w:val="20"/>
          <w:szCs w:val="20"/>
        </w:rPr>
        <w:t>By doing this we hope to achieve fina</w:t>
      </w:r>
      <w:r w:rsidR="00637D94">
        <w:rPr>
          <w:rFonts w:asciiTheme="minorBidi" w:hAnsiTheme="minorBidi" w:cstheme="minorBidi"/>
          <w:sz w:val="20"/>
          <w:szCs w:val="20"/>
        </w:rPr>
        <w:t>ncial balance</w:t>
      </w:r>
      <w:r w:rsidR="00AF1816">
        <w:rPr>
          <w:rFonts w:asciiTheme="minorBidi" w:hAnsiTheme="minorBidi" w:cstheme="minorBidi"/>
          <w:sz w:val="20"/>
          <w:szCs w:val="20"/>
        </w:rPr>
        <w:t xml:space="preserve"> and</w:t>
      </w:r>
      <w:r w:rsidR="007E75E1">
        <w:rPr>
          <w:rFonts w:asciiTheme="minorBidi" w:hAnsiTheme="minorBidi" w:cstheme="minorBidi"/>
          <w:sz w:val="20"/>
          <w:szCs w:val="20"/>
        </w:rPr>
        <w:t xml:space="preserve"> sustainable service provision</w:t>
      </w:r>
      <w:r w:rsidR="00AB5CE8">
        <w:rPr>
          <w:rFonts w:asciiTheme="minorBidi" w:hAnsiTheme="minorBidi" w:cstheme="minorBidi"/>
          <w:sz w:val="20"/>
          <w:szCs w:val="20"/>
        </w:rPr>
        <w:t>, improved population health and a reduction in care needs.</w:t>
      </w:r>
      <w:r w:rsidR="007E75E1">
        <w:rPr>
          <w:rFonts w:asciiTheme="minorBidi" w:hAnsiTheme="minorBidi" w:cstheme="minorBidi"/>
          <w:sz w:val="20"/>
          <w:szCs w:val="20"/>
        </w:rPr>
        <w:t xml:space="preserve"> </w:t>
      </w:r>
      <w:r w:rsidR="0014790E">
        <w:rPr>
          <w:rFonts w:asciiTheme="minorBidi" w:hAnsiTheme="minorBidi" w:cstheme="minorBidi"/>
          <w:sz w:val="20"/>
          <w:szCs w:val="20"/>
        </w:rPr>
        <w:t xml:space="preserve">Below are the key </w:t>
      </w:r>
      <w:r w:rsidR="001D2732">
        <w:rPr>
          <w:rFonts w:asciiTheme="minorBidi" w:hAnsiTheme="minorBidi" w:cstheme="minorBidi"/>
          <w:sz w:val="20"/>
          <w:szCs w:val="20"/>
        </w:rPr>
        <w:t>principles</w:t>
      </w:r>
      <w:r w:rsidR="0014790E">
        <w:rPr>
          <w:rFonts w:asciiTheme="minorBidi" w:hAnsiTheme="minorBidi" w:cstheme="minorBidi"/>
          <w:sz w:val="20"/>
          <w:szCs w:val="20"/>
        </w:rPr>
        <w:t xml:space="preserve"> to service delivery which underpin </w:t>
      </w:r>
      <w:r w:rsidR="001D2732">
        <w:rPr>
          <w:rFonts w:asciiTheme="minorBidi" w:hAnsiTheme="minorBidi" w:cstheme="minorBidi"/>
          <w:sz w:val="20"/>
          <w:szCs w:val="20"/>
        </w:rPr>
        <w:t>the Strategic Plan.</w:t>
      </w:r>
    </w:p>
    <w:p w14:paraId="01610010" w14:textId="77777777" w:rsidR="00570D15" w:rsidRDefault="00570D15" w:rsidP="00141A9D">
      <w:pPr>
        <w:spacing w:after="0" w:line="240" w:lineRule="auto"/>
        <w:rPr>
          <w:noProof/>
        </w:rPr>
      </w:pPr>
    </w:p>
    <w:p w14:paraId="7A436F8E" w14:textId="354BDAF0" w:rsidR="00570D15" w:rsidRDefault="00A638DC" w:rsidP="00A51927">
      <w:pPr>
        <w:spacing w:after="0" w:line="240" w:lineRule="auto"/>
        <w:rPr>
          <w:noProof/>
        </w:rPr>
      </w:pPr>
      <w:r>
        <w:rPr>
          <w:noProof/>
        </w:rPr>
        <w:drawing>
          <wp:inline distT="0" distB="0" distL="0" distR="0" wp14:anchorId="3A1AF311" wp14:editId="4FFCF71C">
            <wp:extent cx="5731510" cy="3223895"/>
            <wp:effectExtent l="0" t="0" r="2540" b="0"/>
            <wp:docPr id="1303682862" name="Graphic 1" descr="Key Principles of service delive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2862" name="Graphic 1" descr="Key Principles of service delivery diagram"/>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3223895"/>
                    </a:xfrm>
                    <a:prstGeom prst="rect">
                      <a:avLst/>
                    </a:prstGeom>
                  </pic:spPr>
                </pic:pic>
              </a:graphicData>
            </a:graphic>
          </wp:inline>
        </w:drawing>
      </w:r>
    </w:p>
    <w:p w14:paraId="2721FCB7" w14:textId="77777777" w:rsidR="00570D15" w:rsidRDefault="00570D15" w:rsidP="00A51927">
      <w:pPr>
        <w:spacing w:after="0" w:line="240" w:lineRule="auto"/>
        <w:rPr>
          <w:rFonts w:ascii="Arial" w:hAnsi="Arial" w:cs="Arial"/>
          <w:sz w:val="20"/>
          <w:szCs w:val="20"/>
          <w:highlight w:val="yellow"/>
        </w:rPr>
      </w:pPr>
    </w:p>
    <w:p w14:paraId="5443AAD1" w14:textId="2A46D6EE" w:rsidR="002B29CE" w:rsidRDefault="00872C5E" w:rsidP="00A51927">
      <w:pPr>
        <w:spacing w:after="0" w:line="240" w:lineRule="auto"/>
        <w:rPr>
          <w:rFonts w:ascii="Arial" w:hAnsi="Arial" w:cs="Arial"/>
          <w:sz w:val="20"/>
          <w:szCs w:val="20"/>
        </w:rPr>
      </w:pPr>
      <w:r w:rsidRPr="00872C5E">
        <w:rPr>
          <w:rFonts w:ascii="Arial" w:hAnsi="Arial" w:cs="Arial"/>
          <w:sz w:val="20"/>
          <w:szCs w:val="20"/>
        </w:rPr>
        <w:t>Delivery of the Strategic Plan</w:t>
      </w:r>
      <w:r>
        <w:rPr>
          <w:rFonts w:ascii="Arial" w:hAnsi="Arial" w:cs="Arial"/>
          <w:sz w:val="20"/>
          <w:szCs w:val="20"/>
        </w:rPr>
        <w:t xml:space="preserve"> will be achieved through an annually refreshed Delivery Plan </w:t>
      </w:r>
      <w:r w:rsidR="00812F81">
        <w:rPr>
          <w:rFonts w:ascii="Arial" w:hAnsi="Arial" w:cs="Arial"/>
          <w:sz w:val="20"/>
          <w:szCs w:val="20"/>
        </w:rPr>
        <w:t>using a programme and project management approach</w:t>
      </w:r>
      <w:r w:rsidR="0062763D">
        <w:rPr>
          <w:rFonts w:ascii="Arial" w:hAnsi="Arial" w:cs="Arial"/>
          <w:sz w:val="20"/>
          <w:szCs w:val="20"/>
        </w:rPr>
        <w:t xml:space="preserve">.   </w:t>
      </w:r>
      <w:r w:rsidR="00A44A30">
        <w:rPr>
          <w:rFonts w:ascii="Arial" w:hAnsi="Arial" w:cs="Arial"/>
          <w:sz w:val="20"/>
          <w:szCs w:val="20"/>
        </w:rPr>
        <w:t xml:space="preserve">Delivery is </w:t>
      </w:r>
      <w:r>
        <w:rPr>
          <w:rFonts w:ascii="Arial" w:hAnsi="Arial" w:cs="Arial"/>
          <w:sz w:val="20"/>
          <w:szCs w:val="20"/>
        </w:rPr>
        <w:t xml:space="preserve">monitored </w:t>
      </w:r>
      <w:r w:rsidRPr="00872C5E">
        <w:rPr>
          <w:rFonts w:ascii="Arial" w:hAnsi="Arial" w:cs="Arial"/>
          <w:sz w:val="20"/>
          <w:szCs w:val="20"/>
        </w:rPr>
        <w:t xml:space="preserve"> </w:t>
      </w:r>
      <w:r w:rsidR="00A44A30">
        <w:rPr>
          <w:rFonts w:ascii="Arial" w:hAnsi="Arial" w:cs="Arial"/>
          <w:sz w:val="20"/>
          <w:szCs w:val="20"/>
        </w:rPr>
        <w:t xml:space="preserve">through monthly reporting to the Senior Leadership Team, quarterly reporting to </w:t>
      </w:r>
      <w:r w:rsidR="004A1ADC">
        <w:rPr>
          <w:rFonts w:ascii="Arial" w:hAnsi="Arial" w:cs="Arial"/>
          <w:sz w:val="20"/>
          <w:szCs w:val="20"/>
        </w:rPr>
        <w:t xml:space="preserve">the Risk, </w:t>
      </w:r>
      <w:r w:rsidR="004A4D9C">
        <w:rPr>
          <w:rFonts w:ascii="Arial" w:hAnsi="Arial" w:cs="Arial"/>
          <w:sz w:val="20"/>
          <w:szCs w:val="20"/>
        </w:rPr>
        <w:t>Audit</w:t>
      </w:r>
      <w:r w:rsidR="004A1ADC">
        <w:rPr>
          <w:rFonts w:ascii="Arial" w:hAnsi="Arial" w:cs="Arial"/>
          <w:sz w:val="20"/>
          <w:szCs w:val="20"/>
        </w:rPr>
        <w:t xml:space="preserve"> and </w:t>
      </w:r>
      <w:r w:rsidR="004A4D9C">
        <w:rPr>
          <w:rFonts w:ascii="Arial" w:hAnsi="Arial" w:cs="Arial"/>
          <w:sz w:val="20"/>
          <w:szCs w:val="20"/>
        </w:rPr>
        <w:t>P</w:t>
      </w:r>
      <w:r w:rsidR="004A1ADC">
        <w:rPr>
          <w:rFonts w:ascii="Arial" w:hAnsi="Arial" w:cs="Arial"/>
          <w:sz w:val="20"/>
          <w:szCs w:val="20"/>
        </w:rPr>
        <w:t xml:space="preserve">erformance </w:t>
      </w:r>
      <w:r w:rsidR="004A4D9C">
        <w:rPr>
          <w:rFonts w:ascii="Arial" w:hAnsi="Arial" w:cs="Arial"/>
          <w:sz w:val="20"/>
          <w:szCs w:val="20"/>
        </w:rPr>
        <w:t>C</w:t>
      </w:r>
      <w:r w:rsidR="004A1ADC">
        <w:rPr>
          <w:rFonts w:ascii="Arial" w:hAnsi="Arial" w:cs="Arial"/>
          <w:sz w:val="20"/>
          <w:szCs w:val="20"/>
        </w:rPr>
        <w:t xml:space="preserve">ommittee and annual reporting through our Annual Performance </w:t>
      </w:r>
      <w:r w:rsidR="004A4D9C">
        <w:rPr>
          <w:rFonts w:ascii="Arial" w:hAnsi="Arial" w:cs="Arial"/>
          <w:sz w:val="20"/>
          <w:szCs w:val="20"/>
        </w:rPr>
        <w:t>R</w:t>
      </w:r>
      <w:r w:rsidR="004A1ADC">
        <w:rPr>
          <w:rFonts w:ascii="Arial" w:hAnsi="Arial" w:cs="Arial"/>
          <w:sz w:val="20"/>
          <w:szCs w:val="20"/>
        </w:rPr>
        <w:t>eport which is published on our website.</w:t>
      </w:r>
      <w:r w:rsidR="00AF26C2">
        <w:rPr>
          <w:rFonts w:ascii="Arial" w:hAnsi="Arial" w:cs="Arial"/>
          <w:sz w:val="20"/>
          <w:szCs w:val="20"/>
        </w:rPr>
        <w:t xml:space="preserve">   (Link to be added </w:t>
      </w:r>
      <w:r w:rsidR="00D04DF8">
        <w:rPr>
          <w:rFonts w:ascii="Arial" w:hAnsi="Arial" w:cs="Arial"/>
          <w:sz w:val="20"/>
          <w:szCs w:val="20"/>
        </w:rPr>
        <w:t>when APR published</w:t>
      </w:r>
      <w:r w:rsidR="002B29CE" w:rsidRPr="002B29CE">
        <w:rPr>
          <w:rFonts w:ascii="Arial" w:hAnsi="Arial" w:cs="Arial"/>
          <w:sz w:val="20"/>
          <w:szCs w:val="20"/>
        </w:rPr>
        <w:t xml:space="preserve"> NB: this will not be in time for RAPC).</w:t>
      </w:r>
      <w:r w:rsidR="004E7452">
        <w:rPr>
          <w:rFonts w:ascii="Arial" w:hAnsi="Arial" w:cs="Arial"/>
          <w:sz w:val="20"/>
          <w:szCs w:val="20"/>
        </w:rPr>
        <w:t xml:space="preserve">   There are 32 projects </w:t>
      </w:r>
      <w:r w:rsidR="00531918">
        <w:rPr>
          <w:rFonts w:ascii="Arial" w:hAnsi="Arial" w:cs="Arial"/>
          <w:sz w:val="20"/>
          <w:szCs w:val="20"/>
        </w:rPr>
        <w:t xml:space="preserve">on the 2025/26 delivery </w:t>
      </w:r>
      <w:r w:rsidR="00F940C4">
        <w:rPr>
          <w:rFonts w:ascii="Arial" w:hAnsi="Arial" w:cs="Arial"/>
          <w:sz w:val="20"/>
          <w:szCs w:val="20"/>
        </w:rPr>
        <w:t xml:space="preserve">Plan, 23 </w:t>
      </w:r>
      <w:r w:rsidR="0092295B">
        <w:rPr>
          <w:rFonts w:ascii="Arial" w:hAnsi="Arial" w:cs="Arial"/>
          <w:sz w:val="20"/>
          <w:szCs w:val="20"/>
        </w:rPr>
        <w:t xml:space="preserve">under Modernising our Service Delivery and 9 under Prevention and </w:t>
      </w:r>
      <w:r w:rsidR="0021143D">
        <w:rPr>
          <w:rFonts w:ascii="Arial" w:hAnsi="Arial" w:cs="Arial"/>
          <w:sz w:val="20"/>
          <w:szCs w:val="20"/>
        </w:rPr>
        <w:t>Early Intervention.</w:t>
      </w:r>
      <w:r w:rsidR="00E50CF0">
        <w:rPr>
          <w:rFonts w:ascii="Arial" w:hAnsi="Arial" w:cs="Arial"/>
          <w:sz w:val="20"/>
          <w:szCs w:val="20"/>
        </w:rPr>
        <w:t xml:space="preserve"> </w:t>
      </w:r>
      <w:r w:rsidR="00E1327A">
        <w:rPr>
          <w:rFonts w:ascii="Arial" w:hAnsi="Arial" w:cs="Arial"/>
          <w:sz w:val="20"/>
          <w:szCs w:val="20"/>
        </w:rPr>
        <w:t xml:space="preserve">10 projects </w:t>
      </w:r>
      <w:r w:rsidR="00CB1B36">
        <w:rPr>
          <w:rFonts w:ascii="Arial" w:hAnsi="Arial" w:cs="Arial"/>
          <w:sz w:val="20"/>
          <w:szCs w:val="20"/>
        </w:rPr>
        <w:t xml:space="preserve">had a budget savings target </w:t>
      </w:r>
      <w:r w:rsidR="00C554F3">
        <w:rPr>
          <w:rFonts w:ascii="Arial" w:hAnsi="Arial" w:cs="Arial"/>
          <w:sz w:val="20"/>
          <w:szCs w:val="20"/>
        </w:rPr>
        <w:t>collectively</w:t>
      </w:r>
      <w:r w:rsidR="00CB1B36">
        <w:rPr>
          <w:rFonts w:ascii="Arial" w:hAnsi="Arial" w:cs="Arial"/>
          <w:sz w:val="20"/>
          <w:szCs w:val="20"/>
        </w:rPr>
        <w:t xml:space="preserve"> contributing to the </w:t>
      </w:r>
      <w:r w:rsidR="00BD58C2">
        <w:rPr>
          <w:rFonts w:ascii="Arial" w:hAnsi="Arial" w:cs="Arial"/>
          <w:sz w:val="20"/>
          <w:szCs w:val="20"/>
        </w:rPr>
        <w:t xml:space="preserve">£14.3 million </w:t>
      </w:r>
      <w:r w:rsidR="00C249F2">
        <w:rPr>
          <w:rFonts w:ascii="Arial" w:hAnsi="Arial" w:cs="Arial"/>
          <w:sz w:val="20"/>
          <w:szCs w:val="20"/>
        </w:rPr>
        <w:t>saving target for the IJB.</w:t>
      </w:r>
      <w:r w:rsidR="00E50CF0">
        <w:rPr>
          <w:rFonts w:ascii="Arial" w:hAnsi="Arial" w:cs="Arial"/>
          <w:sz w:val="20"/>
          <w:szCs w:val="20"/>
        </w:rPr>
        <w:t xml:space="preserve"> </w:t>
      </w:r>
      <w:r w:rsidR="000947CA">
        <w:rPr>
          <w:rFonts w:ascii="Arial" w:hAnsi="Arial" w:cs="Arial"/>
          <w:sz w:val="20"/>
          <w:szCs w:val="20"/>
        </w:rPr>
        <w:t xml:space="preserve">6 projects </w:t>
      </w:r>
      <w:r w:rsidR="00CA1C20">
        <w:rPr>
          <w:rFonts w:ascii="Arial" w:hAnsi="Arial" w:cs="Arial"/>
          <w:sz w:val="20"/>
          <w:szCs w:val="20"/>
        </w:rPr>
        <w:t>were focused on laying the grou</w:t>
      </w:r>
      <w:r w:rsidR="00620F23">
        <w:rPr>
          <w:rFonts w:ascii="Arial" w:hAnsi="Arial" w:cs="Arial"/>
          <w:sz w:val="20"/>
          <w:szCs w:val="20"/>
        </w:rPr>
        <w:t>n</w:t>
      </w:r>
      <w:r w:rsidR="00CA1C20">
        <w:rPr>
          <w:rFonts w:ascii="Arial" w:hAnsi="Arial" w:cs="Arial"/>
          <w:sz w:val="20"/>
          <w:szCs w:val="20"/>
        </w:rPr>
        <w:t xml:space="preserve">dwork </w:t>
      </w:r>
      <w:r w:rsidR="00620F23">
        <w:rPr>
          <w:rFonts w:ascii="Arial" w:hAnsi="Arial" w:cs="Arial"/>
          <w:sz w:val="20"/>
          <w:szCs w:val="20"/>
        </w:rPr>
        <w:t>for transformation to be enabled in future years.</w:t>
      </w:r>
      <w:r w:rsidR="0021143D">
        <w:rPr>
          <w:rFonts w:ascii="Arial" w:hAnsi="Arial" w:cs="Arial"/>
          <w:sz w:val="20"/>
          <w:szCs w:val="20"/>
        </w:rPr>
        <w:t xml:space="preserve"> </w:t>
      </w:r>
    </w:p>
    <w:p w14:paraId="7FD2207D" w14:textId="77777777" w:rsidR="002B29CE" w:rsidRDefault="002B29CE" w:rsidP="00A51927">
      <w:pPr>
        <w:spacing w:after="0" w:line="240" w:lineRule="auto"/>
        <w:rPr>
          <w:rFonts w:ascii="Arial" w:hAnsi="Arial" w:cs="Arial"/>
          <w:sz w:val="20"/>
          <w:szCs w:val="20"/>
        </w:rPr>
      </w:pPr>
    </w:p>
    <w:p w14:paraId="0E72B02D" w14:textId="167EAC68" w:rsidR="006D5D92" w:rsidRPr="00533939" w:rsidRDefault="006A234E" w:rsidP="00A51927">
      <w:pPr>
        <w:spacing w:after="0" w:line="240" w:lineRule="auto"/>
        <w:rPr>
          <w:rFonts w:ascii="Arial" w:hAnsi="Arial" w:cs="Arial"/>
          <w:b/>
          <w:bCs/>
          <w:sz w:val="20"/>
          <w:szCs w:val="20"/>
        </w:rPr>
      </w:pPr>
      <w:r w:rsidRPr="00533939">
        <w:rPr>
          <w:rFonts w:ascii="Arial" w:hAnsi="Arial" w:cs="Arial"/>
          <w:b/>
          <w:bCs/>
          <w:sz w:val="20"/>
          <w:szCs w:val="20"/>
        </w:rPr>
        <w:t xml:space="preserve">Key highlights from </w:t>
      </w:r>
      <w:r w:rsidR="006D5D92" w:rsidRPr="00533939">
        <w:rPr>
          <w:rFonts w:ascii="Arial" w:hAnsi="Arial" w:cs="Arial"/>
          <w:b/>
          <w:bCs/>
          <w:sz w:val="20"/>
          <w:szCs w:val="20"/>
        </w:rPr>
        <w:t>the 2025/26 Delivery Plan:</w:t>
      </w:r>
    </w:p>
    <w:p w14:paraId="273E15FE" w14:textId="77777777" w:rsidR="006D5D92" w:rsidRDefault="006D5D92" w:rsidP="00A51927">
      <w:pPr>
        <w:spacing w:after="0" w:line="240" w:lineRule="auto"/>
        <w:rPr>
          <w:rFonts w:ascii="Arial" w:hAnsi="Arial" w:cs="Arial"/>
          <w:sz w:val="20"/>
          <w:szCs w:val="20"/>
        </w:rPr>
      </w:pPr>
    </w:p>
    <w:p w14:paraId="10F57FA7" w14:textId="7CC3D38C" w:rsidR="008223C9" w:rsidRDefault="008223C9"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Conclusion of the Stoneywood development </w:t>
      </w:r>
      <w:r w:rsidR="00D24474">
        <w:rPr>
          <w:rFonts w:ascii="Arial" w:hAnsi="Arial" w:cs="Arial"/>
          <w:sz w:val="20"/>
          <w:szCs w:val="20"/>
        </w:rPr>
        <w:t xml:space="preserve">providing </w:t>
      </w:r>
      <w:r w:rsidR="00533939">
        <w:rPr>
          <w:rFonts w:ascii="Arial" w:hAnsi="Arial" w:cs="Arial"/>
          <w:sz w:val="20"/>
          <w:szCs w:val="20"/>
        </w:rPr>
        <w:t>purpose-built</w:t>
      </w:r>
      <w:r w:rsidR="008621E2">
        <w:rPr>
          <w:rFonts w:ascii="Arial" w:hAnsi="Arial" w:cs="Arial"/>
          <w:sz w:val="20"/>
          <w:szCs w:val="20"/>
        </w:rPr>
        <w:t xml:space="preserve"> </w:t>
      </w:r>
      <w:r w:rsidR="007C6685">
        <w:rPr>
          <w:rFonts w:ascii="Arial" w:hAnsi="Arial" w:cs="Arial"/>
          <w:sz w:val="20"/>
          <w:szCs w:val="20"/>
        </w:rPr>
        <w:t xml:space="preserve">homes </w:t>
      </w:r>
      <w:r w:rsidR="008621E2">
        <w:rPr>
          <w:rFonts w:ascii="Arial" w:hAnsi="Arial" w:cs="Arial"/>
          <w:sz w:val="20"/>
          <w:szCs w:val="20"/>
        </w:rPr>
        <w:t xml:space="preserve">in Aberdeen </w:t>
      </w:r>
      <w:r w:rsidR="007C6685" w:rsidRPr="00225F16">
        <w:rPr>
          <w:rFonts w:ascii="Arial" w:hAnsi="Arial" w:cs="Arial"/>
          <w:sz w:val="20"/>
          <w:szCs w:val="20"/>
        </w:rPr>
        <w:t xml:space="preserve"> </w:t>
      </w:r>
      <w:r w:rsidR="007C6685">
        <w:rPr>
          <w:rFonts w:ascii="Arial" w:hAnsi="Arial" w:cs="Arial"/>
          <w:sz w:val="20"/>
          <w:szCs w:val="20"/>
        </w:rPr>
        <w:t xml:space="preserve">for </w:t>
      </w:r>
      <w:r w:rsidR="00101085">
        <w:rPr>
          <w:rFonts w:ascii="Arial" w:hAnsi="Arial" w:cs="Arial"/>
          <w:sz w:val="20"/>
          <w:szCs w:val="20"/>
        </w:rPr>
        <w:t>eight</w:t>
      </w:r>
      <w:r w:rsidR="007C6685">
        <w:rPr>
          <w:rFonts w:ascii="Arial" w:hAnsi="Arial" w:cs="Arial"/>
          <w:sz w:val="20"/>
          <w:szCs w:val="20"/>
        </w:rPr>
        <w:t xml:space="preserve"> people with complex needs most of whom were previously </w:t>
      </w:r>
      <w:r w:rsidR="004A1892">
        <w:rPr>
          <w:rFonts w:ascii="Arial" w:hAnsi="Arial" w:cs="Arial"/>
          <w:sz w:val="20"/>
          <w:szCs w:val="20"/>
        </w:rPr>
        <w:t xml:space="preserve">cared for out of area </w:t>
      </w:r>
      <w:r w:rsidR="001A40ED">
        <w:rPr>
          <w:rFonts w:ascii="Arial" w:hAnsi="Arial" w:cs="Arial"/>
          <w:sz w:val="20"/>
          <w:szCs w:val="20"/>
        </w:rPr>
        <w:t>in hospital settings</w:t>
      </w:r>
    </w:p>
    <w:p w14:paraId="47E4ED12" w14:textId="7F979B64" w:rsidR="00395943" w:rsidRDefault="004B4384"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Redesign of </w:t>
      </w:r>
      <w:r w:rsidR="00150774">
        <w:rPr>
          <w:rFonts w:ascii="Arial" w:hAnsi="Arial" w:cs="Arial"/>
          <w:sz w:val="20"/>
          <w:szCs w:val="20"/>
        </w:rPr>
        <w:t>step-down care</w:t>
      </w:r>
      <w:r w:rsidR="00B51DAC">
        <w:rPr>
          <w:rFonts w:ascii="Arial" w:hAnsi="Arial" w:cs="Arial"/>
          <w:sz w:val="20"/>
          <w:szCs w:val="20"/>
        </w:rPr>
        <w:t xml:space="preserve"> closing a </w:t>
      </w:r>
      <w:r w:rsidR="00533939">
        <w:rPr>
          <w:rFonts w:ascii="Arial" w:hAnsi="Arial" w:cs="Arial"/>
          <w:sz w:val="20"/>
          <w:szCs w:val="20"/>
        </w:rPr>
        <w:t>bed-based</w:t>
      </w:r>
      <w:r w:rsidR="00B51DAC">
        <w:rPr>
          <w:rFonts w:ascii="Arial" w:hAnsi="Arial" w:cs="Arial"/>
          <w:sz w:val="20"/>
          <w:szCs w:val="20"/>
        </w:rPr>
        <w:t xml:space="preserve"> facility and transferring care into the community</w:t>
      </w:r>
    </w:p>
    <w:p w14:paraId="6C09EFE3" w14:textId="3EF13ED7" w:rsidR="001A40ED" w:rsidRDefault="001A40ED"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Robust review of </w:t>
      </w:r>
      <w:r w:rsidR="00602CFC">
        <w:rPr>
          <w:rFonts w:ascii="Arial" w:hAnsi="Arial" w:cs="Arial"/>
          <w:sz w:val="20"/>
          <w:szCs w:val="20"/>
        </w:rPr>
        <w:t xml:space="preserve">social </w:t>
      </w:r>
      <w:r>
        <w:rPr>
          <w:rFonts w:ascii="Arial" w:hAnsi="Arial" w:cs="Arial"/>
          <w:sz w:val="20"/>
          <w:szCs w:val="20"/>
        </w:rPr>
        <w:t xml:space="preserve">care provision </w:t>
      </w:r>
      <w:r w:rsidR="006A2521">
        <w:rPr>
          <w:rFonts w:ascii="Arial" w:hAnsi="Arial" w:cs="Arial"/>
          <w:sz w:val="20"/>
          <w:szCs w:val="20"/>
        </w:rPr>
        <w:t xml:space="preserve">in line with </w:t>
      </w:r>
      <w:r w:rsidR="00E5380A">
        <w:rPr>
          <w:rFonts w:ascii="Arial" w:hAnsi="Arial" w:cs="Arial"/>
          <w:sz w:val="20"/>
          <w:szCs w:val="20"/>
        </w:rPr>
        <w:t>E</w:t>
      </w:r>
      <w:r w:rsidR="006A2521">
        <w:rPr>
          <w:rFonts w:ascii="Arial" w:hAnsi="Arial" w:cs="Arial"/>
          <w:sz w:val="20"/>
          <w:szCs w:val="20"/>
        </w:rPr>
        <w:t xml:space="preserve">ligibility Criteria </w:t>
      </w:r>
      <w:r>
        <w:rPr>
          <w:rFonts w:ascii="Arial" w:hAnsi="Arial" w:cs="Arial"/>
          <w:sz w:val="20"/>
          <w:szCs w:val="20"/>
        </w:rPr>
        <w:t xml:space="preserve">to ensure </w:t>
      </w:r>
      <w:r w:rsidR="00567F6C">
        <w:rPr>
          <w:rFonts w:ascii="Arial" w:hAnsi="Arial" w:cs="Arial"/>
          <w:sz w:val="20"/>
          <w:szCs w:val="20"/>
        </w:rPr>
        <w:t xml:space="preserve">the needs of the most vulnerable people </w:t>
      </w:r>
      <w:r>
        <w:rPr>
          <w:rFonts w:ascii="Arial" w:hAnsi="Arial" w:cs="Arial"/>
          <w:sz w:val="20"/>
          <w:szCs w:val="20"/>
        </w:rPr>
        <w:t>were met</w:t>
      </w:r>
    </w:p>
    <w:p w14:paraId="7DC8C5BC" w14:textId="33EBEBDA" w:rsidR="00270F37" w:rsidRDefault="00270F37"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lastRenderedPageBreak/>
        <w:t xml:space="preserve">Development of a Transitions Pathway from </w:t>
      </w:r>
      <w:r w:rsidR="00DA068A">
        <w:rPr>
          <w:rFonts w:ascii="Arial" w:hAnsi="Arial" w:cs="Arial"/>
          <w:sz w:val="20"/>
          <w:szCs w:val="20"/>
        </w:rPr>
        <w:t>Childre</w:t>
      </w:r>
      <w:r w:rsidR="00056A36">
        <w:rPr>
          <w:rFonts w:ascii="Arial" w:hAnsi="Arial" w:cs="Arial"/>
          <w:sz w:val="20"/>
          <w:szCs w:val="20"/>
        </w:rPr>
        <w:t xml:space="preserve">n’s to Adult Social Work increasing </w:t>
      </w:r>
      <w:r w:rsidR="007851FE">
        <w:rPr>
          <w:rFonts w:ascii="Arial" w:hAnsi="Arial" w:cs="Arial"/>
          <w:sz w:val="20"/>
          <w:szCs w:val="20"/>
        </w:rPr>
        <w:t xml:space="preserve">communication and early planning </w:t>
      </w:r>
      <w:r w:rsidR="00067002">
        <w:rPr>
          <w:rFonts w:ascii="Arial" w:hAnsi="Arial" w:cs="Arial"/>
          <w:sz w:val="20"/>
          <w:szCs w:val="20"/>
        </w:rPr>
        <w:t xml:space="preserve">to </w:t>
      </w:r>
      <w:r w:rsidR="0043136C">
        <w:rPr>
          <w:rFonts w:ascii="Arial" w:hAnsi="Arial" w:cs="Arial"/>
          <w:sz w:val="20"/>
          <w:szCs w:val="20"/>
        </w:rPr>
        <w:t>better prepare</w:t>
      </w:r>
      <w:r w:rsidR="00067002">
        <w:rPr>
          <w:rFonts w:ascii="Arial" w:hAnsi="Arial" w:cs="Arial"/>
          <w:sz w:val="20"/>
          <w:szCs w:val="20"/>
        </w:rPr>
        <w:t xml:space="preserve"> children</w:t>
      </w:r>
      <w:r w:rsidR="00E26843">
        <w:rPr>
          <w:rFonts w:ascii="Arial" w:hAnsi="Arial" w:cs="Arial"/>
          <w:sz w:val="20"/>
          <w:szCs w:val="20"/>
        </w:rPr>
        <w:t xml:space="preserve">, </w:t>
      </w:r>
      <w:r w:rsidR="00067002">
        <w:rPr>
          <w:rFonts w:ascii="Arial" w:hAnsi="Arial" w:cs="Arial"/>
          <w:sz w:val="20"/>
          <w:szCs w:val="20"/>
        </w:rPr>
        <w:t>their families</w:t>
      </w:r>
      <w:r w:rsidR="00E26843">
        <w:rPr>
          <w:rFonts w:ascii="Arial" w:hAnsi="Arial" w:cs="Arial"/>
          <w:sz w:val="20"/>
          <w:szCs w:val="20"/>
        </w:rPr>
        <w:t>, and the social work professionals</w:t>
      </w:r>
      <w:r w:rsidR="00067002">
        <w:rPr>
          <w:rFonts w:ascii="Arial" w:hAnsi="Arial" w:cs="Arial"/>
          <w:sz w:val="20"/>
          <w:szCs w:val="20"/>
        </w:rPr>
        <w:t xml:space="preserve"> </w:t>
      </w:r>
      <w:r w:rsidR="007041E8">
        <w:rPr>
          <w:rFonts w:ascii="Arial" w:hAnsi="Arial" w:cs="Arial"/>
          <w:sz w:val="20"/>
          <w:szCs w:val="20"/>
        </w:rPr>
        <w:t xml:space="preserve">for the changes ahead and </w:t>
      </w:r>
      <w:r w:rsidR="005F3C68">
        <w:rPr>
          <w:rFonts w:ascii="Arial" w:hAnsi="Arial" w:cs="Arial"/>
          <w:sz w:val="20"/>
          <w:szCs w:val="20"/>
        </w:rPr>
        <w:t xml:space="preserve">ensure </w:t>
      </w:r>
      <w:r w:rsidR="00C67C97">
        <w:rPr>
          <w:rFonts w:ascii="Arial" w:hAnsi="Arial" w:cs="Arial"/>
          <w:sz w:val="20"/>
          <w:szCs w:val="20"/>
        </w:rPr>
        <w:t>appropriate budget is provided</w:t>
      </w:r>
    </w:p>
    <w:p w14:paraId="55E6FA9D" w14:textId="19D255C0" w:rsidR="009F0CF0" w:rsidRDefault="009F0CF0"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Development of </w:t>
      </w:r>
      <w:r w:rsidR="00CC777A">
        <w:rPr>
          <w:rFonts w:ascii="Arial" w:hAnsi="Arial" w:cs="Arial"/>
          <w:sz w:val="20"/>
          <w:szCs w:val="20"/>
        </w:rPr>
        <w:t xml:space="preserve">Social </w:t>
      </w:r>
      <w:r w:rsidR="00AC6ED1">
        <w:rPr>
          <w:rFonts w:ascii="Arial" w:hAnsi="Arial" w:cs="Arial"/>
          <w:sz w:val="20"/>
          <w:szCs w:val="20"/>
        </w:rPr>
        <w:t>W</w:t>
      </w:r>
      <w:r w:rsidR="00CC777A">
        <w:rPr>
          <w:rFonts w:ascii="Arial" w:hAnsi="Arial" w:cs="Arial"/>
          <w:sz w:val="20"/>
          <w:szCs w:val="20"/>
        </w:rPr>
        <w:t xml:space="preserve">ork Practitioner App utilising </w:t>
      </w:r>
      <w:r w:rsidR="00AA525D">
        <w:rPr>
          <w:rFonts w:ascii="Arial" w:hAnsi="Arial" w:cs="Arial"/>
          <w:sz w:val="20"/>
          <w:szCs w:val="20"/>
        </w:rPr>
        <w:t>external funding</w:t>
      </w:r>
      <w:r w:rsidR="00596E62">
        <w:rPr>
          <w:rFonts w:ascii="Arial" w:hAnsi="Arial" w:cs="Arial"/>
          <w:sz w:val="20"/>
          <w:szCs w:val="20"/>
        </w:rPr>
        <w:t xml:space="preserve"> to reduce the </w:t>
      </w:r>
      <w:r w:rsidR="002215D2">
        <w:rPr>
          <w:rFonts w:ascii="Arial" w:hAnsi="Arial" w:cs="Arial"/>
          <w:sz w:val="20"/>
          <w:szCs w:val="20"/>
        </w:rPr>
        <w:t xml:space="preserve">time </w:t>
      </w:r>
      <w:r w:rsidR="00D90C28">
        <w:rPr>
          <w:rFonts w:ascii="Arial" w:hAnsi="Arial" w:cs="Arial"/>
          <w:sz w:val="20"/>
          <w:szCs w:val="20"/>
        </w:rPr>
        <w:t>spent</w:t>
      </w:r>
      <w:r w:rsidR="002215D2">
        <w:rPr>
          <w:rFonts w:ascii="Arial" w:hAnsi="Arial" w:cs="Arial"/>
          <w:sz w:val="20"/>
          <w:szCs w:val="20"/>
        </w:rPr>
        <w:t xml:space="preserve"> </w:t>
      </w:r>
      <w:r w:rsidR="00D90C28">
        <w:rPr>
          <w:rFonts w:ascii="Arial" w:hAnsi="Arial" w:cs="Arial"/>
          <w:sz w:val="20"/>
          <w:szCs w:val="20"/>
        </w:rPr>
        <w:t xml:space="preserve">on </w:t>
      </w:r>
      <w:r w:rsidR="002215D2">
        <w:rPr>
          <w:rFonts w:ascii="Arial" w:hAnsi="Arial" w:cs="Arial"/>
          <w:sz w:val="20"/>
          <w:szCs w:val="20"/>
        </w:rPr>
        <w:t>administra</w:t>
      </w:r>
      <w:r w:rsidR="002A150A">
        <w:rPr>
          <w:rFonts w:ascii="Arial" w:hAnsi="Arial" w:cs="Arial"/>
          <w:sz w:val="20"/>
          <w:szCs w:val="20"/>
        </w:rPr>
        <w:t>tive</w:t>
      </w:r>
      <w:r w:rsidR="00D90C28">
        <w:rPr>
          <w:rFonts w:ascii="Arial" w:hAnsi="Arial" w:cs="Arial"/>
          <w:sz w:val="20"/>
          <w:szCs w:val="20"/>
        </w:rPr>
        <w:t xml:space="preserve"> duties and increasing client facing time</w:t>
      </w:r>
    </w:p>
    <w:p w14:paraId="69C65C23" w14:textId="5A038AFB" w:rsidR="00E94FFD" w:rsidRDefault="00476736"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Development of </w:t>
      </w:r>
      <w:r w:rsidR="00B23AA1">
        <w:rPr>
          <w:rFonts w:ascii="Arial" w:hAnsi="Arial" w:cs="Arial"/>
          <w:sz w:val="20"/>
          <w:szCs w:val="20"/>
        </w:rPr>
        <w:t xml:space="preserve">policy </w:t>
      </w:r>
      <w:r w:rsidR="00157CBA">
        <w:rPr>
          <w:rFonts w:ascii="Arial" w:hAnsi="Arial" w:cs="Arial"/>
          <w:sz w:val="20"/>
          <w:szCs w:val="20"/>
        </w:rPr>
        <w:t xml:space="preserve">and </w:t>
      </w:r>
      <w:r w:rsidR="00A704BF">
        <w:rPr>
          <w:rFonts w:ascii="Arial" w:hAnsi="Arial" w:cs="Arial"/>
          <w:sz w:val="20"/>
          <w:szCs w:val="20"/>
        </w:rPr>
        <w:t>systems to support the implementation of an ‘</w:t>
      </w:r>
      <w:r w:rsidR="00FE5955">
        <w:rPr>
          <w:rFonts w:ascii="Arial" w:hAnsi="Arial" w:cs="Arial"/>
          <w:sz w:val="20"/>
          <w:szCs w:val="20"/>
        </w:rPr>
        <w:t>Individual Budget</w:t>
      </w:r>
      <w:r w:rsidR="00A704BF">
        <w:rPr>
          <w:rFonts w:ascii="Arial" w:hAnsi="Arial" w:cs="Arial"/>
          <w:sz w:val="20"/>
          <w:szCs w:val="20"/>
        </w:rPr>
        <w:t>’ a</w:t>
      </w:r>
      <w:r w:rsidR="00FE5955">
        <w:rPr>
          <w:rFonts w:ascii="Arial" w:hAnsi="Arial" w:cs="Arial"/>
          <w:sz w:val="20"/>
          <w:szCs w:val="20"/>
        </w:rPr>
        <w:t xml:space="preserve">pproach to </w:t>
      </w:r>
      <w:r w:rsidR="00D972F0">
        <w:rPr>
          <w:rFonts w:ascii="Arial" w:hAnsi="Arial" w:cs="Arial"/>
          <w:sz w:val="20"/>
          <w:szCs w:val="20"/>
        </w:rPr>
        <w:t xml:space="preserve">non-residential social care </w:t>
      </w:r>
      <w:r w:rsidR="00A704BF">
        <w:rPr>
          <w:rFonts w:ascii="Arial" w:hAnsi="Arial" w:cs="Arial"/>
          <w:sz w:val="20"/>
          <w:szCs w:val="20"/>
        </w:rPr>
        <w:t xml:space="preserve">charging </w:t>
      </w:r>
      <w:r w:rsidR="008D0AA4">
        <w:rPr>
          <w:rFonts w:ascii="Arial" w:hAnsi="Arial" w:cs="Arial"/>
          <w:sz w:val="20"/>
          <w:szCs w:val="20"/>
        </w:rPr>
        <w:t xml:space="preserve">bringing consistency and </w:t>
      </w:r>
      <w:r w:rsidR="00E50C8B">
        <w:rPr>
          <w:rFonts w:ascii="Arial" w:hAnsi="Arial" w:cs="Arial"/>
          <w:sz w:val="20"/>
          <w:szCs w:val="20"/>
        </w:rPr>
        <w:t xml:space="preserve">fairness and </w:t>
      </w:r>
      <w:r w:rsidR="00E94FFD">
        <w:rPr>
          <w:rFonts w:ascii="Arial" w:hAnsi="Arial" w:cs="Arial"/>
          <w:sz w:val="20"/>
          <w:szCs w:val="20"/>
        </w:rPr>
        <w:t xml:space="preserve">enabling the opportunity to </w:t>
      </w:r>
      <w:r w:rsidR="00F70A07">
        <w:rPr>
          <w:rFonts w:ascii="Arial" w:hAnsi="Arial" w:cs="Arial"/>
          <w:sz w:val="20"/>
          <w:szCs w:val="20"/>
        </w:rPr>
        <w:t>maximise</w:t>
      </w:r>
      <w:r w:rsidR="00E94FFD" w:rsidRPr="00225F16">
        <w:rPr>
          <w:rFonts w:ascii="Arial" w:hAnsi="Arial" w:cs="Arial"/>
          <w:sz w:val="20"/>
          <w:szCs w:val="20"/>
        </w:rPr>
        <w:t xml:space="preserve"> income</w:t>
      </w:r>
      <w:r w:rsidR="00730979">
        <w:rPr>
          <w:rFonts w:ascii="Arial" w:hAnsi="Arial" w:cs="Arial"/>
          <w:sz w:val="20"/>
          <w:szCs w:val="20"/>
        </w:rPr>
        <w:t xml:space="preserve"> </w:t>
      </w:r>
      <w:r w:rsidR="007170D3">
        <w:rPr>
          <w:rFonts w:ascii="Arial" w:hAnsi="Arial" w:cs="Arial"/>
          <w:sz w:val="20"/>
          <w:szCs w:val="20"/>
        </w:rPr>
        <w:t xml:space="preserve">for the IJB </w:t>
      </w:r>
      <w:r w:rsidR="00E94FFD">
        <w:rPr>
          <w:rFonts w:ascii="Arial" w:hAnsi="Arial" w:cs="Arial"/>
          <w:sz w:val="20"/>
          <w:szCs w:val="20"/>
        </w:rPr>
        <w:t>in future</w:t>
      </w:r>
    </w:p>
    <w:p w14:paraId="14FB7414" w14:textId="1FCC00D4" w:rsidR="009D3B26" w:rsidRDefault="008E6F4F"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Continued i</w:t>
      </w:r>
      <w:r w:rsidR="009D3B26" w:rsidRPr="00225F16">
        <w:rPr>
          <w:rFonts w:ascii="Arial" w:hAnsi="Arial" w:cs="Arial"/>
          <w:sz w:val="20"/>
          <w:szCs w:val="20"/>
        </w:rPr>
        <w:t>mplementation</w:t>
      </w:r>
      <w:r w:rsidR="009D3B26">
        <w:rPr>
          <w:rFonts w:ascii="Arial" w:hAnsi="Arial" w:cs="Arial"/>
          <w:sz w:val="20"/>
          <w:szCs w:val="20"/>
        </w:rPr>
        <w:t xml:space="preserve"> of the GP Vision for Grampian</w:t>
      </w:r>
    </w:p>
    <w:p w14:paraId="0DA0E26F" w14:textId="77777777" w:rsidR="009D3B26" w:rsidRDefault="009D3B26"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Continued implementation of the Primary Care Improvement Plan</w:t>
      </w:r>
    </w:p>
    <w:p w14:paraId="727BDDDE" w14:textId="2E671059" w:rsidR="009D3B26" w:rsidRDefault="008D2B19"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Development of three </w:t>
      </w:r>
      <w:r w:rsidR="009A5734">
        <w:rPr>
          <w:rFonts w:ascii="Arial" w:hAnsi="Arial" w:cs="Arial"/>
          <w:sz w:val="20"/>
          <w:szCs w:val="20"/>
        </w:rPr>
        <w:t xml:space="preserve">multi-agency Population Health Action Plans </w:t>
      </w:r>
      <w:r w:rsidR="008E6F4F">
        <w:rPr>
          <w:rFonts w:ascii="Arial" w:hAnsi="Arial" w:cs="Arial"/>
          <w:sz w:val="20"/>
          <w:szCs w:val="20"/>
        </w:rPr>
        <w:t xml:space="preserve">in relation to Mental </w:t>
      </w:r>
      <w:r w:rsidR="002146FC">
        <w:rPr>
          <w:rFonts w:ascii="Arial" w:hAnsi="Arial" w:cs="Arial"/>
          <w:sz w:val="20"/>
          <w:szCs w:val="20"/>
        </w:rPr>
        <w:t>H</w:t>
      </w:r>
      <w:r w:rsidR="008E6F4F">
        <w:rPr>
          <w:rFonts w:ascii="Arial" w:hAnsi="Arial" w:cs="Arial"/>
          <w:sz w:val="20"/>
          <w:szCs w:val="20"/>
        </w:rPr>
        <w:t>ealth, Active Ageing and Healthy Weight</w:t>
      </w:r>
    </w:p>
    <w:p w14:paraId="1B9832EC" w14:textId="3B7794F3" w:rsidR="001A40ED" w:rsidRDefault="001A40ED"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Consolidation of premises to reduce operating costs</w:t>
      </w:r>
    </w:p>
    <w:p w14:paraId="60560D0F" w14:textId="732BE1B1" w:rsidR="008F588F" w:rsidRPr="00872C5E" w:rsidRDefault="00E90ABB"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Refreshed Carers Strategy</w:t>
      </w:r>
    </w:p>
    <w:p w14:paraId="076F2382" w14:textId="1BB285CD" w:rsidR="00E90ABB" w:rsidRDefault="00E90ABB"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Refreshed Workforce Plan</w:t>
      </w:r>
    </w:p>
    <w:p w14:paraId="312BC73A" w14:textId="54F7B798" w:rsidR="00217767" w:rsidRDefault="00217767" w:rsidP="00533939">
      <w:pPr>
        <w:pStyle w:val="ListParagraph"/>
        <w:numPr>
          <w:ilvl w:val="0"/>
          <w:numId w:val="22"/>
        </w:numPr>
        <w:spacing w:after="0" w:line="240" w:lineRule="auto"/>
        <w:rPr>
          <w:rFonts w:ascii="Arial" w:hAnsi="Arial" w:cs="Arial"/>
          <w:sz w:val="20"/>
          <w:szCs w:val="20"/>
        </w:rPr>
      </w:pPr>
      <w:r>
        <w:rPr>
          <w:rFonts w:ascii="Arial" w:hAnsi="Arial" w:cs="Arial"/>
          <w:sz w:val="20"/>
          <w:szCs w:val="20"/>
        </w:rPr>
        <w:t xml:space="preserve">Development of </w:t>
      </w:r>
      <w:r w:rsidR="005D1416">
        <w:rPr>
          <w:rFonts w:ascii="Arial" w:hAnsi="Arial" w:cs="Arial"/>
          <w:sz w:val="20"/>
          <w:szCs w:val="20"/>
        </w:rPr>
        <w:t xml:space="preserve">Activity and Governance Dashboards to </w:t>
      </w:r>
      <w:r w:rsidR="00225F16" w:rsidRPr="00225F16">
        <w:rPr>
          <w:rFonts w:ascii="Arial" w:hAnsi="Arial" w:cs="Arial"/>
          <w:sz w:val="20"/>
          <w:szCs w:val="20"/>
        </w:rPr>
        <w:t>inform operational and strategic planning</w:t>
      </w:r>
    </w:p>
    <w:p w14:paraId="62950A04" w14:textId="77777777" w:rsidR="00225F16" w:rsidRDefault="00225F16" w:rsidP="00A51927">
      <w:pPr>
        <w:spacing w:after="0" w:line="240" w:lineRule="auto"/>
        <w:rPr>
          <w:rFonts w:ascii="Arial" w:eastAsia="Times New Roman" w:hAnsi="Arial" w:cs="Arial"/>
          <w:sz w:val="20"/>
          <w:szCs w:val="20"/>
        </w:rPr>
      </w:pPr>
    </w:p>
    <w:p w14:paraId="14A94D6D" w14:textId="7DD8C740" w:rsidR="005539A1" w:rsidRPr="00FB45CE" w:rsidRDefault="00B8715B" w:rsidP="00A51927">
      <w:pPr>
        <w:pStyle w:val="Heading3"/>
        <w:jc w:val="left"/>
        <w:rPr>
          <w:rFonts w:ascii="Arial" w:hAnsi="Arial" w:cs="Arial"/>
          <w:kern w:val="2"/>
          <w14:ligatures w14:val="standardContextual"/>
        </w:rPr>
      </w:pPr>
      <w:bookmarkStart w:id="10" w:name="_Toc232169341"/>
      <w:r w:rsidRPr="00FB45CE">
        <w:rPr>
          <w:rFonts w:ascii="Arial" w:hAnsi="Arial" w:cs="Arial"/>
        </w:rPr>
        <w:t>1.</w:t>
      </w:r>
      <w:r w:rsidR="00D41402" w:rsidRPr="00FB45CE">
        <w:rPr>
          <w:rFonts w:ascii="Arial" w:hAnsi="Arial" w:cs="Arial"/>
        </w:rPr>
        <w:t>3.2</w:t>
      </w:r>
      <w:r w:rsidRPr="00FB45CE">
        <w:rPr>
          <w:rFonts w:ascii="Arial" w:hAnsi="Arial" w:cs="Arial"/>
        </w:rPr>
        <w:t xml:space="preserve"> </w:t>
      </w:r>
      <w:r w:rsidR="005942D4" w:rsidRPr="00FB45CE">
        <w:rPr>
          <w:rFonts w:ascii="Arial" w:hAnsi="Arial" w:cs="Arial"/>
        </w:rPr>
        <w:t>Service delivery, activity and outcomes</w:t>
      </w:r>
      <w:bookmarkEnd w:id="10"/>
    </w:p>
    <w:p w14:paraId="590B6E3D" w14:textId="77777777" w:rsidR="004D3B96" w:rsidRPr="00C9207C" w:rsidRDefault="004D3B96" w:rsidP="00A51927">
      <w:pPr>
        <w:spacing w:after="0" w:line="240" w:lineRule="auto"/>
        <w:rPr>
          <w:rFonts w:ascii="Arial" w:eastAsia="Arial" w:hAnsi="Arial" w:cs="Arial"/>
          <w:color w:val="000000" w:themeColor="text1"/>
          <w:sz w:val="20"/>
          <w:szCs w:val="20"/>
          <w:highlight w:val="yellow"/>
        </w:rPr>
      </w:pPr>
    </w:p>
    <w:p w14:paraId="395FBB06" w14:textId="5E8EE0BF" w:rsidR="008E440E" w:rsidRDefault="008E440E" w:rsidP="00995C37">
      <w:pPr>
        <w:spacing w:after="0" w:line="240" w:lineRule="auto"/>
        <w:textAlignment w:val="baseline"/>
        <w:rPr>
          <w:rFonts w:ascii="Arial" w:hAnsi="Arial" w:cs="Arial"/>
          <w:sz w:val="20"/>
          <w:szCs w:val="20"/>
        </w:rPr>
      </w:pPr>
      <w:r w:rsidRPr="008E440E">
        <w:rPr>
          <w:rFonts w:ascii="Arial" w:hAnsi="Arial" w:cs="Arial"/>
          <w:sz w:val="20"/>
          <w:szCs w:val="20"/>
          <w:u w:val="single"/>
        </w:rPr>
        <w:t>Activity</w:t>
      </w:r>
    </w:p>
    <w:p w14:paraId="3CFABEE0" w14:textId="6EDE37FA" w:rsidR="00995C37" w:rsidRDefault="00760F1D" w:rsidP="00995C37">
      <w:pPr>
        <w:spacing w:after="0" w:line="240" w:lineRule="auto"/>
        <w:textAlignment w:val="baseline"/>
        <w:rPr>
          <w:rFonts w:ascii="Arial" w:hAnsi="Arial" w:cs="Arial"/>
          <w:sz w:val="20"/>
          <w:szCs w:val="20"/>
        </w:rPr>
      </w:pPr>
      <w:r w:rsidRPr="00733102">
        <w:rPr>
          <w:rFonts w:ascii="Arial" w:hAnsi="Arial" w:cs="Arial"/>
          <w:sz w:val="20"/>
          <w:szCs w:val="20"/>
        </w:rPr>
        <w:t xml:space="preserve">The Aberdeen City IJB </w:t>
      </w:r>
      <w:r w:rsidR="00396FF7" w:rsidRPr="00733102">
        <w:rPr>
          <w:rFonts w:ascii="Arial" w:hAnsi="Arial" w:cs="Arial"/>
          <w:sz w:val="20"/>
          <w:szCs w:val="20"/>
        </w:rPr>
        <w:t xml:space="preserve">spends </w:t>
      </w:r>
      <w:r w:rsidR="00624239" w:rsidRPr="00733102">
        <w:rPr>
          <w:rFonts w:ascii="Arial" w:hAnsi="Arial" w:cs="Arial"/>
          <w:sz w:val="20"/>
          <w:szCs w:val="20"/>
        </w:rPr>
        <w:t>its</w:t>
      </w:r>
      <w:r w:rsidR="00396FF7" w:rsidRPr="00733102">
        <w:rPr>
          <w:rFonts w:ascii="Arial" w:hAnsi="Arial" w:cs="Arial"/>
          <w:sz w:val="20"/>
          <w:szCs w:val="20"/>
        </w:rPr>
        <w:t xml:space="preserve"> budget </w:t>
      </w:r>
      <w:r w:rsidR="00EC6CED" w:rsidRPr="00733102">
        <w:rPr>
          <w:rFonts w:ascii="Arial" w:hAnsi="Arial" w:cs="Arial"/>
          <w:sz w:val="20"/>
          <w:szCs w:val="20"/>
        </w:rPr>
        <w:t xml:space="preserve">delivering the delegated and hosted services </w:t>
      </w:r>
      <w:r w:rsidR="00733102">
        <w:rPr>
          <w:rFonts w:ascii="Arial" w:hAnsi="Arial" w:cs="Arial"/>
          <w:sz w:val="20"/>
          <w:szCs w:val="20"/>
        </w:rPr>
        <w:t>listed at the Overview section on page 9.</w:t>
      </w:r>
      <w:r w:rsidR="00E50CF0">
        <w:rPr>
          <w:rFonts w:ascii="Arial" w:hAnsi="Arial" w:cs="Arial"/>
          <w:sz w:val="20"/>
          <w:szCs w:val="20"/>
        </w:rPr>
        <w:t xml:space="preserve"> </w:t>
      </w:r>
      <w:r w:rsidR="00E309F0">
        <w:rPr>
          <w:rFonts w:ascii="Arial" w:hAnsi="Arial" w:cs="Arial"/>
          <w:sz w:val="20"/>
          <w:szCs w:val="20"/>
        </w:rPr>
        <w:t xml:space="preserve">When we were preparing our Workforce Plan during </w:t>
      </w:r>
      <w:r w:rsidR="009D2066">
        <w:rPr>
          <w:rFonts w:ascii="Arial" w:hAnsi="Arial" w:cs="Arial"/>
          <w:sz w:val="20"/>
          <w:szCs w:val="20"/>
        </w:rPr>
        <w:t>2025/26,</w:t>
      </w:r>
      <w:r w:rsidR="00E309F0">
        <w:rPr>
          <w:rFonts w:ascii="Arial" w:hAnsi="Arial" w:cs="Arial"/>
          <w:sz w:val="20"/>
          <w:szCs w:val="20"/>
        </w:rPr>
        <w:t xml:space="preserve"> we captured data </w:t>
      </w:r>
      <w:r w:rsidR="00E32550">
        <w:rPr>
          <w:rFonts w:ascii="Arial" w:hAnsi="Arial" w:cs="Arial"/>
          <w:sz w:val="20"/>
          <w:szCs w:val="20"/>
        </w:rPr>
        <w:t xml:space="preserve">to give us a flavour of a month of activity </w:t>
      </w:r>
      <w:r w:rsidR="00802BDB">
        <w:rPr>
          <w:rFonts w:ascii="Arial" w:hAnsi="Arial" w:cs="Arial"/>
          <w:sz w:val="20"/>
          <w:szCs w:val="20"/>
        </w:rPr>
        <w:t>from some of our services.</w:t>
      </w:r>
      <w:r w:rsidR="00E50CF0">
        <w:rPr>
          <w:rFonts w:ascii="Arial" w:hAnsi="Arial" w:cs="Arial"/>
          <w:sz w:val="20"/>
          <w:szCs w:val="20"/>
        </w:rPr>
        <w:t xml:space="preserve"> </w:t>
      </w:r>
      <w:r w:rsidR="00802BDB">
        <w:rPr>
          <w:rFonts w:ascii="Arial" w:hAnsi="Arial" w:cs="Arial"/>
          <w:sz w:val="20"/>
          <w:szCs w:val="20"/>
        </w:rPr>
        <w:t>These are detailed in the graphic below</w:t>
      </w:r>
      <w:r w:rsidR="007E737E">
        <w:rPr>
          <w:rFonts w:ascii="Arial" w:hAnsi="Arial" w:cs="Arial"/>
          <w:sz w:val="20"/>
          <w:szCs w:val="20"/>
        </w:rPr>
        <w:t xml:space="preserve"> and gives a flavour of the work we do in the communities of Aberdee</w:t>
      </w:r>
      <w:r w:rsidR="009742DA">
        <w:rPr>
          <w:rFonts w:ascii="Arial" w:hAnsi="Arial" w:cs="Arial"/>
          <w:sz w:val="20"/>
          <w:szCs w:val="20"/>
        </w:rPr>
        <w:t>n</w:t>
      </w:r>
      <w:r w:rsidR="00802BDB">
        <w:rPr>
          <w:rFonts w:ascii="Arial" w:hAnsi="Arial" w:cs="Arial"/>
          <w:sz w:val="20"/>
          <w:szCs w:val="20"/>
        </w:rPr>
        <w:t>.</w:t>
      </w:r>
    </w:p>
    <w:p w14:paraId="3BCF04DD" w14:textId="77777777" w:rsidR="00995C37" w:rsidRPr="00995C37" w:rsidRDefault="00995C37" w:rsidP="00995C37">
      <w:pPr>
        <w:spacing w:after="0" w:line="240" w:lineRule="auto"/>
        <w:textAlignment w:val="baseline"/>
        <w:rPr>
          <w:rFonts w:ascii="Aptos" w:eastAsia="Aptos" w:hAnsi="Aptos" w:cs="Arial"/>
          <w:kern w:val="2"/>
          <w14:ligatures w14:val="standardContextual"/>
        </w:rPr>
      </w:pPr>
    </w:p>
    <w:tbl>
      <w:tblPr>
        <w:tblStyle w:val="TableGrid4"/>
        <w:tblW w:w="0" w:type="auto"/>
        <w:tblBorders>
          <w:top w:val="single" w:sz="12" w:space="0" w:color="FF9999"/>
          <w:left w:val="single" w:sz="12" w:space="0" w:color="FF9999"/>
          <w:bottom w:val="single" w:sz="12" w:space="0" w:color="FF9999"/>
          <w:right w:val="single" w:sz="12" w:space="0" w:color="FF9999"/>
          <w:insideH w:val="single" w:sz="12" w:space="0" w:color="FF9999"/>
          <w:insideV w:val="single" w:sz="12" w:space="0" w:color="FF9999"/>
        </w:tblBorders>
        <w:tblLook w:val="04A0" w:firstRow="1" w:lastRow="0" w:firstColumn="1" w:lastColumn="0" w:noHBand="0" w:noVBand="1"/>
      </w:tblPr>
      <w:tblGrid>
        <w:gridCol w:w="1596"/>
        <w:gridCol w:w="1518"/>
        <w:gridCol w:w="1570"/>
        <w:gridCol w:w="1302"/>
        <w:gridCol w:w="1504"/>
        <w:gridCol w:w="269"/>
        <w:gridCol w:w="1206"/>
      </w:tblGrid>
      <w:tr w:rsidR="00815B54" w:rsidRPr="00995C37" w14:paraId="2E6DB26F" w14:textId="77777777" w:rsidTr="00815B54">
        <w:trPr>
          <w:trHeight w:val="1486"/>
        </w:trPr>
        <w:tc>
          <w:tcPr>
            <w:tcW w:w="1596" w:type="dxa"/>
            <w:tcBorders>
              <w:bottom w:val="single" w:sz="12" w:space="0" w:color="FF9999"/>
              <w:right w:val="nil"/>
            </w:tcBorders>
            <w:vAlign w:val="center"/>
          </w:tcPr>
          <w:p w14:paraId="7A79794E" w14:textId="77777777" w:rsidR="00815B54" w:rsidRPr="00995C37" w:rsidRDefault="00815B54" w:rsidP="00995C37">
            <w:pPr>
              <w:spacing w:after="0" w:line="240" w:lineRule="auto"/>
              <w:rPr>
                <w:sz w:val="20"/>
                <w:szCs w:val="20"/>
              </w:rPr>
            </w:pPr>
            <w:r w:rsidRPr="00995C37">
              <w:rPr>
                <w:noProof/>
                <w:sz w:val="20"/>
                <w:szCs w:val="20"/>
              </w:rPr>
              <w:drawing>
                <wp:inline distT="0" distB="0" distL="0" distR="0" wp14:anchorId="4656A739" wp14:editId="2F26009D">
                  <wp:extent cx="868022" cy="930442"/>
                  <wp:effectExtent l="0" t="0" r="8890" b="3175"/>
                  <wp:docPr id="595421786" name="Picture 1">
                    <a:extLst xmlns:a="http://schemas.openxmlformats.org/drawingml/2006/main">
                      <a:ext uri="{FF2B5EF4-FFF2-40B4-BE49-F238E27FC236}">
                        <a16:creationId xmlns:a16="http://schemas.microsoft.com/office/drawing/2014/main" id="{A607B236-2B3D-4ECA-9714-10B8415A58C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21786" name="Picture 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0331" cy="943636"/>
                          </a:xfrm>
                          <a:prstGeom prst="rect">
                            <a:avLst/>
                          </a:prstGeom>
                          <a:noFill/>
                        </pic:spPr>
                      </pic:pic>
                    </a:graphicData>
                  </a:graphic>
                </wp:inline>
              </w:drawing>
            </w:r>
          </w:p>
        </w:tc>
        <w:tc>
          <w:tcPr>
            <w:tcW w:w="1518" w:type="dxa"/>
            <w:tcBorders>
              <w:left w:val="nil"/>
              <w:bottom w:val="single" w:sz="12" w:space="0" w:color="FF9999"/>
            </w:tcBorders>
            <w:vAlign w:val="center"/>
          </w:tcPr>
          <w:p w14:paraId="36E7B262" w14:textId="77777777" w:rsidR="00815B54" w:rsidRPr="00EA7354" w:rsidRDefault="00815B54" w:rsidP="00995C37">
            <w:pPr>
              <w:spacing w:after="0" w:line="240" w:lineRule="auto"/>
              <w:rPr>
                <w:b/>
                <w:sz w:val="20"/>
                <w:szCs w:val="20"/>
              </w:rPr>
            </w:pPr>
            <w:r w:rsidRPr="00EA7354">
              <w:rPr>
                <w:b/>
                <w:sz w:val="20"/>
                <w:szCs w:val="20"/>
              </w:rPr>
              <w:t>19,680</w:t>
            </w:r>
          </w:p>
          <w:p w14:paraId="212F8EB0" w14:textId="553394FE" w:rsidR="00815B54" w:rsidRPr="00995C37" w:rsidRDefault="00815B54" w:rsidP="00995C37">
            <w:pPr>
              <w:spacing w:after="0" w:line="240" w:lineRule="auto"/>
              <w:rPr>
                <w:sz w:val="20"/>
                <w:szCs w:val="20"/>
              </w:rPr>
            </w:pPr>
            <w:r w:rsidRPr="00995C37">
              <w:rPr>
                <w:sz w:val="20"/>
                <w:szCs w:val="20"/>
              </w:rPr>
              <w:t>Vaccinations administered</w:t>
            </w:r>
          </w:p>
          <w:p w14:paraId="3881B866" w14:textId="26E3A418" w:rsidR="00815B54" w:rsidRPr="00995C37" w:rsidRDefault="00815B54" w:rsidP="00995C37">
            <w:pPr>
              <w:spacing w:after="0" w:line="240" w:lineRule="auto"/>
              <w:rPr>
                <w:sz w:val="20"/>
                <w:szCs w:val="20"/>
              </w:rPr>
            </w:pPr>
          </w:p>
        </w:tc>
        <w:tc>
          <w:tcPr>
            <w:tcW w:w="1570" w:type="dxa"/>
            <w:tcBorders>
              <w:bottom w:val="single" w:sz="12" w:space="0" w:color="FF9999"/>
              <w:right w:val="nil"/>
            </w:tcBorders>
            <w:vAlign w:val="center"/>
          </w:tcPr>
          <w:p w14:paraId="638BFF50" w14:textId="77777777" w:rsidR="00815B54" w:rsidRPr="00995C37" w:rsidRDefault="00815B54" w:rsidP="00995C37">
            <w:pPr>
              <w:spacing w:after="0" w:line="240" w:lineRule="auto"/>
              <w:rPr>
                <w:sz w:val="20"/>
                <w:szCs w:val="20"/>
              </w:rPr>
            </w:pPr>
            <w:r w:rsidRPr="00995C37">
              <w:rPr>
                <w:noProof/>
                <w:sz w:val="20"/>
                <w:szCs w:val="20"/>
              </w:rPr>
              <w:drawing>
                <wp:inline distT="0" distB="0" distL="0" distR="0" wp14:anchorId="69FF4BF2" wp14:editId="6FE00A07">
                  <wp:extent cx="825385" cy="753979"/>
                  <wp:effectExtent l="0" t="0" r="0" b="8255"/>
                  <wp:docPr id="785674717" name="Picture 10">
                    <a:extLst xmlns:a="http://schemas.openxmlformats.org/drawingml/2006/main">
                      <a:ext uri="{FF2B5EF4-FFF2-40B4-BE49-F238E27FC236}">
                        <a16:creationId xmlns:a16="http://schemas.microsoft.com/office/drawing/2014/main" id="{871A291E-BAEB-4F06-89AB-292D17A8E7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74717" name="Picture 1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6165" cy="772961"/>
                          </a:xfrm>
                          <a:prstGeom prst="rect">
                            <a:avLst/>
                          </a:prstGeom>
                          <a:noFill/>
                        </pic:spPr>
                      </pic:pic>
                    </a:graphicData>
                  </a:graphic>
                </wp:inline>
              </w:drawing>
            </w:r>
          </w:p>
        </w:tc>
        <w:tc>
          <w:tcPr>
            <w:tcW w:w="1302" w:type="dxa"/>
            <w:tcBorders>
              <w:left w:val="nil"/>
              <w:bottom w:val="single" w:sz="12" w:space="0" w:color="FF9999"/>
            </w:tcBorders>
            <w:vAlign w:val="center"/>
          </w:tcPr>
          <w:p w14:paraId="6B6B6D27" w14:textId="77777777" w:rsidR="00815B54" w:rsidRPr="00EA7354" w:rsidRDefault="00815B54" w:rsidP="00995C37">
            <w:pPr>
              <w:spacing w:after="0" w:line="240" w:lineRule="auto"/>
              <w:rPr>
                <w:b/>
                <w:sz w:val="20"/>
                <w:szCs w:val="20"/>
              </w:rPr>
            </w:pPr>
            <w:r w:rsidRPr="00EA7354">
              <w:rPr>
                <w:b/>
                <w:sz w:val="20"/>
                <w:szCs w:val="20"/>
              </w:rPr>
              <w:t>9962</w:t>
            </w:r>
          </w:p>
          <w:p w14:paraId="0CCE8D3D" w14:textId="78A19F5B" w:rsidR="00815B54" w:rsidRPr="00995C37" w:rsidRDefault="00815B54" w:rsidP="00995C37">
            <w:pPr>
              <w:spacing w:after="0" w:line="240" w:lineRule="auto"/>
              <w:rPr>
                <w:sz w:val="20"/>
                <w:szCs w:val="20"/>
              </w:rPr>
            </w:pPr>
            <w:r w:rsidRPr="00995C37">
              <w:rPr>
                <w:sz w:val="20"/>
                <w:szCs w:val="20"/>
              </w:rPr>
              <w:t>Community Nursing Visits</w:t>
            </w:r>
          </w:p>
          <w:p w14:paraId="6B0D0339" w14:textId="029F25E1" w:rsidR="00815B54" w:rsidRPr="00995C37" w:rsidRDefault="00815B54" w:rsidP="00995C37">
            <w:pPr>
              <w:spacing w:after="0" w:line="240" w:lineRule="auto"/>
              <w:rPr>
                <w:sz w:val="20"/>
                <w:szCs w:val="20"/>
              </w:rPr>
            </w:pPr>
          </w:p>
        </w:tc>
        <w:tc>
          <w:tcPr>
            <w:tcW w:w="2979" w:type="dxa"/>
            <w:gridSpan w:val="3"/>
            <w:tcBorders>
              <w:bottom w:val="single" w:sz="12" w:space="0" w:color="FF9999"/>
            </w:tcBorders>
            <w:vAlign w:val="center"/>
          </w:tcPr>
          <w:p w14:paraId="08CD2B6E" w14:textId="77777777" w:rsidR="00815B54" w:rsidRPr="00995C37" w:rsidRDefault="00815B54" w:rsidP="00995C37">
            <w:pPr>
              <w:spacing w:after="0" w:line="240" w:lineRule="auto"/>
              <w:rPr>
                <w:sz w:val="20"/>
                <w:szCs w:val="20"/>
              </w:rPr>
            </w:pPr>
            <w:r w:rsidRPr="00995C37">
              <w:rPr>
                <w:noProof/>
                <w:sz w:val="20"/>
                <w:szCs w:val="20"/>
              </w:rPr>
              <w:drawing>
                <wp:inline distT="0" distB="0" distL="0" distR="0" wp14:anchorId="70DAD5DE" wp14:editId="164B9094">
                  <wp:extent cx="794084" cy="794084"/>
                  <wp:effectExtent l="0" t="0" r="6350" b="0"/>
                  <wp:docPr id="25" name="Graphic 24">
                    <a:extLst xmlns:a="http://schemas.openxmlformats.org/drawingml/2006/main">
                      <a:ext uri="{FF2B5EF4-FFF2-40B4-BE49-F238E27FC236}">
                        <a16:creationId xmlns:a16="http://schemas.microsoft.com/office/drawing/2014/main" id="{F95C0A36-D5D0-D998-6F9F-D1D3CF66F6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a:extLst>
                              <a:ext uri="{FF2B5EF4-FFF2-40B4-BE49-F238E27FC236}">
                                <a16:creationId xmlns:a16="http://schemas.microsoft.com/office/drawing/2014/main" id="{F95C0A36-D5D0-D998-6F9F-D1D3CF66F6F1}"/>
                              </a:ext>
                              <a:ext uri="{C183D7F6-B498-43B3-948B-1728B52AA6E4}">
                                <adec:decorative xmlns:adec="http://schemas.microsoft.com/office/drawing/2017/decorative" val="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08299" cy="808299"/>
                          </a:xfrm>
                          <a:prstGeom prst="rect">
                            <a:avLst/>
                          </a:prstGeom>
                        </pic:spPr>
                      </pic:pic>
                    </a:graphicData>
                  </a:graphic>
                </wp:inline>
              </w:drawing>
            </w:r>
          </w:p>
          <w:p w14:paraId="05BFE981" w14:textId="3ED191A5" w:rsidR="00815B54" w:rsidRPr="00995C37" w:rsidRDefault="00815B54" w:rsidP="00995C37">
            <w:pPr>
              <w:spacing w:after="0" w:line="240" w:lineRule="auto"/>
              <w:rPr>
                <w:sz w:val="20"/>
                <w:szCs w:val="20"/>
              </w:rPr>
            </w:pPr>
            <w:r w:rsidRPr="00EA7354">
              <w:rPr>
                <w:b/>
                <w:sz w:val="20"/>
                <w:szCs w:val="20"/>
              </w:rPr>
              <w:t>2664</w:t>
            </w:r>
            <w:r w:rsidRPr="00995C37">
              <w:rPr>
                <w:bCs/>
                <w:sz w:val="20"/>
                <w:szCs w:val="20"/>
              </w:rPr>
              <w:t xml:space="preserve"> </w:t>
            </w:r>
            <w:r w:rsidRPr="00995C37">
              <w:rPr>
                <w:sz w:val="20"/>
                <w:szCs w:val="20"/>
              </w:rPr>
              <w:t>individual clients supported with a care package in the community every day</w:t>
            </w:r>
          </w:p>
        </w:tc>
      </w:tr>
      <w:tr w:rsidR="00995C37" w:rsidRPr="00995C37" w14:paraId="077D1830" w14:textId="77777777" w:rsidTr="00815B54">
        <w:trPr>
          <w:trHeight w:val="1234"/>
        </w:trPr>
        <w:tc>
          <w:tcPr>
            <w:tcW w:w="1596" w:type="dxa"/>
            <w:tcBorders>
              <w:right w:val="nil"/>
            </w:tcBorders>
            <w:vAlign w:val="center"/>
          </w:tcPr>
          <w:p w14:paraId="41632B7C" w14:textId="77777777" w:rsidR="00995C37" w:rsidRPr="00995C37" w:rsidRDefault="00995C37" w:rsidP="00995C37">
            <w:pPr>
              <w:spacing w:after="0" w:line="240" w:lineRule="auto"/>
            </w:pPr>
            <w:r w:rsidRPr="00995C37">
              <w:rPr>
                <w:noProof/>
              </w:rPr>
              <w:drawing>
                <wp:inline distT="0" distB="0" distL="0" distR="0" wp14:anchorId="6BF62999" wp14:editId="381F351A">
                  <wp:extent cx="871855" cy="822960"/>
                  <wp:effectExtent l="0" t="0" r="4445" b="0"/>
                  <wp:docPr id="1855167690" name="Picture 5">
                    <a:extLst xmlns:a="http://schemas.openxmlformats.org/drawingml/2006/main">
                      <a:ext uri="{FF2B5EF4-FFF2-40B4-BE49-F238E27FC236}">
                        <a16:creationId xmlns:a16="http://schemas.microsoft.com/office/drawing/2014/main" id="{C6B4DC30-4A01-40AC-A367-7ADF0446503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67690" name="Picture 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1855" cy="822960"/>
                          </a:xfrm>
                          <a:prstGeom prst="rect">
                            <a:avLst/>
                          </a:prstGeom>
                          <a:noFill/>
                        </pic:spPr>
                      </pic:pic>
                    </a:graphicData>
                  </a:graphic>
                </wp:inline>
              </w:drawing>
            </w:r>
          </w:p>
        </w:tc>
        <w:tc>
          <w:tcPr>
            <w:tcW w:w="3088" w:type="dxa"/>
            <w:gridSpan w:val="2"/>
            <w:tcBorders>
              <w:left w:val="nil"/>
            </w:tcBorders>
            <w:vAlign w:val="center"/>
          </w:tcPr>
          <w:p w14:paraId="148801C0" w14:textId="77777777" w:rsidR="00995C37" w:rsidRPr="00995C37" w:rsidRDefault="00995C37" w:rsidP="00995C37">
            <w:pPr>
              <w:spacing w:after="0" w:line="240" w:lineRule="auto"/>
            </w:pPr>
            <w:r w:rsidRPr="00995C37">
              <w:t xml:space="preserve">Rehabilitation and Therapy sessions delivered to </w:t>
            </w:r>
            <w:r w:rsidRPr="00617802">
              <w:rPr>
                <w:b/>
              </w:rPr>
              <w:t xml:space="preserve">512 </w:t>
            </w:r>
            <w:r w:rsidRPr="00995C37">
              <w:t>patients in services such as Physio, Podiatry, Speech and Language Therapy and Occupational Therapy</w:t>
            </w:r>
          </w:p>
        </w:tc>
        <w:tc>
          <w:tcPr>
            <w:tcW w:w="1302" w:type="dxa"/>
            <w:tcBorders>
              <w:right w:val="nil"/>
            </w:tcBorders>
            <w:vAlign w:val="center"/>
          </w:tcPr>
          <w:p w14:paraId="40B7E416" w14:textId="77777777" w:rsidR="00995C37" w:rsidRPr="00995C37" w:rsidRDefault="00995C37" w:rsidP="00995C37">
            <w:pPr>
              <w:spacing w:after="0" w:line="240" w:lineRule="auto"/>
            </w:pPr>
            <w:r w:rsidRPr="00995C37">
              <w:rPr>
                <w:noProof/>
              </w:rPr>
              <w:drawing>
                <wp:inline distT="0" distB="0" distL="0" distR="0" wp14:anchorId="5FAFCBB4" wp14:editId="10D87CCA">
                  <wp:extent cx="641684" cy="641684"/>
                  <wp:effectExtent l="0" t="0" r="6350" b="6350"/>
                  <wp:docPr id="1986971585" name="Picture 3">
                    <a:extLst xmlns:a="http://schemas.openxmlformats.org/drawingml/2006/main">
                      <a:ext uri="{FF2B5EF4-FFF2-40B4-BE49-F238E27FC236}">
                        <a16:creationId xmlns:a16="http://schemas.microsoft.com/office/drawing/2014/main" id="{4A526F0A-7346-4CA4-BF54-70914A18D9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71585" name="Picture 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202" cy="644202"/>
                          </a:xfrm>
                          <a:prstGeom prst="rect">
                            <a:avLst/>
                          </a:prstGeom>
                          <a:noFill/>
                        </pic:spPr>
                      </pic:pic>
                    </a:graphicData>
                  </a:graphic>
                </wp:inline>
              </w:drawing>
            </w:r>
          </w:p>
        </w:tc>
        <w:tc>
          <w:tcPr>
            <w:tcW w:w="2979" w:type="dxa"/>
            <w:gridSpan w:val="3"/>
            <w:tcBorders>
              <w:left w:val="nil"/>
              <w:bottom w:val="single" w:sz="12" w:space="0" w:color="FF9999"/>
            </w:tcBorders>
            <w:vAlign w:val="center"/>
          </w:tcPr>
          <w:p w14:paraId="69B608D1" w14:textId="77777777" w:rsidR="00995C37" w:rsidRPr="00995C37" w:rsidRDefault="00995C37" w:rsidP="00995C37">
            <w:pPr>
              <w:tabs>
                <w:tab w:val="left" w:pos="1238"/>
              </w:tabs>
              <w:spacing w:after="0" w:line="240" w:lineRule="auto"/>
            </w:pPr>
            <w:r w:rsidRPr="00995C37">
              <w:t xml:space="preserve">CTAC -  Community Treatment and Care see approx. </w:t>
            </w:r>
            <w:r w:rsidRPr="00617802">
              <w:rPr>
                <w:b/>
              </w:rPr>
              <w:t>3500</w:t>
            </w:r>
            <w:r w:rsidRPr="00995C37">
              <w:rPr>
                <w:bCs/>
              </w:rPr>
              <w:t xml:space="preserve"> </w:t>
            </w:r>
            <w:r w:rsidRPr="00995C37">
              <w:t>patients per month diverting from General Practice Services</w:t>
            </w:r>
          </w:p>
        </w:tc>
      </w:tr>
      <w:tr w:rsidR="00995C37" w:rsidRPr="00995C37" w14:paraId="1AB57B7B" w14:textId="77777777" w:rsidTr="00815B54">
        <w:trPr>
          <w:trHeight w:val="1017"/>
        </w:trPr>
        <w:tc>
          <w:tcPr>
            <w:tcW w:w="1596" w:type="dxa"/>
            <w:tcBorders>
              <w:bottom w:val="single" w:sz="12" w:space="0" w:color="FF9999"/>
              <w:right w:val="nil"/>
            </w:tcBorders>
            <w:vAlign w:val="center"/>
          </w:tcPr>
          <w:p w14:paraId="6515B03E" w14:textId="77777777" w:rsidR="00995C37" w:rsidRPr="00995C37" w:rsidRDefault="00995C37" w:rsidP="00995C37">
            <w:pPr>
              <w:spacing w:after="0" w:line="240" w:lineRule="auto"/>
            </w:pPr>
            <w:r w:rsidRPr="00995C37">
              <w:rPr>
                <w:noProof/>
              </w:rPr>
              <w:drawing>
                <wp:inline distT="0" distB="0" distL="0" distR="0" wp14:anchorId="44CCA4AD" wp14:editId="6E1EE692">
                  <wp:extent cx="754718" cy="623202"/>
                  <wp:effectExtent l="0" t="0" r="7620" b="5715"/>
                  <wp:docPr id="902103507" name="Picture 2">
                    <a:extLst xmlns:a="http://schemas.openxmlformats.org/drawingml/2006/main">
                      <a:ext uri="{FF2B5EF4-FFF2-40B4-BE49-F238E27FC236}">
                        <a16:creationId xmlns:a16="http://schemas.microsoft.com/office/drawing/2014/main" id="{FAD27D73-F82F-42AE-8232-25A7F3CD30F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3507"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240" cy="640973"/>
                          </a:xfrm>
                          <a:prstGeom prst="rect">
                            <a:avLst/>
                          </a:prstGeom>
                          <a:noFill/>
                        </pic:spPr>
                      </pic:pic>
                    </a:graphicData>
                  </a:graphic>
                </wp:inline>
              </w:drawing>
            </w:r>
          </w:p>
        </w:tc>
        <w:tc>
          <w:tcPr>
            <w:tcW w:w="1518" w:type="dxa"/>
            <w:tcBorders>
              <w:left w:val="nil"/>
              <w:bottom w:val="single" w:sz="12" w:space="0" w:color="FF9999"/>
            </w:tcBorders>
            <w:vAlign w:val="center"/>
          </w:tcPr>
          <w:p w14:paraId="287D43CD" w14:textId="77777777" w:rsidR="00617802" w:rsidRPr="00617802" w:rsidRDefault="00617802" w:rsidP="00617802">
            <w:pPr>
              <w:spacing w:after="0" w:line="240" w:lineRule="auto"/>
              <w:rPr>
                <w:b/>
              </w:rPr>
            </w:pPr>
            <w:r w:rsidRPr="00617802">
              <w:rPr>
                <w:b/>
              </w:rPr>
              <w:t>4403</w:t>
            </w:r>
          </w:p>
          <w:p w14:paraId="0C172D51" w14:textId="77777777" w:rsidR="00995C37" w:rsidRPr="00995C37" w:rsidRDefault="00995C37" w:rsidP="00995C37">
            <w:pPr>
              <w:spacing w:after="0" w:line="240" w:lineRule="auto"/>
            </w:pPr>
            <w:r w:rsidRPr="00995C37">
              <w:t>Sexual Health appts</w:t>
            </w:r>
          </w:p>
          <w:p w14:paraId="51F6F07C" w14:textId="77777777" w:rsidR="00995C37" w:rsidRPr="00995C37" w:rsidRDefault="00995C37" w:rsidP="00617802">
            <w:pPr>
              <w:spacing w:after="0" w:line="240" w:lineRule="auto"/>
            </w:pPr>
          </w:p>
        </w:tc>
        <w:tc>
          <w:tcPr>
            <w:tcW w:w="1570" w:type="dxa"/>
            <w:tcBorders>
              <w:bottom w:val="single" w:sz="12" w:space="0" w:color="FF9999"/>
              <w:right w:val="nil"/>
            </w:tcBorders>
            <w:vAlign w:val="center"/>
          </w:tcPr>
          <w:p w14:paraId="09749D17" w14:textId="77777777" w:rsidR="00995C37" w:rsidRPr="00995C37" w:rsidRDefault="00995C37" w:rsidP="00995C37">
            <w:pPr>
              <w:spacing w:after="0" w:line="240" w:lineRule="auto"/>
            </w:pPr>
            <w:r w:rsidRPr="00995C37">
              <w:rPr>
                <w:noProof/>
              </w:rPr>
              <w:drawing>
                <wp:inline distT="0" distB="0" distL="0" distR="0" wp14:anchorId="31D4876B" wp14:editId="415BDD3A">
                  <wp:extent cx="826168" cy="826168"/>
                  <wp:effectExtent l="0" t="0" r="0" b="0"/>
                  <wp:docPr id="1599013532" name="Graphic 22">
                    <a:extLst xmlns:a="http://schemas.openxmlformats.org/drawingml/2006/main">
                      <a:ext uri="{FF2B5EF4-FFF2-40B4-BE49-F238E27FC236}">
                        <a16:creationId xmlns:a16="http://schemas.microsoft.com/office/drawing/2014/main" id="{83AAD591-9884-E15F-8A88-4BB031E1F2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a:extLst>
                              <a:ext uri="{FF2B5EF4-FFF2-40B4-BE49-F238E27FC236}">
                                <a16:creationId xmlns:a16="http://schemas.microsoft.com/office/drawing/2014/main" id="{83AAD591-9884-E15F-8A88-4BB031E1F247}"/>
                              </a:ext>
                              <a:ext uri="{C183D7F6-B498-43B3-948B-1728B52AA6E4}">
                                <adec:decorative xmlns:adec="http://schemas.microsoft.com/office/drawing/2017/decorative" val="1"/>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835209" cy="835209"/>
                          </a:xfrm>
                          <a:prstGeom prst="rect">
                            <a:avLst/>
                          </a:prstGeom>
                        </pic:spPr>
                      </pic:pic>
                    </a:graphicData>
                  </a:graphic>
                </wp:inline>
              </w:drawing>
            </w:r>
          </w:p>
        </w:tc>
        <w:tc>
          <w:tcPr>
            <w:tcW w:w="1302" w:type="dxa"/>
            <w:tcBorders>
              <w:left w:val="nil"/>
              <w:bottom w:val="single" w:sz="12" w:space="0" w:color="FF9999"/>
            </w:tcBorders>
            <w:vAlign w:val="center"/>
          </w:tcPr>
          <w:p w14:paraId="59BB3F3D" w14:textId="77777777" w:rsidR="00995C37" w:rsidRPr="00995C37" w:rsidRDefault="00995C37" w:rsidP="00995C37">
            <w:pPr>
              <w:spacing w:after="0" w:line="240" w:lineRule="auto"/>
            </w:pPr>
            <w:r w:rsidRPr="00617802">
              <w:rPr>
                <w:b/>
              </w:rPr>
              <w:t>119</w:t>
            </w:r>
            <w:r w:rsidRPr="00995C37">
              <w:t xml:space="preserve"> Justice Social Work Reports to Court</w:t>
            </w:r>
          </w:p>
        </w:tc>
        <w:tc>
          <w:tcPr>
            <w:tcW w:w="1773" w:type="dxa"/>
            <w:gridSpan w:val="2"/>
            <w:tcBorders>
              <w:bottom w:val="single" w:sz="12" w:space="0" w:color="FF9999"/>
              <w:right w:val="nil"/>
            </w:tcBorders>
            <w:vAlign w:val="center"/>
          </w:tcPr>
          <w:p w14:paraId="7F75F6BA" w14:textId="77777777" w:rsidR="00995C37" w:rsidRPr="00995C37" w:rsidRDefault="00995C37" w:rsidP="00995C37">
            <w:pPr>
              <w:spacing w:after="0" w:line="240" w:lineRule="auto"/>
            </w:pPr>
            <w:r w:rsidRPr="00995C37">
              <w:rPr>
                <w:noProof/>
              </w:rPr>
              <w:drawing>
                <wp:inline distT="0" distB="0" distL="0" distR="0" wp14:anchorId="7C42CD3D" wp14:editId="0374F812">
                  <wp:extent cx="874295" cy="694121"/>
                  <wp:effectExtent l="0" t="0" r="2540" b="0"/>
                  <wp:docPr id="1839127074" name="Picture 6">
                    <a:extLst xmlns:a="http://schemas.openxmlformats.org/drawingml/2006/main">
                      <a:ext uri="{FF2B5EF4-FFF2-40B4-BE49-F238E27FC236}">
                        <a16:creationId xmlns:a16="http://schemas.microsoft.com/office/drawing/2014/main" id="{ED545542-38BC-4BD2-9C75-116E1D33415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7074" name="Picture 6">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888" cy="706500"/>
                          </a:xfrm>
                          <a:prstGeom prst="rect">
                            <a:avLst/>
                          </a:prstGeom>
                          <a:noFill/>
                        </pic:spPr>
                      </pic:pic>
                    </a:graphicData>
                  </a:graphic>
                </wp:inline>
              </w:drawing>
            </w:r>
          </w:p>
        </w:tc>
        <w:tc>
          <w:tcPr>
            <w:tcW w:w="1206" w:type="dxa"/>
            <w:tcBorders>
              <w:left w:val="nil"/>
              <w:bottom w:val="single" w:sz="12" w:space="0" w:color="FF9999"/>
            </w:tcBorders>
            <w:vAlign w:val="center"/>
          </w:tcPr>
          <w:p w14:paraId="6B87292A" w14:textId="06ACD173" w:rsidR="00995C37" w:rsidRPr="00995C37" w:rsidRDefault="00617802" w:rsidP="00995C37">
            <w:pPr>
              <w:spacing w:after="0" w:line="240" w:lineRule="auto"/>
            </w:pPr>
            <w:r w:rsidRPr="00617802">
              <w:rPr>
                <w:b/>
              </w:rPr>
              <w:t>118</w:t>
            </w:r>
            <w:r w:rsidRPr="00995C37">
              <w:t xml:space="preserve"> </w:t>
            </w:r>
            <w:r w:rsidR="00995C37" w:rsidRPr="00995C37">
              <w:t>School Nursing</w:t>
            </w:r>
          </w:p>
          <w:p w14:paraId="3B432A2B" w14:textId="2EEBCC25" w:rsidR="00995C37" w:rsidRPr="00995C37" w:rsidRDefault="00995C37" w:rsidP="00995C37">
            <w:pPr>
              <w:spacing w:after="0" w:line="240" w:lineRule="auto"/>
            </w:pPr>
            <w:r w:rsidRPr="00995C37">
              <w:t xml:space="preserve">Visits </w:t>
            </w:r>
          </w:p>
        </w:tc>
      </w:tr>
      <w:tr w:rsidR="00995C37" w:rsidRPr="00995C37" w14:paraId="27A7D9B4" w14:textId="77777777" w:rsidTr="00815B54">
        <w:trPr>
          <w:trHeight w:val="834"/>
        </w:trPr>
        <w:tc>
          <w:tcPr>
            <w:tcW w:w="1596" w:type="dxa"/>
            <w:tcBorders>
              <w:right w:val="nil"/>
            </w:tcBorders>
            <w:vAlign w:val="center"/>
          </w:tcPr>
          <w:p w14:paraId="3F4ED894" w14:textId="77777777" w:rsidR="00995C37" w:rsidRPr="00995C37" w:rsidRDefault="00995C37" w:rsidP="00995C37">
            <w:pPr>
              <w:spacing w:after="0" w:line="240" w:lineRule="auto"/>
            </w:pPr>
            <w:r w:rsidRPr="00995C37">
              <w:rPr>
                <w:noProof/>
              </w:rPr>
              <w:drawing>
                <wp:inline distT="0" distB="0" distL="0" distR="0" wp14:anchorId="0E1C23A0" wp14:editId="6F152315">
                  <wp:extent cx="585537" cy="603835"/>
                  <wp:effectExtent l="0" t="0" r="5080" b="6350"/>
                  <wp:docPr id="675224864" name="Picture 8">
                    <a:extLst xmlns:a="http://schemas.openxmlformats.org/drawingml/2006/main">
                      <a:ext uri="{FF2B5EF4-FFF2-40B4-BE49-F238E27FC236}">
                        <a16:creationId xmlns:a16="http://schemas.microsoft.com/office/drawing/2014/main" id="{F2910C10-50ED-4A14-92DE-C9FCCC91F04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24864" name="Picture 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084" cy="608525"/>
                          </a:xfrm>
                          <a:prstGeom prst="rect">
                            <a:avLst/>
                          </a:prstGeom>
                          <a:noFill/>
                        </pic:spPr>
                      </pic:pic>
                    </a:graphicData>
                  </a:graphic>
                </wp:inline>
              </w:drawing>
            </w:r>
          </w:p>
        </w:tc>
        <w:tc>
          <w:tcPr>
            <w:tcW w:w="3088" w:type="dxa"/>
            <w:gridSpan w:val="2"/>
            <w:tcBorders>
              <w:left w:val="nil"/>
            </w:tcBorders>
            <w:vAlign w:val="center"/>
          </w:tcPr>
          <w:p w14:paraId="4ED776C3" w14:textId="77777777" w:rsidR="00995C37" w:rsidRPr="00995C37" w:rsidRDefault="00995C37" w:rsidP="00995C37">
            <w:pPr>
              <w:spacing w:after="0" w:line="240" w:lineRule="auto"/>
            </w:pPr>
            <w:r w:rsidRPr="00617802">
              <w:rPr>
                <w:b/>
              </w:rPr>
              <w:t>14,800</w:t>
            </w:r>
            <w:r w:rsidRPr="00995C37">
              <w:t xml:space="preserve"> hours of support  delivered within Learning Disability Residential Services.</w:t>
            </w:r>
          </w:p>
        </w:tc>
        <w:tc>
          <w:tcPr>
            <w:tcW w:w="1302" w:type="dxa"/>
            <w:tcBorders>
              <w:right w:val="nil"/>
            </w:tcBorders>
            <w:vAlign w:val="center"/>
          </w:tcPr>
          <w:p w14:paraId="3AF3FE3E" w14:textId="77777777" w:rsidR="00995C37" w:rsidRPr="00995C37" w:rsidRDefault="00995C37" w:rsidP="00995C37">
            <w:pPr>
              <w:spacing w:after="0" w:line="240" w:lineRule="auto"/>
            </w:pPr>
            <w:r w:rsidRPr="00995C37">
              <w:rPr>
                <w:noProof/>
              </w:rPr>
              <w:drawing>
                <wp:inline distT="0" distB="0" distL="0" distR="0" wp14:anchorId="602198F8" wp14:editId="43203E56">
                  <wp:extent cx="689810" cy="689810"/>
                  <wp:effectExtent l="0" t="0" r="0" b="0"/>
                  <wp:docPr id="1263587555" name="Picture 9">
                    <a:extLst xmlns:a="http://schemas.openxmlformats.org/drawingml/2006/main">
                      <a:ext uri="{FF2B5EF4-FFF2-40B4-BE49-F238E27FC236}">
                        <a16:creationId xmlns:a16="http://schemas.microsoft.com/office/drawing/2014/main" id="{02839CCC-ED53-4DF5-8E96-38D456E429E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87555" name="Picture 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669" cy="698669"/>
                          </a:xfrm>
                          <a:prstGeom prst="rect">
                            <a:avLst/>
                          </a:prstGeom>
                          <a:noFill/>
                        </pic:spPr>
                      </pic:pic>
                    </a:graphicData>
                  </a:graphic>
                </wp:inline>
              </w:drawing>
            </w:r>
          </w:p>
        </w:tc>
        <w:tc>
          <w:tcPr>
            <w:tcW w:w="2979" w:type="dxa"/>
            <w:gridSpan w:val="3"/>
            <w:tcBorders>
              <w:left w:val="nil"/>
              <w:bottom w:val="single" w:sz="12" w:space="0" w:color="FF9999"/>
            </w:tcBorders>
            <w:vAlign w:val="center"/>
          </w:tcPr>
          <w:p w14:paraId="3D6D5D7A" w14:textId="77777777" w:rsidR="00995C37" w:rsidRPr="00995C37" w:rsidRDefault="00995C37" w:rsidP="00995C37">
            <w:pPr>
              <w:spacing w:after="0" w:line="240" w:lineRule="auto"/>
            </w:pPr>
            <w:r w:rsidRPr="00617802">
              <w:rPr>
                <w:b/>
              </w:rPr>
              <w:t>9753</w:t>
            </w:r>
            <w:r w:rsidRPr="00995C37">
              <w:t xml:space="preserve"> hours of Care at Home delivered per month via SDS option 3 (Commissioned services)</w:t>
            </w:r>
          </w:p>
        </w:tc>
      </w:tr>
      <w:tr w:rsidR="00995C37" w:rsidRPr="00995C37" w14:paraId="18C41A51" w14:textId="77777777" w:rsidTr="00815B54">
        <w:trPr>
          <w:trHeight w:val="1840"/>
        </w:trPr>
        <w:tc>
          <w:tcPr>
            <w:tcW w:w="1596" w:type="dxa"/>
            <w:tcBorders>
              <w:right w:val="nil"/>
            </w:tcBorders>
            <w:vAlign w:val="center"/>
          </w:tcPr>
          <w:p w14:paraId="6D5793B2" w14:textId="77777777" w:rsidR="00995C37" w:rsidRPr="00995C37" w:rsidRDefault="00995C37" w:rsidP="00995C37">
            <w:pPr>
              <w:spacing w:after="0" w:line="240" w:lineRule="auto"/>
            </w:pPr>
            <w:r w:rsidRPr="00995C37">
              <w:rPr>
                <w:noProof/>
              </w:rPr>
              <w:lastRenderedPageBreak/>
              <w:drawing>
                <wp:inline distT="0" distB="0" distL="0" distR="0" wp14:anchorId="1AFE13A0" wp14:editId="0854FC67">
                  <wp:extent cx="871855" cy="731336"/>
                  <wp:effectExtent l="0" t="0" r="4445" b="0"/>
                  <wp:docPr id="1812446228" name="Picture 11">
                    <a:extLst xmlns:a="http://schemas.openxmlformats.org/drawingml/2006/main">
                      <a:ext uri="{FF2B5EF4-FFF2-40B4-BE49-F238E27FC236}">
                        <a16:creationId xmlns:a16="http://schemas.microsoft.com/office/drawing/2014/main" id="{F958CC1F-2C7F-49F5-8CD9-403EFCA22F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6228" name="Picture 1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261" cy="735032"/>
                          </a:xfrm>
                          <a:prstGeom prst="rect">
                            <a:avLst/>
                          </a:prstGeom>
                          <a:noFill/>
                        </pic:spPr>
                      </pic:pic>
                    </a:graphicData>
                  </a:graphic>
                </wp:inline>
              </w:drawing>
            </w:r>
          </w:p>
        </w:tc>
        <w:tc>
          <w:tcPr>
            <w:tcW w:w="1518" w:type="dxa"/>
            <w:tcBorders>
              <w:left w:val="nil"/>
            </w:tcBorders>
            <w:vAlign w:val="center"/>
          </w:tcPr>
          <w:p w14:paraId="53CA148A" w14:textId="77777777" w:rsidR="00995C37" w:rsidRPr="00995C37" w:rsidRDefault="00995C37" w:rsidP="00995C37">
            <w:pPr>
              <w:spacing w:after="0" w:line="240" w:lineRule="auto"/>
            </w:pPr>
            <w:r w:rsidRPr="00995C37">
              <w:t xml:space="preserve">Approx </w:t>
            </w:r>
            <w:r w:rsidRPr="00617802">
              <w:rPr>
                <w:b/>
              </w:rPr>
              <w:t>110,800</w:t>
            </w:r>
            <w:r w:rsidRPr="00995C37">
              <w:t xml:space="preserve"> consultations delivered by GPs in one month.</w:t>
            </w:r>
          </w:p>
          <w:p w14:paraId="0A82DC29" w14:textId="77777777" w:rsidR="00995C37" w:rsidRPr="00995C37" w:rsidRDefault="00995C37" w:rsidP="00995C37">
            <w:pPr>
              <w:spacing w:after="0" w:line="240" w:lineRule="auto"/>
            </w:pPr>
          </w:p>
        </w:tc>
        <w:tc>
          <w:tcPr>
            <w:tcW w:w="1570" w:type="dxa"/>
            <w:tcBorders>
              <w:right w:val="nil"/>
            </w:tcBorders>
            <w:vAlign w:val="center"/>
          </w:tcPr>
          <w:p w14:paraId="5944C531" w14:textId="77777777" w:rsidR="00995C37" w:rsidRPr="00995C37" w:rsidRDefault="00995C37" w:rsidP="00995C37">
            <w:pPr>
              <w:spacing w:after="0" w:line="240" w:lineRule="auto"/>
            </w:pPr>
            <w:r w:rsidRPr="00995C37">
              <w:rPr>
                <w:noProof/>
              </w:rPr>
              <w:drawing>
                <wp:inline distT="0" distB="0" distL="0" distR="0" wp14:anchorId="5CA87E1B" wp14:editId="3E4E651D">
                  <wp:extent cx="859790" cy="853440"/>
                  <wp:effectExtent l="0" t="0" r="0" b="0"/>
                  <wp:docPr id="2074169227" name="Picture 13">
                    <a:extLst xmlns:a="http://schemas.openxmlformats.org/drawingml/2006/main">
                      <a:ext uri="{FF2B5EF4-FFF2-40B4-BE49-F238E27FC236}">
                        <a16:creationId xmlns:a16="http://schemas.microsoft.com/office/drawing/2014/main" id="{D503A19D-3F81-46C1-87FF-D266D5AF16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9227" name="Picture 1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790" cy="853440"/>
                          </a:xfrm>
                          <a:prstGeom prst="rect">
                            <a:avLst/>
                          </a:prstGeom>
                          <a:noFill/>
                        </pic:spPr>
                      </pic:pic>
                    </a:graphicData>
                  </a:graphic>
                </wp:inline>
              </w:drawing>
            </w:r>
          </w:p>
        </w:tc>
        <w:tc>
          <w:tcPr>
            <w:tcW w:w="1302" w:type="dxa"/>
            <w:tcBorders>
              <w:left w:val="nil"/>
            </w:tcBorders>
            <w:vAlign w:val="center"/>
          </w:tcPr>
          <w:p w14:paraId="3E4DE0C3" w14:textId="77777777" w:rsidR="00995C37" w:rsidRPr="00995C37" w:rsidRDefault="00995C37" w:rsidP="00995C37">
            <w:pPr>
              <w:spacing w:after="0" w:line="240" w:lineRule="auto"/>
            </w:pPr>
            <w:r w:rsidRPr="00617802">
              <w:rPr>
                <w:b/>
              </w:rPr>
              <w:t>294</w:t>
            </w:r>
            <w:r w:rsidRPr="00995C37">
              <w:t xml:space="preserve"> Adult support and protection referrals to Social Work in one month</w:t>
            </w:r>
          </w:p>
        </w:tc>
        <w:tc>
          <w:tcPr>
            <w:tcW w:w="1504" w:type="dxa"/>
            <w:tcBorders>
              <w:right w:val="nil"/>
            </w:tcBorders>
            <w:vAlign w:val="center"/>
          </w:tcPr>
          <w:p w14:paraId="4CB46B43" w14:textId="77777777" w:rsidR="00995C37" w:rsidRPr="00995C37" w:rsidRDefault="00995C37" w:rsidP="00995C37">
            <w:pPr>
              <w:spacing w:after="0" w:line="240" w:lineRule="auto"/>
            </w:pPr>
            <w:r w:rsidRPr="00995C37">
              <w:rPr>
                <w:noProof/>
              </w:rPr>
              <w:drawing>
                <wp:inline distT="0" distB="0" distL="0" distR="0" wp14:anchorId="1C0D54A8" wp14:editId="06ED6798">
                  <wp:extent cx="721895" cy="721895"/>
                  <wp:effectExtent l="0" t="0" r="2540" b="2540"/>
                  <wp:docPr id="1053416591" name="Picture 14">
                    <a:extLst xmlns:a="http://schemas.openxmlformats.org/drawingml/2006/main">
                      <a:ext uri="{FF2B5EF4-FFF2-40B4-BE49-F238E27FC236}">
                        <a16:creationId xmlns:a16="http://schemas.microsoft.com/office/drawing/2014/main" id="{B03EEDA2-2AED-43E4-A53E-F101949CF4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6591" name="Picture 1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5293" cy="725293"/>
                          </a:xfrm>
                          <a:prstGeom prst="rect">
                            <a:avLst/>
                          </a:prstGeom>
                          <a:noFill/>
                        </pic:spPr>
                      </pic:pic>
                    </a:graphicData>
                  </a:graphic>
                </wp:inline>
              </w:drawing>
            </w:r>
          </w:p>
        </w:tc>
        <w:tc>
          <w:tcPr>
            <w:tcW w:w="1475" w:type="dxa"/>
            <w:gridSpan w:val="2"/>
            <w:tcBorders>
              <w:left w:val="nil"/>
            </w:tcBorders>
            <w:vAlign w:val="center"/>
          </w:tcPr>
          <w:p w14:paraId="4083BBB0" w14:textId="77777777" w:rsidR="00995C37" w:rsidRPr="00995C37" w:rsidRDefault="00995C37" w:rsidP="00995C37">
            <w:pPr>
              <w:spacing w:after="0" w:line="240" w:lineRule="auto"/>
            </w:pPr>
            <w:r w:rsidRPr="00995C37">
              <w:t xml:space="preserve">Approx </w:t>
            </w:r>
            <w:r w:rsidRPr="00617802">
              <w:rPr>
                <w:b/>
              </w:rPr>
              <w:t>2900</w:t>
            </w:r>
            <w:r w:rsidRPr="00995C37">
              <w:t xml:space="preserve"> hours delivered every month supporting Learning Disability Day Services and Activities</w:t>
            </w:r>
          </w:p>
        </w:tc>
      </w:tr>
    </w:tbl>
    <w:p w14:paraId="363264ED" w14:textId="77777777" w:rsidR="00995C37" w:rsidRDefault="00995C37" w:rsidP="0000133C">
      <w:pPr>
        <w:spacing w:after="160" w:line="240" w:lineRule="auto"/>
        <w:rPr>
          <w:rFonts w:ascii="Aptos" w:eastAsia="Aptos" w:hAnsi="Aptos" w:cs="Arial"/>
          <w:kern w:val="2"/>
          <w14:ligatures w14:val="standardContextual"/>
        </w:rPr>
      </w:pPr>
    </w:p>
    <w:p w14:paraId="6A571C0E" w14:textId="77777777" w:rsidR="009514B7" w:rsidRPr="00721793" w:rsidRDefault="006169A2" w:rsidP="0000133C">
      <w:pPr>
        <w:spacing w:after="160" w:line="240" w:lineRule="auto"/>
        <w:rPr>
          <w:rFonts w:ascii="Arial" w:eastAsia="Aptos" w:hAnsi="Arial" w:cs="Arial"/>
          <w:b/>
          <w:bCs/>
          <w:kern w:val="2"/>
          <w:sz w:val="20"/>
          <w:szCs w:val="20"/>
          <w:u w:val="single"/>
          <w14:ligatures w14:val="standardContextual"/>
        </w:rPr>
      </w:pPr>
      <w:r w:rsidRPr="00721793">
        <w:rPr>
          <w:rFonts w:ascii="Arial" w:eastAsia="Aptos" w:hAnsi="Arial" w:cs="Arial"/>
          <w:b/>
          <w:bCs/>
          <w:kern w:val="2"/>
          <w:sz w:val="20"/>
          <w:szCs w:val="20"/>
          <w:u w:val="single"/>
          <w14:ligatures w14:val="standardContextual"/>
        </w:rPr>
        <w:t>Budget</w:t>
      </w:r>
      <w:r w:rsidR="009514B7" w:rsidRPr="00721793">
        <w:rPr>
          <w:rFonts w:ascii="Arial" w:eastAsia="Aptos" w:hAnsi="Arial" w:cs="Arial"/>
          <w:b/>
          <w:bCs/>
          <w:kern w:val="2"/>
          <w:sz w:val="20"/>
          <w:szCs w:val="20"/>
          <w:u w:val="single"/>
          <w14:ligatures w14:val="standardContextual"/>
        </w:rPr>
        <w:t xml:space="preserve"> Performance related to Operational Performance</w:t>
      </w:r>
    </w:p>
    <w:p w14:paraId="366851E8" w14:textId="7404195B" w:rsidR="00BA4F38" w:rsidRDefault="00434435" w:rsidP="00D03EDA">
      <w:pPr>
        <w:spacing w:after="0" w:line="240" w:lineRule="auto"/>
        <w:textAlignment w:val="baseline"/>
        <w:rPr>
          <w:rFonts w:ascii="Arial" w:hAnsi="Arial" w:cs="Arial"/>
          <w:bCs/>
          <w:sz w:val="20"/>
          <w:szCs w:val="20"/>
        </w:rPr>
      </w:pPr>
      <w:r w:rsidRPr="00721793">
        <w:rPr>
          <w:rFonts w:ascii="Arial" w:eastAsia="Aptos" w:hAnsi="Arial" w:cs="Arial"/>
          <w:bCs/>
          <w:kern w:val="2"/>
          <w:sz w:val="20"/>
          <w:szCs w:val="20"/>
          <w14:ligatures w14:val="standardContextual"/>
        </w:rPr>
        <w:t xml:space="preserve">In terms of the 2025/26 budget </w:t>
      </w:r>
      <w:r w:rsidR="000174CB" w:rsidRPr="00721793">
        <w:rPr>
          <w:rFonts w:ascii="Arial" w:eastAsia="Aptos" w:hAnsi="Arial" w:cs="Arial"/>
          <w:bCs/>
          <w:kern w:val="2"/>
          <w:sz w:val="20"/>
          <w:szCs w:val="20"/>
          <w14:ligatures w14:val="standardContextual"/>
        </w:rPr>
        <w:t xml:space="preserve">there were a number of service areas that made a material contribution to financial performance in terms of under and </w:t>
      </w:r>
      <w:r w:rsidR="00721793" w:rsidRPr="00721793">
        <w:rPr>
          <w:rFonts w:ascii="Arial" w:eastAsia="Aptos" w:hAnsi="Arial" w:cs="Arial"/>
          <w:bCs/>
          <w:kern w:val="2"/>
          <w:sz w:val="20"/>
          <w:szCs w:val="20"/>
          <w14:ligatures w14:val="standardContextual"/>
        </w:rPr>
        <w:t>overspends</w:t>
      </w:r>
      <w:r w:rsidR="000174CB" w:rsidRPr="00721793">
        <w:rPr>
          <w:rFonts w:ascii="Arial" w:eastAsia="Aptos" w:hAnsi="Arial" w:cs="Arial"/>
          <w:bCs/>
          <w:kern w:val="2"/>
          <w:sz w:val="20"/>
          <w:szCs w:val="20"/>
          <w14:ligatures w14:val="standardContextual"/>
        </w:rPr>
        <w:t xml:space="preserve"> against their allocated budget</w:t>
      </w:r>
      <w:r w:rsidR="0097387E" w:rsidRPr="00721793">
        <w:rPr>
          <w:rFonts w:ascii="Arial" w:eastAsia="Aptos" w:hAnsi="Arial" w:cs="Arial"/>
          <w:bCs/>
          <w:kern w:val="2"/>
          <w:sz w:val="20"/>
          <w:szCs w:val="20"/>
          <w14:ligatures w14:val="standardContextual"/>
        </w:rPr>
        <w:t xml:space="preserve">.   </w:t>
      </w:r>
      <w:r w:rsidR="00D03EDA" w:rsidRPr="00323C69">
        <w:rPr>
          <w:rFonts w:ascii="Arial" w:hAnsi="Arial" w:cs="Arial"/>
          <w:bCs/>
          <w:sz w:val="20"/>
          <w:szCs w:val="20"/>
        </w:rPr>
        <w:t xml:space="preserve">Areas of </w:t>
      </w:r>
      <w:r w:rsidR="00D03EDA">
        <w:rPr>
          <w:rFonts w:ascii="Arial" w:hAnsi="Arial" w:cs="Arial"/>
          <w:bCs/>
          <w:sz w:val="20"/>
          <w:szCs w:val="20"/>
        </w:rPr>
        <w:t>overspends include Learning Disabilities, Out of Area Treatments and Adult Mental Health and Substance Use.</w:t>
      </w:r>
      <w:r w:rsidR="009C0108">
        <w:rPr>
          <w:rFonts w:ascii="Arial" w:hAnsi="Arial" w:cs="Arial"/>
          <w:bCs/>
          <w:sz w:val="20"/>
          <w:szCs w:val="20"/>
        </w:rPr>
        <w:t xml:space="preserve"> </w:t>
      </w:r>
      <w:r w:rsidR="00050219">
        <w:rPr>
          <w:rFonts w:ascii="Arial" w:hAnsi="Arial" w:cs="Arial"/>
          <w:bCs/>
          <w:sz w:val="20"/>
          <w:szCs w:val="20"/>
        </w:rPr>
        <w:t xml:space="preserve">Complexity of demand in our learning disability services is growing and </w:t>
      </w:r>
      <w:r w:rsidR="00562BA6">
        <w:rPr>
          <w:rFonts w:ascii="Arial" w:hAnsi="Arial" w:cs="Arial"/>
          <w:bCs/>
          <w:sz w:val="20"/>
          <w:szCs w:val="20"/>
        </w:rPr>
        <w:t xml:space="preserve">the number of people in </w:t>
      </w:r>
      <w:r w:rsidR="009B66EA">
        <w:rPr>
          <w:rFonts w:ascii="Arial" w:hAnsi="Arial" w:cs="Arial"/>
          <w:bCs/>
          <w:sz w:val="20"/>
          <w:szCs w:val="20"/>
        </w:rPr>
        <w:t>high cost out of areas placements is higher than we would like.</w:t>
      </w:r>
      <w:r w:rsidR="009C0108">
        <w:rPr>
          <w:rFonts w:ascii="Arial" w:hAnsi="Arial" w:cs="Arial"/>
          <w:bCs/>
          <w:sz w:val="20"/>
          <w:szCs w:val="20"/>
        </w:rPr>
        <w:t xml:space="preserve"> </w:t>
      </w:r>
      <w:r w:rsidR="00544CAA">
        <w:rPr>
          <w:rFonts w:ascii="Arial" w:hAnsi="Arial" w:cs="Arial"/>
          <w:bCs/>
          <w:sz w:val="20"/>
          <w:szCs w:val="20"/>
        </w:rPr>
        <w:t>T</w:t>
      </w:r>
      <w:r w:rsidR="00C00B03">
        <w:rPr>
          <w:rFonts w:ascii="Arial" w:hAnsi="Arial" w:cs="Arial"/>
          <w:bCs/>
          <w:sz w:val="20"/>
          <w:szCs w:val="20"/>
        </w:rPr>
        <w:t xml:space="preserve">he development of </w:t>
      </w:r>
      <w:r w:rsidR="00C66528">
        <w:rPr>
          <w:rFonts w:ascii="Arial" w:hAnsi="Arial" w:cs="Arial"/>
          <w:bCs/>
          <w:sz w:val="20"/>
          <w:szCs w:val="20"/>
        </w:rPr>
        <w:t xml:space="preserve">the eight bespoke bungalows at Stoneywood </w:t>
      </w:r>
      <w:r w:rsidR="00D771A0">
        <w:rPr>
          <w:rFonts w:ascii="Arial" w:hAnsi="Arial" w:cs="Arial"/>
          <w:bCs/>
          <w:sz w:val="20"/>
          <w:szCs w:val="20"/>
        </w:rPr>
        <w:t xml:space="preserve">for people with complex needs </w:t>
      </w:r>
      <w:r w:rsidR="00763B4F">
        <w:rPr>
          <w:rFonts w:ascii="Arial" w:hAnsi="Arial" w:cs="Arial"/>
          <w:bCs/>
          <w:sz w:val="20"/>
          <w:szCs w:val="20"/>
        </w:rPr>
        <w:t xml:space="preserve">has allowed </w:t>
      </w:r>
      <w:r w:rsidR="00642616">
        <w:rPr>
          <w:rFonts w:ascii="Arial" w:hAnsi="Arial" w:cs="Arial"/>
          <w:bCs/>
          <w:sz w:val="20"/>
          <w:szCs w:val="20"/>
        </w:rPr>
        <w:t>for a reduction</w:t>
      </w:r>
      <w:r w:rsidR="00671696">
        <w:rPr>
          <w:rFonts w:ascii="Arial" w:hAnsi="Arial" w:cs="Arial"/>
          <w:bCs/>
          <w:sz w:val="20"/>
          <w:szCs w:val="20"/>
        </w:rPr>
        <w:t xml:space="preserve"> </w:t>
      </w:r>
      <w:r w:rsidR="00551C36">
        <w:rPr>
          <w:rFonts w:ascii="Arial" w:hAnsi="Arial" w:cs="Arial"/>
          <w:bCs/>
          <w:sz w:val="20"/>
          <w:szCs w:val="20"/>
        </w:rPr>
        <w:t xml:space="preserve">in </w:t>
      </w:r>
      <w:r w:rsidR="00642616">
        <w:rPr>
          <w:rFonts w:ascii="Arial" w:hAnsi="Arial" w:cs="Arial"/>
          <w:bCs/>
          <w:sz w:val="20"/>
          <w:szCs w:val="20"/>
        </w:rPr>
        <w:t xml:space="preserve">the number out of area however </w:t>
      </w:r>
      <w:r w:rsidR="00544CAA" w:rsidRPr="00544CAA">
        <w:rPr>
          <w:rFonts w:ascii="Arial" w:hAnsi="Arial" w:cs="Arial"/>
          <w:bCs/>
          <w:sz w:val="20"/>
          <w:szCs w:val="20"/>
        </w:rPr>
        <w:t>there w</w:t>
      </w:r>
      <w:r w:rsidR="00DA1A5B">
        <w:rPr>
          <w:rFonts w:ascii="Arial" w:hAnsi="Arial" w:cs="Arial"/>
          <w:bCs/>
          <w:sz w:val="20"/>
          <w:szCs w:val="20"/>
        </w:rPr>
        <w:t>ere</w:t>
      </w:r>
      <w:r w:rsidR="00544CAA" w:rsidRPr="00544CAA">
        <w:rPr>
          <w:rFonts w:ascii="Arial" w:hAnsi="Arial" w:cs="Arial"/>
          <w:bCs/>
          <w:sz w:val="20"/>
          <w:szCs w:val="20"/>
        </w:rPr>
        <w:t xml:space="preserve"> additional transition cost</w:t>
      </w:r>
      <w:r w:rsidR="00DA1A5B">
        <w:rPr>
          <w:rFonts w:ascii="Arial" w:hAnsi="Arial" w:cs="Arial"/>
          <w:bCs/>
          <w:sz w:val="20"/>
          <w:szCs w:val="20"/>
        </w:rPr>
        <w:t>s</w:t>
      </w:r>
      <w:r w:rsidR="00544CAA" w:rsidRPr="00544CAA">
        <w:rPr>
          <w:rFonts w:ascii="Arial" w:hAnsi="Arial" w:cs="Arial"/>
          <w:bCs/>
          <w:sz w:val="20"/>
          <w:szCs w:val="20"/>
        </w:rPr>
        <w:t xml:space="preserve"> for this year of £916,635.  During </w:t>
      </w:r>
      <w:r w:rsidR="00551C36">
        <w:rPr>
          <w:rFonts w:ascii="Arial" w:hAnsi="Arial" w:cs="Arial"/>
          <w:bCs/>
          <w:sz w:val="20"/>
          <w:szCs w:val="20"/>
        </w:rPr>
        <w:t xml:space="preserve">the </w:t>
      </w:r>
      <w:r w:rsidR="00544CAA" w:rsidRPr="00544CAA">
        <w:rPr>
          <w:rFonts w:ascii="Arial" w:hAnsi="Arial" w:cs="Arial"/>
          <w:bCs/>
          <w:sz w:val="20"/>
          <w:szCs w:val="20"/>
        </w:rPr>
        <w:t xml:space="preserve">transition period, the previous care </w:t>
      </w:r>
      <w:r w:rsidR="00FA1B1B">
        <w:rPr>
          <w:rFonts w:ascii="Arial" w:hAnsi="Arial" w:cs="Arial"/>
          <w:bCs/>
          <w:sz w:val="20"/>
          <w:szCs w:val="20"/>
        </w:rPr>
        <w:t>arrangements had to</w:t>
      </w:r>
      <w:r w:rsidR="00544CAA" w:rsidRPr="00544CAA">
        <w:rPr>
          <w:rFonts w:ascii="Arial" w:hAnsi="Arial" w:cs="Arial"/>
          <w:bCs/>
          <w:sz w:val="20"/>
          <w:szCs w:val="20"/>
        </w:rPr>
        <w:t xml:space="preserve"> continue which resulted in a </w:t>
      </w:r>
      <w:r w:rsidR="00010D54" w:rsidRPr="00544CAA">
        <w:rPr>
          <w:rFonts w:ascii="Arial" w:hAnsi="Arial" w:cs="Arial"/>
          <w:bCs/>
          <w:sz w:val="20"/>
          <w:szCs w:val="20"/>
        </w:rPr>
        <w:t>short-term</w:t>
      </w:r>
      <w:r w:rsidR="00544CAA" w:rsidRPr="00544CAA">
        <w:rPr>
          <w:rFonts w:ascii="Arial" w:hAnsi="Arial" w:cs="Arial"/>
          <w:bCs/>
          <w:sz w:val="20"/>
          <w:szCs w:val="20"/>
        </w:rPr>
        <w:t xml:space="preserve"> double payment.  The transitionary costs supported the new care provider</w:t>
      </w:r>
      <w:r w:rsidR="00551C36">
        <w:rPr>
          <w:rFonts w:ascii="Arial" w:hAnsi="Arial" w:cs="Arial"/>
          <w:bCs/>
          <w:sz w:val="20"/>
          <w:szCs w:val="20"/>
        </w:rPr>
        <w:t xml:space="preserve"> to </w:t>
      </w:r>
      <w:r w:rsidR="00544CAA" w:rsidRPr="00544CAA">
        <w:rPr>
          <w:rFonts w:ascii="Arial" w:hAnsi="Arial" w:cs="Arial"/>
          <w:bCs/>
          <w:sz w:val="20"/>
          <w:szCs w:val="20"/>
        </w:rPr>
        <w:t xml:space="preserve">assess and work with individuals, develop associated paperwork to support their move and due to </w:t>
      </w:r>
      <w:r w:rsidR="00FA1B1B">
        <w:rPr>
          <w:rFonts w:ascii="Arial" w:hAnsi="Arial" w:cs="Arial"/>
          <w:bCs/>
          <w:sz w:val="20"/>
          <w:szCs w:val="20"/>
        </w:rPr>
        <w:t xml:space="preserve">the </w:t>
      </w:r>
      <w:r w:rsidR="00544CAA" w:rsidRPr="00544CAA">
        <w:rPr>
          <w:rFonts w:ascii="Arial" w:hAnsi="Arial" w:cs="Arial"/>
          <w:bCs/>
          <w:sz w:val="20"/>
          <w:szCs w:val="20"/>
        </w:rPr>
        <w:t xml:space="preserve">location of individuals this also included extensive travel and accommodation </w:t>
      </w:r>
      <w:r w:rsidR="00010D54" w:rsidRPr="00544CAA">
        <w:rPr>
          <w:rFonts w:ascii="Arial" w:hAnsi="Arial" w:cs="Arial"/>
          <w:bCs/>
          <w:sz w:val="20"/>
          <w:szCs w:val="20"/>
        </w:rPr>
        <w:t>costs.</w:t>
      </w:r>
      <w:r w:rsidR="00551C36">
        <w:rPr>
          <w:rFonts w:ascii="Arial" w:hAnsi="Arial" w:cs="Arial"/>
          <w:bCs/>
          <w:sz w:val="20"/>
          <w:szCs w:val="20"/>
        </w:rPr>
        <w:t xml:space="preserve">   </w:t>
      </w:r>
    </w:p>
    <w:p w14:paraId="21BCE266" w14:textId="77777777" w:rsidR="00522651" w:rsidRDefault="00522651" w:rsidP="00D03EDA">
      <w:pPr>
        <w:spacing w:after="0" w:line="240" w:lineRule="auto"/>
        <w:textAlignment w:val="baseline"/>
        <w:rPr>
          <w:rFonts w:ascii="Arial" w:hAnsi="Arial" w:cs="Arial"/>
          <w:bCs/>
          <w:sz w:val="20"/>
          <w:szCs w:val="20"/>
        </w:rPr>
      </w:pPr>
    </w:p>
    <w:p w14:paraId="2E02C13B" w14:textId="683E9E46" w:rsidR="00522651" w:rsidRDefault="00522651" w:rsidP="00D03EDA">
      <w:pPr>
        <w:spacing w:after="0" w:line="240" w:lineRule="auto"/>
        <w:textAlignment w:val="baseline"/>
        <w:rPr>
          <w:rFonts w:ascii="Arial" w:hAnsi="Arial" w:cs="Arial"/>
          <w:bCs/>
          <w:sz w:val="20"/>
          <w:szCs w:val="20"/>
        </w:rPr>
      </w:pPr>
      <w:r>
        <w:rPr>
          <w:rFonts w:ascii="Arial" w:hAnsi="Arial" w:cs="Arial"/>
          <w:bCs/>
          <w:sz w:val="20"/>
          <w:szCs w:val="20"/>
        </w:rPr>
        <w:t>The graph below show</w:t>
      </w:r>
      <w:r w:rsidR="00E74E80">
        <w:rPr>
          <w:rFonts w:ascii="Arial" w:hAnsi="Arial" w:cs="Arial"/>
          <w:bCs/>
          <w:sz w:val="20"/>
          <w:szCs w:val="20"/>
        </w:rPr>
        <w:t>s</w:t>
      </w:r>
      <w:r>
        <w:rPr>
          <w:rFonts w:ascii="Arial" w:hAnsi="Arial" w:cs="Arial"/>
          <w:bCs/>
          <w:sz w:val="20"/>
          <w:szCs w:val="20"/>
        </w:rPr>
        <w:t xml:space="preserve"> </w:t>
      </w:r>
      <w:r w:rsidR="000407C1">
        <w:rPr>
          <w:rFonts w:ascii="Arial" w:hAnsi="Arial" w:cs="Arial"/>
          <w:bCs/>
          <w:sz w:val="20"/>
          <w:szCs w:val="20"/>
        </w:rPr>
        <w:t xml:space="preserve">the increase in both number of </w:t>
      </w:r>
      <w:r w:rsidR="00D05C49">
        <w:rPr>
          <w:rFonts w:ascii="Arial" w:hAnsi="Arial" w:cs="Arial"/>
          <w:bCs/>
          <w:sz w:val="20"/>
          <w:szCs w:val="20"/>
        </w:rPr>
        <w:t xml:space="preserve">Adult Social Work </w:t>
      </w:r>
      <w:r w:rsidR="000407C1">
        <w:rPr>
          <w:rFonts w:ascii="Arial" w:hAnsi="Arial" w:cs="Arial"/>
          <w:bCs/>
          <w:sz w:val="20"/>
          <w:szCs w:val="20"/>
        </w:rPr>
        <w:t xml:space="preserve">clients supported </w:t>
      </w:r>
      <w:r w:rsidR="00C40B5B">
        <w:rPr>
          <w:rFonts w:ascii="Arial" w:hAnsi="Arial" w:cs="Arial"/>
          <w:bCs/>
          <w:sz w:val="20"/>
          <w:szCs w:val="20"/>
        </w:rPr>
        <w:t xml:space="preserve">using Self Directed Support Option 2 (many of whom are Learning Disability clients) </w:t>
      </w:r>
      <w:r w:rsidR="000407C1">
        <w:rPr>
          <w:rFonts w:ascii="Arial" w:hAnsi="Arial" w:cs="Arial"/>
          <w:bCs/>
          <w:sz w:val="20"/>
          <w:szCs w:val="20"/>
        </w:rPr>
        <w:t xml:space="preserve">and the monthly cost of </w:t>
      </w:r>
      <w:r w:rsidR="00BD703C">
        <w:rPr>
          <w:rFonts w:ascii="Arial" w:hAnsi="Arial" w:cs="Arial"/>
          <w:bCs/>
          <w:sz w:val="20"/>
          <w:szCs w:val="20"/>
        </w:rPr>
        <w:t xml:space="preserve">care between April 2024 and March 2026.   </w:t>
      </w:r>
      <w:r w:rsidR="00E1348F">
        <w:rPr>
          <w:rFonts w:ascii="Arial" w:hAnsi="Arial" w:cs="Arial"/>
          <w:bCs/>
          <w:sz w:val="20"/>
          <w:szCs w:val="20"/>
        </w:rPr>
        <w:t xml:space="preserve">The table shows an 11.8% increase in </w:t>
      </w:r>
      <w:r w:rsidR="00AE7D1D">
        <w:rPr>
          <w:rFonts w:ascii="Arial" w:hAnsi="Arial" w:cs="Arial"/>
          <w:bCs/>
          <w:sz w:val="20"/>
          <w:szCs w:val="20"/>
        </w:rPr>
        <w:t>clients</w:t>
      </w:r>
      <w:r w:rsidR="00E1348F">
        <w:rPr>
          <w:rFonts w:ascii="Arial" w:hAnsi="Arial" w:cs="Arial"/>
          <w:bCs/>
          <w:sz w:val="20"/>
          <w:szCs w:val="20"/>
        </w:rPr>
        <w:t xml:space="preserve"> and </w:t>
      </w:r>
      <w:r w:rsidR="00AE7D1D">
        <w:rPr>
          <w:rFonts w:ascii="Arial" w:hAnsi="Arial" w:cs="Arial"/>
          <w:bCs/>
          <w:sz w:val="20"/>
          <w:szCs w:val="20"/>
        </w:rPr>
        <w:t>a 28.6% increase in the cost of care for these clients from 2024/25 to 2025/26.</w:t>
      </w:r>
    </w:p>
    <w:p w14:paraId="76E501F5" w14:textId="77777777" w:rsidR="00C9259E" w:rsidRDefault="00C9259E" w:rsidP="00D03EDA">
      <w:pPr>
        <w:spacing w:after="0" w:line="240" w:lineRule="auto"/>
        <w:textAlignment w:val="baseline"/>
        <w:rPr>
          <w:rFonts w:ascii="Arial" w:hAnsi="Arial" w:cs="Arial"/>
          <w:bCs/>
          <w:sz w:val="20"/>
          <w:szCs w:val="20"/>
        </w:rPr>
      </w:pPr>
    </w:p>
    <w:p w14:paraId="1938A130" w14:textId="49C27D87" w:rsidR="009A7882" w:rsidRDefault="00480E48" w:rsidP="00D03EDA">
      <w:pPr>
        <w:spacing w:after="0" w:line="240" w:lineRule="auto"/>
        <w:textAlignment w:val="baseline"/>
        <w:rPr>
          <w:rFonts w:ascii="Arial" w:hAnsi="Arial" w:cs="Arial"/>
          <w:bCs/>
          <w:sz w:val="20"/>
          <w:szCs w:val="20"/>
        </w:rPr>
      </w:pPr>
      <w:r>
        <w:rPr>
          <w:noProof/>
        </w:rPr>
        <w:drawing>
          <wp:inline distT="0" distB="0" distL="0" distR="0" wp14:anchorId="45567C15" wp14:editId="2FCB68BA">
            <wp:extent cx="5648178" cy="2746375"/>
            <wp:effectExtent l="0" t="0" r="10160" b="15875"/>
            <wp:docPr id="1638936287" name="Chart 1" descr="Graph showing Adult Social Work statistics as discussed in the text.">
              <a:extLst xmlns:a="http://schemas.openxmlformats.org/drawingml/2006/main">
                <a:ext uri="{FF2B5EF4-FFF2-40B4-BE49-F238E27FC236}">
                  <a16:creationId xmlns:a16="http://schemas.microsoft.com/office/drawing/2014/main" id="{6FF7E475-2D91-7441-DF45-6210F2556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B6F017" w14:textId="77777777" w:rsidR="009A7882" w:rsidRDefault="009A7882" w:rsidP="00D03EDA">
      <w:pPr>
        <w:spacing w:after="0" w:line="240" w:lineRule="auto"/>
        <w:textAlignment w:val="baseline"/>
        <w:rPr>
          <w:rFonts w:ascii="Arial" w:hAnsi="Arial" w:cs="Arial"/>
          <w:bCs/>
          <w:sz w:val="20"/>
          <w:szCs w:val="20"/>
        </w:rPr>
      </w:pPr>
    </w:p>
    <w:p w14:paraId="4AFB3FCA" w14:textId="77777777" w:rsidR="009A7882" w:rsidRDefault="009A7882" w:rsidP="00D03EDA">
      <w:pPr>
        <w:spacing w:after="0" w:line="240" w:lineRule="auto"/>
        <w:textAlignment w:val="baseline"/>
        <w:rPr>
          <w:rFonts w:ascii="Arial" w:hAnsi="Arial" w:cs="Arial"/>
          <w:bCs/>
          <w:sz w:val="20"/>
          <w:szCs w:val="20"/>
        </w:rPr>
      </w:pPr>
    </w:p>
    <w:tbl>
      <w:tblPr>
        <w:tblW w:w="8926" w:type="dxa"/>
        <w:tblLook w:val="04A0" w:firstRow="1" w:lastRow="0" w:firstColumn="1" w:lastColumn="0" w:noHBand="0" w:noVBand="1"/>
      </w:tblPr>
      <w:tblGrid>
        <w:gridCol w:w="2405"/>
        <w:gridCol w:w="1985"/>
        <w:gridCol w:w="1842"/>
        <w:gridCol w:w="2694"/>
      </w:tblGrid>
      <w:tr w:rsidR="0047677C" w:rsidRPr="0047677C" w14:paraId="3838944C" w14:textId="77777777" w:rsidTr="0047677C">
        <w:trPr>
          <w:trHeight w:val="290"/>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767323E9" w14:textId="77777777" w:rsidR="0047677C" w:rsidRPr="0047677C" w:rsidRDefault="0047677C" w:rsidP="0047677C">
            <w:pPr>
              <w:spacing w:after="0" w:line="240" w:lineRule="auto"/>
              <w:rPr>
                <w:rFonts w:ascii="Aptos Narrow" w:eastAsia="Times New Roman" w:hAnsi="Aptos Narrow"/>
                <w:color w:val="000000"/>
                <w:lang w:eastAsia="en-GB"/>
              </w:rPr>
            </w:pPr>
            <w:r w:rsidRPr="0047677C">
              <w:rPr>
                <w:rFonts w:ascii="Aptos Narrow" w:eastAsia="Times New Roman" w:hAnsi="Aptos Narrow"/>
                <w:color w:val="000000"/>
                <w:lang w:eastAsia="en-GB"/>
              </w:rPr>
              <w:t> </w:t>
            </w:r>
          </w:p>
        </w:tc>
        <w:tc>
          <w:tcPr>
            <w:tcW w:w="1985" w:type="dxa"/>
            <w:tcBorders>
              <w:top w:val="single" w:sz="4" w:space="0" w:color="auto"/>
              <w:left w:val="nil"/>
              <w:bottom w:val="single" w:sz="4" w:space="0" w:color="auto"/>
              <w:right w:val="single" w:sz="4" w:space="0" w:color="auto"/>
            </w:tcBorders>
            <w:noWrap/>
            <w:vAlign w:val="bottom"/>
            <w:hideMark/>
          </w:tcPr>
          <w:p w14:paraId="3A35A0F3" w14:textId="77777777" w:rsidR="0047677C" w:rsidRPr="0047677C" w:rsidRDefault="0047677C" w:rsidP="0047677C">
            <w:pPr>
              <w:spacing w:after="0" w:line="240" w:lineRule="auto"/>
              <w:rPr>
                <w:rFonts w:ascii="Aptos Narrow" w:eastAsia="Times New Roman" w:hAnsi="Aptos Narrow"/>
                <w:b/>
                <w:bCs/>
                <w:color w:val="000000"/>
                <w:lang w:eastAsia="en-GB"/>
              </w:rPr>
            </w:pPr>
            <w:r w:rsidRPr="0047677C">
              <w:rPr>
                <w:rFonts w:ascii="Aptos Narrow" w:eastAsia="Times New Roman" w:hAnsi="Aptos Narrow"/>
                <w:b/>
                <w:bCs/>
                <w:color w:val="000000"/>
                <w:lang w:eastAsia="en-GB"/>
              </w:rPr>
              <w:t>2024/25</w:t>
            </w:r>
          </w:p>
        </w:tc>
        <w:tc>
          <w:tcPr>
            <w:tcW w:w="1842" w:type="dxa"/>
            <w:tcBorders>
              <w:top w:val="single" w:sz="4" w:space="0" w:color="auto"/>
              <w:left w:val="nil"/>
              <w:bottom w:val="single" w:sz="4" w:space="0" w:color="auto"/>
              <w:right w:val="single" w:sz="4" w:space="0" w:color="auto"/>
            </w:tcBorders>
            <w:noWrap/>
            <w:vAlign w:val="bottom"/>
            <w:hideMark/>
          </w:tcPr>
          <w:p w14:paraId="366C5522" w14:textId="77777777" w:rsidR="0047677C" w:rsidRPr="0047677C" w:rsidRDefault="0047677C" w:rsidP="0047677C">
            <w:pPr>
              <w:spacing w:after="0" w:line="240" w:lineRule="auto"/>
              <w:rPr>
                <w:rFonts w:ascii="Aptos Narrow" w:eastAsia="Times New Roman" w:hAnsi="Aptos Narrow"/>
                <w:b/>
                <w:bCs/>
                <w:color w:val="000000"/>
                <w:lang w:eastAsia="en-GB"/>
              </w:rPr>
            </w:pPr>
            <w:r w:rsidRPr="0047677C">
              <w:rPr>
                <w:rFonts w:ascii="Aptos Narrow" w:eastAsia="Times New Roman" w:hAnsi="Aptos Narrow"/>
                <w:b/>
                <w:bCs/>
                <w:color w:val="000000"/>
                <w:lang w:eastAsia="en-GB"/>
              </w:rPr>
              <w:t>2025/26</w:t>
            </w:r>
          </w:p>
        </w:tc>
        <w:tc>
          <w:tcPr>
            <w:tcW w:w="2694" w:type="dxa"/>
            <w:tcBorders>
              <w:top w:val="single" w:sz="4" w:space="0" w:color="auto"/>
              <w:left w:val="nil"/>
              <w:bottom w:val="single" w:sz="4" w:space="0" w:color="auto"/>
              <w:right w:val="single" w:sz="4" w:space="0" w:color="auto"/>
            </w:tcBorders>
            <w:noWrap/>
            <w:vAlign w:val="bottom"/>
            <w:hideMark/>
          </w:tcPr>
          <w:p w14:paraId="750ABE6F" w14:textId="77777777" w:rsidR="0047677C" w:rsidRPr="0047677C" w:rsidRDefault="0047677C" w:rsidP="0047677C">
            <w:pPr>
              <w:spacing w:after="0" w:line="240" w:lineRule="auto"/>
              <w:rPr>
                <w:rFonts w:ascii="Aptos Narrow" w:eastAsia="Times New Roman" w:hAnsi="Aptos Narrow"/>
                <w:b/>
                <w:bCs/>
                <w:color w:val="000000"/>
                <w:lang w:eastAsia="en-GB"/>
              </w:rPr>
            </w:pPr>
            <w:r w:rsidRPr="0047677C">
              <w:rPr>
                <w:rFonts w:ascii="Aptos Narrow" w:eastAsia="Times New Roman" w:hAnsi="Aptos Narrow"/>
                <w:b/>
                <w:bCs/>
                <w:color w:val="000000"/>
                <w:lang w:eastAsia="en-GB"/>
              </w:rPr>
              <w:t>Percentage difference</w:t>
            </w:r>
          </w:p>
        </w:tc>
      </w:tr>
      <w:tr w:rsidR="0047677C" w:rsidRPr="0047677C" w14:paraId="031B649F" w14:textId="77777777" w:rsidTr="0047677C">
        <w:trPr>
          <w:trHeight w:val="290"/>
        </w:trPr>
        <w:tc>
          <w:tcPr>
            <w:tcW w:w="2405" w:type="dxa"/>
            <w:tcBorders>
              <w:top w:val="nil"/>
              <w:left w:val="single" w:sz="4" w:space="0" w:color="auto"/>
              <w:bottom w:val="single" w:sz="4" w:space="0" w:color="auto"/>
              <w:right w:val="single" w:sz="4" w:space="0" w:color="auto"/>
            </w:tcBorders>
            <w:noWrap/>
            <w:vAlign w:val="bottom"/>
            <w:hideMark/>
          </w:tcPr>
          <w:p w14:paraId="6D9DF7B5" w14:textId="77777777" w:rsidR="0047677C" w:rsidRPr="0047677C" w:rsidRDefault="0047677C" w:rsidP="0047677C">
            <w:pPr>
              <w:spacing w:after="0" w:line="240" w:lineRule="auto"/>
              <w:rPr>
                <w:rFonts w:ascii="Aptos Narrow" w:eastAsia="Times New Roman" w:hAnsi="Aptos Narrow"/>
                <w:b/>
                <w:bCs/>
                <w:color w:val="000000"/>
                <w:lang w:eastAsia="en-GB"/>
              </w:rPr>
            </w:pPr>
            <w:r w:rsidRPr="0047677C">
              <w:rPr>
                <w:rFonts w:ascii="Aptos Narrow" w:eastAsia="Times New Roman" w:hAnsi="Aptos Narrow"/>
                <w:b/>
                <w:bCs/>
                <w:color w:val="000000"/>
                <w:lang w:eastAsia="en-GB"/>
              </w:rPr>
              <w:t>Clients supported monthly</w:t>
            </w:r>
          </w:p>
        </w:tc>
        <w:tc>
          <w:tcPr>
            <w:tcW w:w="1985" w:type="dxa"/>
            <w:tcBorders>
              <w:top w:val="nil"/>
              <w:left w:val="nil"/>
              <w:bottom w:val="single" w:sz="4" w:space="0" w:color="auto"/>
              <w:right w:val="single" w:sz="4" w:space="0" w:color="auto"/>
            </w:tcBorders>
            <w:noWrap/>
            <w:vAlign w:val="bottom"/>
            <w:hideMark/>
          </w:tcPr>
          <w:p w14:paraId="6034BB43" w14:textId="77777777" w:rsidR="0047677C" w:rsidRPr="0047677C" w:rsidRDefault="0047677C" w:rsidP="0047677C">
            <w:pPr>
              <w:spacing w:after="0" w:line="240" w:lineRule="auto"/>
              <w:jc w:val="right"/>
              <w:rPr>
                <w:rFonts w:ascii="Aptos Narrow" w:eastAsia="Times New Roman" w:hAnsi="Aptos Narrow"/>
                <w:color w:val="000000"/>
                <w:lang w:eastAsia="en-GB"/>
              </w:rPr>
            </w:pPr>
            <w:r w:rsidRPr="0047677C">
              <w:rPr>
                <w:rFonts w:ascii="Aptos Narrow" w:eastAsia="Times New Roman" w:hAnsi="Aptos Narrow"/>
                <w:color w:val="000000"/>
                <w:lang w:eastAsia="en-GB"/>
              </w:rPr>
              <w:t>5357</w:t>
            </w:r>
          </w:p>
        </w:tc>
        <w:tc>
          <w:tcPr>
            <w:tcW w:w="1842" w:type="dxa"/>
            <w:tcBorders>
              <w:top w:val="nil"/>
              <w:left w:val="nil"/>
              <w:bottom w:val="single" w:sz="4" w:space="0" w:color="auto"/>
              <w:right w:val="single" w:sz="4" w:space="0" w:color="auto"/>
            </w:tcBorders>
            <w:noWrap/>
            <w:vAlign w:val="bottom"/>
            <w:hideMark/>
          </w:tcPr>
          <w:p w14:paraId="6200D161" w14:textId="77777777" w:rsidR="0047677C" w:rsidRPr="0047677C" w:rsidRDefault="0047677C" w:rsidP="0047677C">
            <w:pPr>
              <w:spacing w:after="0" w:line="240" w:lineRule="auto"/>
              <w:jc w:val="right"/>
              <w:rPr>
                <w:rFonts w:ascii="Aptos Narrow" w:eastAsia="Times New Roman" w:hAnsi="Aptos Narrow"/>
                <w:color w:val="000000"/>
                <w:lang w:eastAsia="en-GB"/>
              </w:rPr>
            </w:pPr>
            <w:r w:rsidRPr="0047677C">
              <w:rPr>
                <w:rFonts w:ascii="Aptos Narrow" w:eastAsia="Times New Roman" w:hAnsi="Aptos Narrow"/>
                <w:color w:val="000000"/>
                <w:lang w:eastAsia="en-GB"/>
              </w:rPr>
              <w:t>5991</w:t>
            </w:r>
          </w:p>
        </w:tc>
        <w:tc>
          <w:tcPr>
            <w:tcW w:w="2694" w:type="dxa"/>
            <w:tcBorders>
              <w:top w:val="nil"/>
              <w:left w:val="nil"/>
              <w:bottom w:val="single" w:sz="4" w:space="0" w:color="auto"/>
              <w:right w:val="single" w:sz="4" w:space="0" w:color="auto"/>
            </w:tcBorders>
            <w:noWrap/>
            <w:vAlign w:val="bottom"/>
            <w:hideMark/>
          </w:tcPr>
          <w:p w14:paraId="546D607C" w14:textId="77777777" w:rsidR="0047677C" w:rsidRPr="0047677C" w:rsidRDefault="0047677C" w:rsidP="0047677C">
            <w:pPr>
              <w:spacing w:after="0" w:line="240" w:lineRule="auto"/>
              <w:rPr>
                <w:rFonts w:ascii="Aptos Narrow" w:eastAsia="Times New Roman" w:hAnsi="Aptos Narrow"/>
                <w:color w:val="000000"/>
                <w:lang w:eastAsia="en-GB"/>
              </w:rPr>
            </w:pPr>
            <w:r w:rsidRPr="0047677C">
              <w:rPr>
                <w:rFonts w:ascii="Aptos Narrow" w:eastAsia="Times New Roman" w:hAnsi="Aptos Narrow"/>
                <w:color w:val="000000"/>
                <w:lang w:eastAsia="en-GB"/>
              </w:rPr>
              <w:t>11.8% increase</w:t>
            </w:r>
          </w:p>
        </w:tc>
      </w:tr>
      <w:tr w:rsidR="0047677C" w:rsidRPr="0047677C" w14:paraId="4F257875" w14:textId="77777777" w:rsidTr="0047677C">
        <w:trPr>
          <w:trHeight w:val="290"/>
        </w:trPr>
        <w:tc>
          <w:tcPr>
            <w:tcW w:w="2405" w:type="dxa"/>
            <w:tcBorders>
              <w:top w:val="nil"/>
              <w:left w:val="single" w:sz="4" w:space="0" w:color="auto"/>
              <w:bottom w:val="single" w:sz="4" w:space="0" w:color="auto"/>
              <w:right w:val="single" w:sz="4" w:space="0" w:color="auto"/>
            </w:tcBorders>
            <w:noWrap/>
            <w:vAlign w:val="bottom"/>
            <w:hideMark/>
          </w:tcPr>
          <w:p w14:paraId="4CEFC6A2" w14:textId="77777777" w:rsidR="0047677C" w:rsidRPr="0047677C" w:rsidRDefault="0047677C" w:rsidP="0047677C">
            <w:pPr>
              <w:spacing w:after="0" w:line="240" w:lineRule="auto"/>
              <w:rPr>
                <w:rFonts w:ascii="Aptos Narrow" w:eastAsia="Times New Roman" w:hAnsi="Aptos Narrow"/>
                <w:b/>
                <w:bCs/>
                <w:color w:val="000000"/>
                <w:lang w:eastAsia="en-GB"/>
              </w:rPr>
            </w:pPr>
            <w:r w:rsidRPr="0047677C">
              <w:rPr>
                <w:rFonts w:ascii="Aptos Narrow" w:eastAsia="Times New Roman" w:hAnsi="Aptos Narrow"/>
                <w:b/>
                <w:bCs/>
                <w:color w:val="000000"/>
                <w:lang w:eastAsia="en-GB"/>
              </w:rPr>
              <w:t>Cost</w:t>
            </w:r>
          </w:p>
        </w:tc>
        <w:tc>
          <w:tcPr>
            <w:tcW w:w="1985" w:type="dxa"/>
            <w:tcBorders>
              <w:top w:val="nil"/>
              <w:left w:val="nil"/>
              <w:bottom w:val="single" w:sz="4" w:space="0" w:color="auto"/>
              <w:right w:val="single" w:sz="4" w:space="0" w:color="auto"/>
            </w:tcBorders>
            <w:noWrap/>
            <w:vAlign w:val="bottom"/>
            <w:hideMark/>
          </w:tcPr>
          <w:p w14:paraId="25A40867" w14:textId="77777777" w:rsidR="0047677C" w:rsidRPr="0047677C" w:rsidRDefault="0047677C" w:rsidP="0047677C">
            <w:pPr>
              <w:spacing w:after="0" w:line="240" w:lineRule="auto"/>
              <w:jc w:val="right"/>
              <w:rPr>
                <w:rFonts w:ascii="Aptos Narrow" w:eastAsia="Times New Roman" w:hAnsi="Aptos Narrow"/>
                <w:color w:val="000000"/>
                <w:lang w:eastAsia="en-GB"/>
              </w:rPr>
            </w:pPr>
            <w:r w:rsidRPr="0047677C">
              <w:rPr>
                <w:rFonts w:ascii="Aptos Narrow" w:eastAsia="Times New Roman" w:hAnsi="Aptos Narrow"/>
                <w:color w:val="000000"/>
                <w:lang w:eastAsia="en-GB"/>
              </w:rPr>
              <w:t>£6,603,005.52</w:t>
            </w:r>
          </w:p>
        </w:tc>
        <w:tc>
          <w:tcPr>
            <w:tcW w:w="1842" w:type="dxa"/>
            <w:tcBorders>
              <w:top w:val="nil"/>
              <w:left w:val="nil"/>
              <w:bottom w:val="single" w:sz="4" w:space="0" w:color="auto"/>
              <w:right w:val="single" w:sz="4" w:space="0" w:color="auto"/>
            </w:tcBorders>
            <w:noWrap/>
            <w:vAlign w:val="bottom"/>
            <w:hideMark/>
          </w:tcPr>
          <w:p w14:paraId="20E30FD7" w14:textId="77777777" w:rsidR="0047677C" w:rsidRPr="0047677C" w:rsidRDefault="0047677C" w:rsidP="0047677C">
            <w:pPr>
              <w:spacing w:after="0" w:line="240" w:lineRule="auto"/>
              <w:jc w:val="right"/>
              <w:rPr>
                <w:rFonts w:ascii="Aptos Narrow" w:eastAsia="Times New Roman" w:hAnsi="Aptos Narrow"/>
                <w:color w:val="000000"/>
                <w:lang w:eastAsia="en-GB"/>
              </w:rPr>
            </w:pPr>
            <w:r w:rsidRPr="0047677C">
              <w:rPr>
                <w:rFonts w:ascii="Aptos Narrow" w:eastAsia="Times New Roman" w:hAnsi="Aptos Narrow"/>
                <w:color w:val="000000"/>
                <w:lang w:eastAsia="en-GB"/>
              </w:rPr>
              <w:t>£8,492,139.17</w:t>
            </w:r>
          </w:p>
        </w:tc>
        <w:tc>
          <w:tcPr>
            <w:tcW w:w="2694" w:type="dxa"/>
            <w:tcBorders>
              <w:top w:val="nil"/>
              <w:left w:val="nil"/>
              <w:bottom w:val="single" w:sz="4" w:space="0" w:color="auto"/>
              <w:right w:val="single" w:sz="4" w:space="0" w:color="auto"/>
            </w:tcBorders>
            <w:noWrap/>
            <w:vAlign w:val="bottom"/>
            <w:hideMark/>
          </w:tcPr>
          <w:p w14:paraId="41E37C54" w14:textId="77777777" w:rsidR="0047677C" w:rsidRPr="0047677C" w:rsidRDefault="0047677C" w:rsidP="0047677C">
            <w:pPr>
              <w:spacing w:after="0" w:line="240" w:lineRule="auto"/>
              <w:rPr>
                <w:rFonts w:ascii="Aptos Narrow" w:eastAsia="Times New Roman" w:hAnsi="Aptos Narrow"/>
                <w:color w:val="000000"/>
                <w:lang w:eastAsia="en-GB"/>
              </w:rPr>
            </w:pPr>
            <w:r w:rsidRPr="0047677C">
              <w:rPr>
                <w:rFonts w:ascii="Aptos Narrow" w:eastAsia="Times New Roman" w:hAnsi="Aptos Narrow"/>
                <w:color w:val="000000"/>
                <w:lang w:eastAsia="en-GB"/>
              </w:rPr>
              <w:t>28.6% increase</w:t>
            </w:r>
          </w:p>
        </w:tc>
      </w:tr>
    </w:tbl>
    <w:p w14:paraId="3D46A035" w14:textId="77777777" w:rsidR="009A7882" w:rsidRDefault="009A7882" w:rsidP="00D03EDA">
      <w:pPr>
        <w:spacing w:after="0" w:line="240" w:lineRule="auto"/>
        <w:textAlignment w:val="baseline"/>
        <w:rPr>
          <w:rFonts w:ascii="Arial" w:hAnsi="Arial" w:cs="Arial"/>
          <w:bCs/>
          <w:sz w:val="20"/>
          <w:szCs w:val="20"/>
        </w:rPr>
      </w:pPr>
    </w:p>
    <w:p w14:paraId="03B3841A" w14:textId="77777777" w:rsidR="004074F7" w:rsidRDefault="004074F7" w:rsidP="00D03EDA">
      <w:pPr>
        <w:spacing w:after="0" w:line="240" w:lineRule="auto"/>
        <w:textAlignment w:val="baseline"/>
        <w:rPr>
          <w:rFonts w:ascii="Arial" w:hAnsi="Arial" w:cs="Arial"/>
          <w:bCs/>
          <w:sz w:val="20"/>
          <w:szCs w:val="20"/>
        </w:rPr>
      </w:pPr>
    </w:p>
    <w:p w14:paraId="525C34D9" w14:textId="77777777" w:rsidR="004074F7" w:rsidRDefault="004074F7" w:rsidP="00D03EDA">
      <w:pPr>
        <w:spacing w:after="0" w:line="240" w:lineRule="auto"/>
        <w:textAlignment w:val="baseline"/>
        <w:rPr>
          <w:rFonts w:ascii="Arial" w:hAnsi="Arial" w:cs="Arial"/>
          <w:bCs/>
          <w:sz w:val="20"/>
          <w:szCs w:val="20"/>
        </w:rPr>
      </w:pPr>
    </w:p>
    <w:p w14:paraId="4CA57239" w14:textId="18DF8774" w:rsidR="008E3833" w:rsidRDefault="00CE7E38" w:rsidP="00D03EDA">
      <w:pPr>
        <w:spacing w:after="0" w:line="240" w:lineRule="auto"/>
        <w:textAlignment w:val="baseline"/>
        <w:rPr>
          <w:rFonts w:ascii="Arial" w:hAnsi="Arial" w:cs="Arial"/>
          <w:bCs/>
          <w:sz w:val="20"/>
          <w:szCs w:val="20"/>
        </w:rPr>
      </w:pPr>
      <w:r w:rsidRPr="00CE7E38">
        <w:rPr>
          <w:rFonts w:ascii="Arial" w:hAnsi="Arial" w:cs="Arial"/>
          <w:bCs/>
          <w:sz w:val="20"/>
          <w:szCs w:val="20"/>
        </w:rPr>
        <w:t xml:space="preserve">The </w:t>
      </w:r>
      <w:r w:rsidR="00C40B5B">
        <w:rPr>
          <w:rFonts w:ascii="Arial" w:hAnsi="Arial" w:cs="Arial"/>
          <w:bCs/>
          <w:sz w:val="20"/>
          <w:szCs w:val="20"/>
        </w:rPr>
        <w:t>L</w:t>
      </w:r>
      <w:r w:rsidRPr="00CE7E38">
        <w:rPr>
          <w:rFonts w:ascii="Arial" w:hAnsi="Arial" w:cs="Arial"/>
          <w:bCs/>
          <w:sz w:val="20"/>
          <w:szCs w:val="20"/>
        </w:rPr>
        <w:t xml:space="preserve">earning </w:t>
      </w:r>
      <w:r w:rsidR="00C40B5B">
        <w:rPr>
          <w:rFonts w:ascii="Arial" w:hAnsi="Arial" w:cs="Arial"/>
          <w:bCs/>
          <w:sz w:val="20"/>
          <w:szCs w:val="20"/>
        </w:rPr>
        <w:t>Di</w:t>
      </w:r>
      <w:r w:rsidRPr="00CE7E38">
        <w:rPr>
          <w:rFonts w:ascii="Arial" w:hAnsi="Arial" w:cs="Arial"/>
          <w:bCs/>
          <w:sz w:val="20"/>
          <w:szCs w:val="20"/>
        </w:rPr>
        <w:t xml:space="preserve">sabilities service has a caseload of 1,500 individuals with around 600 unallocated cases.  </w:t>
      </w:r>
      <w:r w:rsidR="00CE60BC">
        <w:rPr>
          <w:rFonts w:ascii="Arial" w:hAnsi="Arial" w:cs="Arial"/>
          <w:bCs/>
          <w:sz w:val="20"/>
          <w:szCs w:val="20"/>
        </w:rPr>
        <w:t xml:space="preserve">The </w:t>
      </w:r>
      <w:r w:rsidRPr="00CE7E38">
        <w:rPr>
          <w:rFonts w:ascii="Arial" w:hAnsi="Arial" w:cs="Arial"/>
          <w:bCs/>
          <w:sz w:val="20"/>
          <w:szCs w:val="20"/>
        </w:rPr>
        <w:t xml:space="preserve">average caseload per </w:t>
      </w:r>
      <w:r w:rsidR="00CE60BC">
        <w:rPr>
          <w:rFonts w:ascii="Arial" w:hAnsi="Arial" w:cs="Arial"/>
          <w:bCs/>
          <w:sz w:val="20"/>
          <w:szCs w:val="20"/>
        </w:rPr>
        <w:t>social worker is</w:t>
      </w:r>
      <w:r w:rsidRPr="00CE7E38">
        <w:rPr>
          <w:rFonts w:ascii="Arial" w:hAnsi="Arial" w:cs="Arial"/>
          <w:bCs/>
          <w:sz w:val="20"/>
          <w:szCs w:val="20"/>
        </w:rPr>
        <w:t xml:space="preserve"> 65.5.  Nationally the indicative maximum case load numbers are significantly lower at 27.6</w:t>
      </w:r>
      <w:r w:rsidR="00CE60BC">
        <w:rPr>
          <w:rFonts w:ascii="Arial" w:hAnsi="Arial" w:cs="Arial"/>
          <w:bCs/>
          <w:sz w:val="20"/>
          <w:szCs w:val="20"/>
        </w:rPr>
        <w:t>.</w:t>
      </w:r>
    </w:p>
    <w:p w14:paraId="20E8D41B" w14:textId="77777777" w:rsidR="00036EB4" w:rsidRDefault="00036EB4" w:rsidP="00D03EDA">
      <w:pPr>
        <w:spacing w:after="0" w:line="240" w:lineRule="auto"/>
        <w:textAlignment w:val="baseline"/>
        <w:rPr>
          <w:rFonts w:ascii="Arial" w:hAnsi="Arial" w:cs="Arial"/>
          <w:bCs/>
          <w:sz w:val="20"/>
          <w:szCs w:val="20"/>
        </w:rPr>
      </w:pPr>
    </w:p>
    <w:p w14:paraId="029E1EEC" w14:textId="77777777" w:rsidR="00036EB4" w:rsidRDefault="00036EB4" w:rsidP="00036EB4">
      <w:pPr>
        <w:spacing w:after="0" w:line="240" w:lineRule="auto"/>
        <w:textAlignment w:val="baseline"/>
        <w:rPr>
          <w:rFonts w:ascii="Arial" w:hAnsi="Arial" w:cs="Arial"/>
          <w:bCs/>
          <w:sz w:val="20"/>
          <w:szCs w:val="20"/>
        </w:rPr>
      </w:pPr>
      <w:r>
        <w:rPr>
          <w:rFonts w:ascii="Arial" w:hAnsi="Arial" w:cs="Arial"/>
          <w:bCs/>
          <w:sz w:val="20"/>
          <w:szCs w:val="20"/>
        </w:rPr>
        <w:t>The graph above shows a 4% increase between 2024/25 and 2025/26 in the number of Learning disability clients supported using SDS Option 2.</w:t>
      </w:r>
    </w:p>
    <w:p w14:paraId="0E892A61" w14:textId="77777777" w:rsidR="00240510" w:rsidRDefault="00240510" w:rsidP="001224C0">
      <w:pPr>
        <w:spacing w:after="0" w:line="240" w:lineRule="auto"/>
        <w:textAlignment w:val="baseline"/>
        <w:rPr>
          <w:rFonts w:ascii="Arial" w:hAnsi="Arial" w:cs="Arial"/>
          <w:bCs/>
          <w:sz w:val="20"/>
          <w:szCs w:val="20"/>
        </w:rPr>
      </w:pPr>
    </w:p>
    <w:p w14:paraId="0294E510" w14:textId="5D932B6A" w:rsidR="00240510" w:rsidRDefault="00240510" w:rsidP="001224C0">
      <w:pPr>
        <w:spacing w:after="0" w:line="240" w:lineRule="auto"/>
        <w:textAlignment w:val="baseline"/>
        <w:rPr>
          <w:rFonts w:ascii="Arial" w:hAnsi="Arial" w:cs="Arial"/>
          <w:bCs/>
          <w:sz w:val="20"/>
          <w:szCs w:val="20"/>
        </w:rPr>
      </w:pPr>
      <w:r>
        <w:rPr>
          <w:noProof/>
        </w:rPr>
        <w:drawing>
          <wp:inline distT="0" distB="0" distL="0" distR="0" wp14:anchorId="71F55859" wp14:editId="48EF382A">
            <wp:extent cx="5762625" cy="2752725"/>
            <wp:effectExtent l="0" t="0" r="9525" b="9525"/>
            <wp:docPr id="1446302387" name="Chart 1" descr="Chart showing data described in text">
              <a:extLst xmlns:a="http://schemas.openxmlformats.org/drawingml/2006/main">
                <a:ext uri="{FF2B5EF4-FFF2-40B4-BE49-F238E27FC236}">
                  <a16:creationId xmlns:a16="http://schemas.microsoft.com/office/drawing/2014/main" id="{220779DE-6EBC-F111-F4C3-DCA663B81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C47BC1" w14:textId="77777777" w:rsidR="00240510" w:rsidRDefault="00240510" w:rsidP="001224C0">
      <w:pPr>
        <w:spacing w:after="0" w:line="240" w:lineRule="auto"/>
        <w:textAlignment w:val="baseline"/>
        <w:rPr>
          <w:rFonts w:ascii="Arial" w:hAnsi="Arial" w:cs="Arial"/>
          <w:bCs/>
          <w:sz w:val="20"/>
          <w:szCs w:val="20"/>
        </w:rPr>
      </w:pPr>
    </w:p>
    <w:p w14:paraId="135102E3" w14:textId="0EF7B46D" w:rsidR="009A7882" w:rsidRDefault="00130B80" w:rsidP="001224C0">
      <w:pPr>
        <w:spacing w:after="0" w:line="240" w:lineRule="auto"/>
        <w:textAlignment w:val="baseline"/>
        <w:rPr>
          <w:rFonts w:ascii="Arial" w:hAnsi="Arial" w:cs="Arial"/>
          <w:bCs/>
          <w:sz w:val="20"/>
          <w:szCs w:val="20"/>
        </w:rPr>
      </w:pPr>
      <w:r w:rsidRPr="00130B80">
        <w:rPr>
          <w:rFonts w:ascii="Arial" w:hAnsi="Arial" w:cs="Arial"/>
          <w:bCs/>
          <w:sz w:val="20"/>
          <w:szCs w:val="20"/>
        </w:rPr>
        <w:t xml:space="preserve">The </w:t>
      </w:r>
      <w:r w:rsidR="007F38D1">
        <w:rPr>
          <w:rFonts w:ascii="Arial" w:hAnsi="Arial" w:cs="Arial"/>
          <w:bCs/>
          <w:sz w:val="20"/>
          <w:szCs w:val="20"/>
        </w:rPr>
        <w:t>chart</w:t>
      </w:r>
      <w:r w:rsidRPr="00130B80">
        <w:rPr>
          <w:rFonts w:ascii="Arial" w:hAnsi="Arial" w:cs="Arial"/>
          <w:bCs/>
          <w:sz w:val="20"/>
          <w:szCs w:val="20"/>
        </w:rPr>
        <w:t xml:space="preserve"> below demonstrates that 75% of the highest-cost packages (over £1,500) are for clients with learning disabilities. </w:t>
      </w:r>
    </w:p>
    <w:p w14:paraId="3689B740" w14:textId="77777777" w:rsidR="00130B80" w:rsidRDefault="00130B80" w:rsidP="00D03EDA">
      <w:pPr>
        <w:spacing w:after="0" w:line="240" w:lineRule="auto"/>
        <w:textAlignment w:val="baseline"/>
        <w:rPr>
          <w:rFonts w:ascii="Arial" w:hAnsi="Arial" w:cs="Arial"/>
          <w:bCs/>
          <w:sz w:val="20"/>
          <w:szCs w:val="20"/>
        </w:rPr>
      </w:pPr>
    </w:p>
    <w:p w14:paraId="4D3C0B68" w14:textId="73312B9E" w:rsidR="00130B80" w:rsidRDefault="006566E8" w:rsidP="00D03EDA">
      <w:pPr>
        <w:spacing w:after="0" w:line="240" w:lineRule="auto"/>
        <w:textAlignment w:val="baseline"/>
        <w:rPr>
          <w:rFonts w:ascii="Arial" w:hAnsi="Arial" w:cs="Arial"/>
          <w:bCs/>
          <w:sz w:val="20"/>
          <w:szCs w:val="20"/>
        </w:rPr>
      </w:pPr>
      <w:r>
        <w:rPr>
          <w:noProof/>
        </w:rPr>
        <w:drawing>
          <wp:inline distT="0" distB="0" distL="0" distR="0" wp14:anchorId="406340D6" wp14:editId="161CD71C">
            <wp:extent cx="5731510" cy="3719830"/>
            <wp:effectExtent l="0" t="0" r="2540" b="13970"/>
            <wp:docPr id="2112343202" name="Chart 1" descr="Chart showing data described in text">
              <a:extLst xmlns:a="http://schemas.openxmlformats.org/drawingml/2006/main">
                <a:ext uri="{FF2B5EF4-FFF2-40B4-BE49-F238E27FC236}">
                  <a16:creationId xmlns:a16="http://schemas.microsoft.com/office/drawing/2014/main" id="{6478E772-C66B-B7C3-0FD0-3C18D0763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1F9CED" w14:textId="77777777" w:rsidR="009A7882" w:rsidRDefault="009A7882" w:rsidP="00D03EDA">
      <w:pPr>
        <w:spacing w:after="0" w:line="240" w:lineRule="auto"/>
        <w:textAlignment w:val="baseline"/>
        <w:rPr>
          <w:rFonts w:ascii="Arial" w:hAnsi="Arial" w:cs="Arial"/>
          <w:bCs/>
          <w:sz w:val="20"/>
          <w:szCs w:val="20"/>
        </w:rPr>
      </w:pPr>
    </w:p>
    <w:p w14:paraId="69429066" w14:textId="77777777" w:rsidR="004C4604" w:rsidRDefault="004C4604" w:rsidP="00E742B5">
      <w:pPr>
        <w:spacing w:after="160" w:line="259" w:lineRule="auto"/>
        <w:rPr>
          <w:rFonts w:asciiTheme="minorBidi" w:eastAsia="Aptos" w:hAnsiTheme="minorBidi" w:cstheme="minorBidi"/>
          <w:b/>
          <w:bCs/>
          <w:kern w:val="2"/>
          <w:sz w:val="20"/>
          <w:szCs w:val="20"/>
          <w14:ligatures w14:val="standardContextual"/>
        </w:rPr>
      </w:pPr>
    </w:p>
    <w:p w14:paraId="5B8AC6EA" w14:textId="77777777" w:rsidR="004C4604" w:rsidRDefault="004C4604" w:rsidP="00E742B5">
      <w:pPr>
        <w:spacing w:after="160" w:line="259" w:lineRule="auto"/>
        <w:rPr>
          <w:rFonts w:asciiTheme="minorBidi" w:eastAsia="Aptos" w:hAnsiTheme="minorBidi" w:cstheme="minorBidi"/>
          <w:b/>
          <w:bCs/>
          <w:kern w:val="2"/>
          <w:sz w:val="20"/>
          <w:szCs w:val="20"/>
          <w14:ligatures w14:val="standardContextual"/>
        </w:rPr>
      </w:pPr>
    </w:p>
    <w:p w14:paraId="26B9CB67" w14:textId="77777777" w:rsidR="004C4604" w:rsidRDefault="004C4604" w:rsidP="00E742B5">
      <w:pPr>
        <w:spacing w:after="160" w:line="259" w:lineRule="auto"/>
        <w:rPr>
          <w:rFonts w:asciiTheme="minorBidi" w:eastAsia="Aptos" w:hAnsiTheme="minorBidi" w:cstheme="minorBidi"/>
          <w:b/>
          <w:bCs/>
          <w:kern w:val="2"/>
          <w:sz w:val="20"/>
          <w:szCs w:val="20"/>
          <w14:ligatures w14:val="standardContextual"/>
        </w:rPr>
      </w:pPr>
    </w:p>
    <w:p w14:paraId="20E651C0" w14:textId="40BCF1C7" w:rsidR="00E742B5" w:rsidRDefault="00E742B5" w:rsidP="00E742B5">
      <w:pPr>
        <w:spacing w:after="160" w:line="259" w:lineRule="auto"/>
        <w:rPr>
          <w:rFonts w:asciiTheme="minorBidi" w:eastAsia="Aptos" w:hAnsiTheme="minorBidi" w:cstheme="minorBidi"/>
          <w:b/>
          <w:bCs/>
          <w:kern w:val="2"/>
          <w:sz w:val="20"/>
          <w:szCs w:val="20"/>
          <w14:ligatures w14:val="standardContextual"/>
        </w:rPr>
      </w:pPr>
      <w:r w:rsidRPr="00E742B5">
        <w:rPr>
          <w:rFonts w:asciiTheme="minorBidi" w:eastAsia="Aptos" w:hAnsiTheme="minorBidi" w:cstheme="minorBidi"/>
          <w:b/>
          <w:bCs/>
          <w:kern w:val="2"/>
          <w:sz w:val="20"/>
          <w:szCs w:val="20"/>
          <w14:ligatures w14:val="standardContextual"/>
        </w:rPr>
        <w:t>Psychological therapies 18</w:t>
      </w:r>
      <w:r w:rsidR="008C208B" w:rsidRPr="00E742B5">
        <w:rPr>
          <w:rFonts w:asciiTheme="minorBidi" w:eastAsia="Aptos" w:hAnsiTheme="minorBidi" w:cstheme="minorBidi"/>
          <w:b/>
          <w:bCs/>
          <w:kern w:val="2"/>
          <w:sz w:val="20"/>
          <w:szCs w:val="20"/>
          <w14:ligatures w14:val="standardContextual"/>
        </w:rPr>
        <w:t>-</w:t>
      </w:r>
      <w:r w:rsidRPr="00E742B5">
        <w:rPr>
          <w:rFonts w:asciiTheme="minorBidi" w:eastAsia="Aptos" w:hAnsiTheme="minorBidi" w:cstheme="minorBidi"/>
          <w:b/>
          <w:bCs/>
          <w:kern w:val="2"/>
          <w:sz w:val="20"/>
          <w:szCs w:val="20"/>
          <w14:ligatures w14:val="standardContextual"/>
        </w:rPr>
        <w:t xml:space="preserve">week referral to treatment times </w:t>
      </w:r>
    </w:p>
    <w:p w14:paraId="3741790A" w14:textId="6F09DFF6" w:rsidR="00BA4F38" w:rsidRDefault="00FE3EE9" w:rsidP="00D03EDA">
      <w:pPr>
        <w:spacing w:after="0" w:line="240" w:lineRule="auto"/>
        <w:textAlignment w:val="baseline"/>
        <w:rPr>
          <w:rFonts w:ascii="Arial" w:hAnsi="Arial" w:cs="Arial"/>
          <w:bCs/>
          <w:sz w:val="20"/>
          <w:szCs w:val="20"/>
        </w:rPr>
      </w:pPr>
      <w:r w:rsidRPr="00FE3EE9">
        <w:rPr>
          <w:rFonts w:ascii="Aptos" w:eastAsia="Aptos" w:hAnsi="Aptos" w:cs="Arial"/>
          <w:noProof/>
          <w:kern w:val="2"/>
          <w14:ligatures w14:val="standardContextual"/>
        </w:rPr>
        <w:drawing>
          <wp:inline distT="0" distB="0" distL="0" distR="0" wp14:anchorId="68E1C7B1" wp14:editId="558E5853">
            <wp:extent cx="5717969" cy="2233295"/>
            <wp:effectExtent l="19050" t="19050" r="16510" b="14605"/>
            <wp:docPr id="1008845784" name="Picture 1" descr="Chart showing data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5784" name="Picture 1" descr="Chart showing data described in text"/>
                    <pic:cNvPicPr/>
                  </pic:nvPicPr>
                  <pic:blipFill>
                    <a:blip r:embed="rId48"/>
                    <a:stretch>
                      <a:fillRect/>
                    </a:stretch>
                  </pic:blipFill>
                  <pic:spPr>
                    <a:xfrm>
                      <a:off x="0" y="0"/>
                      <a:ext cx="5810686" cy="2269508"/>
                    </a:xfrm>
                    <a:prstGeom prst="rect">
                      <a:avLst/>
                    </a:prstGeom>
                    <a:ln>
                      <a:solidFill>
                        <a:schemeClr val="bg1">
                          <a:lumMod val="85000"/>
                        </a:schemeClr>
                      </a:solidFill>
                    </a:ln>
                  </pic:spPr>
                </pic:pic>
              </a:graphicData>
            </a:graphic>
          </wp:inline>
        </w:drawing>
      </w:r>
    </w:p>
    <w:p w14:paraId="20E92F2A" w14:textId="5B1B0952" w:rsidR="00D03EDA" w:rsidRDefault="00D03EDA" w:rsidP="00D03EDA">
      <w:pPr>
        <w:spacing w:after="0" w:line="240" w:lineRule="auto"/>
        <w:textAlignment w:val="baseline"/>
        <w:rPr>
          <w:rFonts w:ascii="Arial" w:hAnsi="Arial" w:cs="Arial"/>
          <w:bCs/>
          <w:sz w:val="20"/>
          <w:szCs w:val="20"/>
        </w:rPr>
      </w:pPr>
      <w:r>
        <w:rPr>
          <w:rFonts w:ascii="Arial" w:hAnsi="Arial" w:cs="Arial"/>
          <w:bCs/>
          <w:sz w:val="20"/>
          <w:szCs w:val="20"/>
        </w:rPr>
        <w:t xml:space="preserve"> </w:t>
      </w:r>
    </w:p>
    <w:p w14:paraId="26BDFFFF" w14:textId="3B1EBB96" w:rsidR="00496C6C" w:rsidRDefault="00136857" w:rsidP="001736ED">
      <w:pPr>
        <w:spacing w:after="0" w:line="240" w:lineRule="auto"/>
        <w:textAlignment w:val="baseline"/>
        <w:rPr>
          <w:rFonts w:ascii="Arial" w:hAnsi="Arial" w:cs="Arial"/>
          <w:bCs/>
          <w:sz w:val="20"/>
          <w:szCs w:val="20"/>
        </w:rPr>
      </w:pPr>
      <w:r>
        <w:rPr>
          <w:rFonts w:ascii="Arial" w:hAnsi="Arial" w:cs="Arial"/>
          <w:bCs/>
          <w:sz w:val="20"/>
          <w:szCs w:val="20"/>
        </w:rPr>
        <w:t xml:space="preserve">The </w:t>
      </w:r>
      <w:r w:rsidR="00986049">
        <w:rPr>
          <w:rFonts w:ascii="Arial" w:hAnsi="Arial" w:cs="Arial"/>
          <w:bCs/>
          <w:sz w:val="20"/>
          <w:szCs w:val="20"/>
        </w:rPr>
        <w:t xml:space="preserve">target time </w:t>
      </w:r>
      <w:r w:rsidR="002A2945">
        <w:rPr>
          <w:rFonts w:ascii="Arial" w:hAnsi="Arial" w:cs="Arial"/>
          <w:bCs/>
          <w:sz w:val="20"/>
          <w:szCs w:val="20"/>
        </w:rPr>
        <w:t xml:space="preserve">for people referred to </w:t>
      </w:r>
      <w:r w:rsidR="00566F32">
        <w:rPr>
          <w:rFonts w:ascii="Arial" w:hAnsi="Arial" w:cs="Arial"/>
          <w:bCs/>
          <w:sz w:val="20"/>
          <w:szCs w:val="20"/>
        </w:rPr>
        <w:t>Psych</w:t>
      </w:r>
      <w:r w:rsidR="00174493">
        <w:rPr>
          <w:rFonts w:ascii="Arial" w:hAnsi="Arial" w:cs="Arial"/>
          <w:bCs/>
          <w:sz w:val="20"/>
          <w:szCs w:val="20"/>
        </w:rPr>
        <w:t xml:space="preserve">ological </w:t>
      </w:r>
      <w:r w:rsidR="00CE6DC1">
        <w:rPr>
          <w:rFonts w:ascii="Arial" w:hAnsi="Arial" w:cs="Arial"/>
          <w:bCs/>
          <w:sz w:val="20"/>
          <w:szCs w:val="20"/>
        </w:rPr>
        <w:t xml:space="preserve">Therapies to be treated is 18 weeks. </w:t>
      </w:r>
      <w:r w:rsidR="00335886">
        <w:rPr>
          <w:rFonts w:ascii="Arial" w:hAnsi="Arial" w:cs="Arial"/>
          <w:bCs/>
          <w:sz w:val="20"/>
          <w:szCs w:val="20"/>
        </w:rPr>
        <w:t xml:space="preserve">The </w:t>
      </w:r>
      <w:r>
        <w:rPr>
          <w:rFonts w:ascii="Arial" w:hAnsi="Arial" w:cs="Arial"/>
          <w:bCs/>
          <w:sz w:val="20"/>
          <w:szCs w:val="20"/>
        </w:rPr>
        <w:t xml:space="preserve">above graph indicates </w:t>
      </w:r>
      <w:r w:rsidR="000856BD">
        <w:rPr>
          <w:rFonts w:ascii="Arial" w:hAnsi="Arial" w:cs="Arial"/>
          <w:bCs/>
          <w:sz w:val="20"/>
          <w:szCs w:val="20"/>
        </w:rPr>
        <w:t xml:space="preserve">the fluctuating </w:t>
      </w:r>
      <w:r w:rsidR="00572177">
        <w:rPr>
          <w:rFonts w:ascii="Arial" w:hAnsi="Arial" w:cs="Arial"/>
          <w:bCs/>
          <w:sz w:val="20"/>
          <w:szCs w:val="20"/>
        </w:rPr>
        <w:t xml:space="preserve">numbers of </w:t>
      </w:r>
      <w:r w:rsidR="00363A0E">
        <w:rPr>
          <w:rFonts w:ascii="Arial" w:hAnsi="Arial" w:cs="Arial"/>
          <w:bCs/>
          <w:sz w:val="20"/>
          <w:szCs w:val="20"/>
        </w:rPr>
        <w:t>treat</w:t>
      </w:r>
      <w:r w:rsidR="00F008DE">
        <w:rPr>
          <w:rFonts w:ascii="Arial" w:hAnsi="Arial" w:cs="Arial"/>
          <w:bCs/>
          <w:sz w:val="20"/>
          <w:szCs w:val="20"/>
        </w:rPr>
        <w:t xml:space="preserve">ments starts (green bars) and the </w:t>
      </w:r>
      <w:r w:rsidR="00496C6C">
        <w:rPr>
          <w:rFonts w:ascii="Arial" w:hAnsi="Arial" w:cs="Arial"/>
          <w:bCs/>
          <w:sz w:val="20"/>
          <w:szCs w:val="20"/>
        </w:rPr>
        <w:t xml:space="preserve">percentage of those </w:t>
      </w:r>
      <w:r w:rsidR="006E2887">
        <w:rPr>
          <w:rFonts w:ascii="Arial" w:hAnsi="Arial" w:cs="Arial"/>
          <w:bCs/>
          <w:sz w:val="20"/>
          <w:szCs w:val="20"/>
        </w:rPr>
        <w:t xml:space="preserve">that received treatment within </w:t>
      </w:r>
      <w:r w:rsidR="00F65D36">
        <w:rPr>
          <w:rFonts w:ascii="Arial" w:hAnsi="Arial" w:cs="Arial"/>
          <w:bCs/>
          <w:sz w:val="20"/>
          <w:szCs w:val="20"/>
        </w:rPr>
        <w:t>1</w:t>
      </w:r>
      <w:r w:rsidR="00786E73">
        <w:rPr>
          <w:rFonts w:ascii="Arial" w:hAnsi="Arial" w:cs="Arial"/>
          <w:bCs/>
          <w:sz w:val="20"/>
          <w:szCs w:val="20"/>
        </w:rPr>
        <w:t>8 weeks</w:t>
      </w:r>
      <w:r w:rsidR="00F57BDA">
        <w:rPr>
          <w:rFonts w:ascii="Arial" w:hAnsi="Arial" w:cs="Arial"/>
          <w:bCs/>
          <w:sz w:val="20"/>
          <w:szCs w:val="20"/>
        </w:rPr>
        <w:t xml:space="preserve"> (red</w:t>
      </w:r>
      <w:r w:rsidR="003F49BD">
        <w:rPr>
          <w:rFonts w:ascii="Arial" w:hAnsi="Arial" w:cs="Arial"/>
          <w:bCs/>
          <w:sz w:val="20"/>
          <w:szCs w:val="20"/>
        </w:rPr>
        <w:t xml:space="preserve"> bars)</w:t>
      </w:r>
      <w:r w:rsidR="00F65D36">
        <w:rPr>
          <w:rFonts w:ascii="Arial" w:hAnsi="Arial" w:cs="Arial"/>
          <w:bCs/>
          <w:sz w:val="20"/>
          <w:szCs w:val="20"/>
        </w:rPr>
        <w:t xml:space="preserve"> between June 2024 and </w:t>
      </w:r>
      <w:r w:rsidR="00F603A6">
        <w:rPr>
          <w:rFonts w:ascii="Arial" w:hAnsi="Arial" w:cs="Arial"/>
          <w:bCs/>
          <w:sz w:val="20"/>
          <w:szCs w:val="20"/>
        </w:rPr>
        <w:t>May 2026</w:t>
      </w:r>
      <w:r w:rsidR="00786E73">
        <w:rPr>
          <w:rFonts w:ascii="Arial" w:hAnsi="Arial" w:cs="Arial"/>
          <w:bCs/>
          <w:sz w:val="20"/>
          <w:szCs w:val="20"/>
        </w:rPr>
        <w:t>.</w:t>
      </w:r>
      <w:r w:rsidR="009C0108">
        <w:rPr>
          <w:rFonts w:ascii="Arial" w:hAnsi="Arial" w:cs="Arial"/>
          <w:bCs/>
          <w:sz w:val="20"/>
          <w:szCs w:val="20"/>
        </w:rPr>
        <w:t xml:space="preserve"> </w:t>
      </w:r>
      <w:r w:rsidR="00E2226D">
        <w:rPr>
          <w:rFonts w:ascii="Arial" w:hAnsi="Arial" w:cs="Arial"/>
          <w:bCs/>
          <w:sz w:val="20"/>
          <w:szCs w:val="20"/>
        </w:rPr>
        <w:t xml:space="preserve">Demand was high in the early part of </w:t>
      </w:r>
      <w:r w:rsidR="006866A0">
        <w:rPr>
          <w:rFonts w:ascii="Arial" w:hAnsi="Arial" w:cs="Arial"/>
          <w:bCs/>
          <w:sz w:val="20"/>
          <w:szCs w:val="20"/>
        </w:rPr>
        <w:t>2025/26</w:t>
      </w:r>
      <w:r w:rsidR="001736ED">
        <w:rPr>
          <w:rFonts w:ascii="Arial" w:hAnsi="Arial" w:cs="Arial"/>
          <w:bCs/>
          <w:sz w:val="20"/>
          <w:szCs w:val="20"/>
        </w:rPr>
        <w:t>.</w:t>
      </w:r>
    </w:p>
    <w:p w14:paraId="42FA4EA2" w14:textId="77777777" w:rsidR="00555220" w:rsidRDefault="00555220" w:rsidP="001736ED">
      <w:pPr>
        <w:spacing w:after="0" w:line="240" w:lineRule="auto"/>
        <w:textAlignment w:val="baseline"/>
        <w:rPr>
          <w:rFonts w:ascii="Arial" w:hAnsi="Arial" w:cs="Arial"/>
          <w:bCs/>
          <w:sz w:val="20"/>
          <w:szCs w:val="20"/>
        </w:rPr>
      </w:pPr>
    </w:p>
    <w:p w14:paraId="183D1916" w14:textId="77777777" w:rsidR="00F17E4A" w:rsidRPr="00F17E4A" w:rsidRDefault="00F17E4A" w:rsidP="00F17E4A">
      <w:pPr>
        <w:spacing w:after="160" w:line="259" w:lineRule="auto"/>
        <w:rPr>
          <w:rFonts w:ascii="Aptos" w:eastAsia="Aptos" w:hAnsi="Aptos" w:cs="Arial"/>
          <w:kern w:val="2"/>
          <w14:ligatures w14:val="standardContextual"/>
        </w:rPr>
      </w:pPr>
      <w:r w:rsidRPr="00F17E4A">
        <w:rPr>
          <w:rFonts w:ascii="Aptos" w:eastAsia="Aptos" w:hAnsi="Aptos" w:cs="Arial"/>
          <w:noProof/>
          <w:kern w:val="2"/>
          <w14:ligatures w14:val="standardContextual"/>
        </w:rPr>
        <w:drawing>
          <wp:inline distT="0" distB="0" distL="0" distR="0" wp14:anchorId="7AF81EE1" wp14:editId="2C2BAD82">
            <wp:extent cx="5711825" cy="1894098"/>
            <wp:effectExtent l="0" t="0" r="3175" b="11430"/>
            <wp:docPr id="1537815497" name="Chart 1" descr="Chart showing data described in text">
              <a:extLst xmlns:a="http://schemas.openxmlformats.org/drawingml/2006/main">
                <a:ext uri="{FF2B5EF4-FFF2-40B4-BE49-F238E27FC236}">
                  <a16:creationId xmlns:a16="http://schemas.microsoft.com/office/drawing/2014/main" id="{2977C16D-6DAF-05CC-8DC3-01C5B8B3B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971751" w14:textId="77777777" w:rsidR="002700F9" w:rsidRDefault="002700F9" w:rsidP="00D03EDA">
      <w:pPr>
        <w:spacing w:after="0" w:line="240" w:lineRule="auto"/>
        <w:textAlignment w:val="baseline"/>
        <w:rPr>
          <w:rFonts w:ascii="Arial" w:hAnsi="Arial" w:cs="Arial"/>
          <w:bCs/>
          <w:sz w:val="20"/>
          <w:szCs w:val="20"/>
        </w:rPr>
      </w:pPr>
    </w:p>
    <w:p w14:paraId="5478577D" w14:textId="4BCDE261" w:rsidR="005926D1" w:rsidRDefault="007C4DED" w:rsidP="00D03EDA">
      <w:pPr>
        <w:spacing w:after="0" w:line="240" w:lineRule="auto"/>
        <w:textAlignment w:val="baseline"/>
        <w:rPr>
          <w:rFonts w:ascii="Arial" w:hAnsi="Arial" w:cs="Arial"/>
          <w:bCs/>
          <w:sz w:val="20"/>
          <w:szCs w:val="20"/>
        </w:rPr>
      </w:pPr>
      <w:r>
        <w:rPr>
          <w:rFonts w:ascii="Arial" w:hAnsi="Arial" w:cs="Arial"/>
          <w:bCs/>
          <w:sz w:val="20"/>
          <w:szCs w:val="20"/>
        </w:rPr>
        <w:t>The graph above shows the</w:t>
      </w:r>
      <w:r w:rsidR="00794105">
        <w:rPr>
          <w:rFonts w:ascii="Arial" w:hAnsi="Arial" w:cs="Arial"/>
          <w:bCs/>
          <w:sz w:val="20"/>
          <w:szCs w:val="20"/>
        </w:rPr>
        <w:t xml:space="preserve"> consistently high percentage of referrals to the substance use service</w:t>
      </w:r>
      <w:r w:rsidR="00D659AD">
        <w:rPr>
          <w:rFonts w:ascii="Arial" w:hAnsi="Arial" w:cs="Arial"/>
          <w:bCs/>
          <w:sz w:val="20"/>
          <w:szCs w:val="20"/>
        </w:rPr>
        <w:t xml:space="preserve"> who started treatment </w:t>
      </w:r>
      <w:r w:rsidR="009144CE">
        <w:rPr>
          <w:rFonts w:ascii="Arial" w:hAnsi="Arial" w:cs="Arial"/>
          <w:bCs/>
          <w:sz w:val="20"/>
          <w:szCs w:val="20"/>
        </w:rPr>
        <w:t xml:space="preserve">within three weeks </w:t>
      </w:r>
      <w:r w:rsidR="000821D5">
        <w:rPr>
          <w:rFonts w:ascii="Arial" w:hAnsi="Arial" w:cs="Arial"/>
          <w:bCs/>
          <w:sz w:val="20"/>
          <w:szCs w:val="20"/>
        </w:rPr>
        <w:t>for drugs.</w:t>
      </w:r>
      <w:r w:rsidR="009C0108">
        <w:rPr>
          <w:rFonts w:ascii="Arial" w:hAnsi="Arial" w:cs="Arial"/>
          <w:bCs/>
          <w:sz w:val="20"/>
          <w:szCs w:val="20"/>
        </w:rPr>
        <w:t xml:space="preserve"> </w:t>
      </w:r>
      <w:r w:rsidR="00E021CF">
        <w:rPr>
          <w:rFonts w:ascii="Arial" w:hAnsi="Arial" w:cs="Arial"/>
          <w:bCs/>
          <w:sz w:val="20"/>
          <w:szCs w:val="20"/>
        </w:rPr>
        <w:t>Although a</w:t>
      </w:r>
      <w:r w:rsidR="00306F31">
        <w:rPr>
          <w:rFonts w:ascii="Arial" w:hAnsi="Arial" w:cs="Arial"/>
          <w:bCs/>
          <w:sz w:val="20"/>
          <w:szCs w:val="20"/>
        </w:rPr>
        <w:t>t a lower rate</w:t>
      </w:r>
      <w:r w:rsidR="00B05206">
        <w:rPr>
          <w:rFonts w:ascii="Arial" w:hAnsi="Arial" w:cs="Arial"/>
          <w:bCs/>
          <w:sz w:val="20"/>
          <w:szCs w:val="20"/>
        </w:rPr>
        <w:t>,</w:t>
      </w:r>
      <w:r w:rsidR="00306F31">
        <w:rPr>
          <w:rFonts w:ascii="Arial" w:hAnsi="Arial" w:cs="Arial"/>
          <w:bCs/>
          <w:sz w:val="20"/>
          <w:szCs w:val="20"/>
        </w:rPr>
        <w:t xml:space="preserve"> the </w:t>
      </w:r>
      <w:r w:rsidR="00C54850">
        <w:rPr>
          <w:rFonts w:ascii="Arial" w:hAnsi="Arial" w:cs="Arial"/>
          <w:bCs/>
          <w:sz w:val="20"/>
          <w:szCs w:val="20"/>
        </w:rPr>
        <w:t>percentage o</w:t>
      </w:r>
      <w:r w:rsidR="00B05206">
        <w:rPr>
          <w:rFonts w:ascii="Arial" w:hAnsi="Arial" w:cs="Arial"/>
          <w:bCs/>
          <w:sz w:val="20"/>
          <w:szCs w:val="20"/>
        </w:rPr>
        <w:t>f</w:t>
      </w:r>
      <w:r w:rsidR="00C54850">
        <w:rPr>
          <w:rFonts w:ascii="Arial" w:hAnsi="Arial" w:cs="Arial"/>
          <w:bCs/>
          <w:sz w:val="20"/>
          <w:szCs w:val="20"/>
        </w:rPr>
        <w:t xml:space="preserve"> referrals </w:t>
      </w:r>
      <w:r w:rsidR="00D85054">
        <w:rPr>
          <w:rFonts w:ascii="Arial" w:hAnsi="Arial" w:cs="Arial"/>
          <w:bCs/>
          <w:sz w:val="20"/>
          <w:szCs w:val="20"/>
        </w:rPr>
        <w:t xml:space="preserve">who started treatment for alcohol use </w:t>
      </w:r>
      <w:r w:rsidR="000556FB">
        <w:rPr>
          <w:rFonts w:ascii="Arial" w:hAnsi="Arial" w:cs="Arial"/>
          <w:bCs/>
          <w:sz w:val="20"/>
          <w:szCs w:val="20"/>
        </w:rPr>
        <w:t xml:space="preserve">within three weeks </w:t>
      </w:r>
      <w:r w:rsidR="00653D0F">
        <w:rPr>
          <w:rFonts w:ascii="Arial" w:hAnsi="Arial" w:cs="Arial"/>
          <w:bCs/>
          <w:sz w:val="20"/>
          <w:szCs w:val="20"/>
        </w:rPr>
        <w:t>increase between 2024/25 and 2025/26.</w:t>
      </w:r>
    </w:p>
    <w:p w14:paraId="3AA6CA70" w14:textId="77777777" w:rsidR="005926D1" w:rsidRDefault="005926D1" w:rsidP="00D03EDA">
      <w:pPr>
        <w:spacing w:after="0" w:line="240" w:lineRule="auto"/>
        <w:textAlignment w:val="baseline"/>
        <w:rPr>
          <w:rFonts w:ascii="Arial" w:hAnsi="Arial" w:cs="Arial"/>
          <w:bCs/>
          <w:sz w:val="20"/>
          <w:szCs w:val="20"/>
        </w:rPr>
      </w:pPr>
    </w:p>
    <w:p w14:paraId="6220215D" w14:textId="30E0FE08" w:rsidR="00B37BB8" w:rsidRPr="006C4359" w:rsidRDefault="009E23A9" w:rsidP="00B37BB8">
      <w:pPr>
        <w:spacing w:after="0" w:line="240" w:lineRule="auto"/>
        <w:textAlignment w:val="baseline"/>
        <w:rPr>
          <w:rFonts w:asciiTheme="minorBidi" w:hAnsiTheme="minorBidi" w:cstheme="minorBidi"/>
          <w:sz w:val="20"/>
          <w:szCs w:val="20"/>
          <w:highlight w:val="yellow"/>
        </w:rPr>
      </w:pPr>
      <w:r>
        <w:rPr>
          <w:rFonts w:ascii="Arial" w:hAnsi="Arial" w:cs="Arial"/>
          <w:bCs/>
          <w:sz w:val="20"/>
          <w:szCs w:val="20"/>
        </w:rPr>
        <w:t>Areas of underspends include the c</w:t>
      </w:r>
      <w:r w:rsidR="00B37BB8" w:rsidRPr="00A871D9">
        <w:rPr>
          <w:rFonts w:ascii="Arial" w:hAnsi="Arial" w:cs="Arial"/>
          <w:sz w:val="20"/>
          <w:szCs w:val="20"/>
        </w:rPr>
        <w:t xml:space="preserve">ommissioning budget for </w:t>
      </w:r>
      <w:r w:rsidR="00AA0D6D" w:rsidRPr="00A871D9">
        <w:rPr>
          <w:rFonts w:ascii="Arial" w:hAnsi="Arial" w:cs="Arial"/>
          <w:sz w:val="20"/>
          <w:szCs w:val="20"/>
        </w:rPr>
        <w:t>high-cost</w:t>
      </w:r>
      <w:r w:rsidR="00B37BB8" w:rsidRPr="00A871D9">
        <w:rPr>
          <w:rFonts w:ascii="Arial" w:hAnsi="Arial" w:cs="Arial"/>
          <w:sz w:val="20"/>
          <w:szCs w:val="20"/>
        </w:rPr>
        <w:t xml:space="preserve"> care packages in </w:t>
      </w:r>
      <w:r w:rsidR="006A5355">
        <w:rPr>
          <w:rFonts w:ascii="Arial" w:hAnsi="Arial" w:cs="Arial"/>
          <w:sz w:val="20"/>
          <w:szCs w:val="20"/>
        </w:rPr>
        <w:t>older people’s adult social work</w:t>
      </w:r>
      <w:r w:rsidR="003F0150">
        <w:rPr>
          <w:rFonts w:ascii="Arial" w:hAnsi="Arial" w:cs="Arial"/>
          <w:sz w:val="20"/>
          <w:szCs w:val="20"/>
        </w:rPr>
        <w:t>.</w:t>
      </w:r>
      <w:r w:rsidR="009C0108">
        <w:rPr>
          <w:rFonts w:ascii="Arial" w:hAnsi="Arial" w:cs="Arial"/>
          <w:sz w:val="20"/>
          <w:szCs w:val="20"/>
        </w:rPr>
        <w:t xml:space="preserve"> </w:t>
      </w:r>
      <w:r w:rsidR="003F0150">
        <w:rPr>
          <w:rFonts w:ascii="Arial" w:hAnsi="Arial" w:cs="Arial"/>
          <w:sz w:val="20"/>
          <w:szCs w:val="20"/>
        </w:rPr>
        <w:t xml:space="preserve">This is </w:t>
      </w:r>
      <w:r w:rsidR="0085020B">
        <w:rPr>
          <w:rFonts w:ascii="Arial" w:hAnsi="Arial" w:cs="Arial"/>
          <w:sz w:val="20"/>
          <w:szCs w:val="20"/>
        </w:rPr>
        <w:t xml:space="preserve">as a result of the </w:t>
      </w:r>
      <w:r w:rsidR="000E2A39">
        <w:rPr>
          <w:rFonts w:ascii="Arial" w:hAnsi="Arial" w:cs="Arial"/>
          <w:sz w:val="20"/>
          <w:szCs w:val="20"/>
        </w:rPr>
        <w:t>intensive</w:t>
      </w:r>
      <w:r w:rsidR="00E626A6">
        <w:rPr>
          <w:rFonts w:ascii="Arial" w:hAnsi="Arial" w:cs="Arial"/>
          <w:sz w:val="20"/>
          <w:szCs w:val="20"/>
        </w:rPr>
        <w:t xml:space="preserve"> review </w:t>
      </w:r>
      <w:r w:rsidR="006C46BE" w:rsidRPr="006C46BE">
        <w:rPr>
          <w:rFonts w:ascii="Arial" w:eastAsia="Arial" w:hAnsi="Arial" w:cs="Arial"/>
          <w:color w:val="000000" w:themeColor="text1"/>
          <w:sz w:val="20"/>
          <w:szCs w:val="20"/>
        </w:rPr>
        <w:t xml:space="preserve">of social care provision in line with Eligibility Criteria </w:t>
      </w:r>
      <w:r w:rsidR="00D85E81" w:rsidRPr="00D85E81">
        <w:rPr>
          <w:rFonts w:ascii="Arial" w:eastAsia="Arial" w:hAnsi="Arial" w:cs="Arial"/>
          <w:color w:val="000000" w:themeColor="text1"/>
          <w:sz w:val="20"/>
          <w:szCs w:val="20"/>
        </w:rPr>
        <w:t>undertaken at the beginning of 2025/26 to</w:t>
      </w:r>
      <w:r w:rsidR="006C46BE" w:rsidRPr="006C46BE">
        <w:rPr>
          <w:rFonts w:ascii="Arial" w:eastAsia="Arial" w:hAnsi="Arial" w:cs="Arial"/>
          <w:color w:val="000000" w:themeColor="text1"/>
          <w:sz w:val="20"/>
          <w:szCs w:val="20"/>
        </w:rPr>
        <w:t xml:space="preserve"> ensure the needs of the most vulnerable people were met</w:t>
      </w:r>
      <w:r w:rsidR="00D85E81">
        <w:rPr>
          <w:rFonts w:ascii="Arial" w:eastAsia="Arial" w:hAnsi="Arial" w:cs="Arial"/>
          <w:color w:val="000000" w:themeColor="text1"/>
          <w:sz w:val="20"/>
          <w:szCs w:val="20"/>
        </w:rPr>
        <w:t>.</w:t>
      </w:r>
      <w:r w:rsidR="009C0108">
        <w:rPr>
          <w:rFonts w:ascii="Arial" w:eastAsia="Arial" w:hAnsi="Arial" w:cs="Arial"/>
          <w:color w:val="000000" w:themeColor="text1"/>
          <w:sz w:val="20"/>
          <w:szCs w:val="20"/>
        </w:rPr>
        <w:t xml:space="preserve"> </w:t>
      </w:r>
      <w:r w:rsidR="00875B34">
        <w:rPr>
          <w:rFonts w:ascii="Arial" w:eastAsia="Arial" w:hAnsi="Arial" w:cs="Arial"/>
          <w:color w:val="000000" w:themeColor="text1"/>
          <w:sz w:val="20"/>
          <w:szCs w:val="20"/>
        </w:rPr>
        <w:t xml:space="preserve">Specialist Older Adult </w:t>
      </w:r>
      <w:r w:rsidR="00C54F13">
        <w:rPr>
          <w:rFonts w:ascii="Arial" w:eastAsia="Arial" w:hAnsi="Arial" w:cs="Arial"/>
          <w:color w:val="000000" w:themeColor="text1"/>
          <w:sz w:val="20"/>
          <w:szCs w:val="20"/>
        </w:rPr>
        <w:t xml:space="preserve">Rehabilitation </w:t>
      </w:r>
      <w:r w:rsidR="000C2886">
        <w:rPr>
          <w:rFonts w:ascii="Arial" w:eastAsia="Arial" w:hAnsi="Arial" w:cs="Arial"/>
          <w:color w:val="000000" w:themeColor="text1"/>
          <w:sz w:val="20"/>
          <w:szCs w:val="20"/>
        </w:rPr>
        <w:t xml:space="preserve">Services (SOARS) </w:t>
      </w:r>
      <w:r w:rsidR="008C4015">
        <w:rPr>
          <w:rFonts w:ascii="Arial" w:eastAsia="Arial" w:hAnsi="Arial" w:cs="Arial"/>
          <w:color w:val="000000" w:themeColor="text1"/>
          <w:sz w:val="20"/>
          <w:szCs w:val="20"/>
        </w:rPr>
        <w:t xml:space="preserve">was also an </w:t>
      </w:r>
      <w:r w:rsidR="008C4015" w:rsidRPr="006C4359">
        <w:rPr>
          <w:rFonts w:asciiTheme="minorBidi" w:eastAsia="Arial" w:hAnsiTheme="minorBidi" w:cstheme="minorBidi"/>
          <w:color w:val="000000" w:themeColor="text1"/>
          <w:sz w:val="20"/>
          <w:szCs w:val="20"/>
        </w:rPr>
        <w:t xml:space="preserve">area of </w:t>
      </w:r>
      <w:r w:rsidR="00F67788" w:rsidRPr="006C4359">
        <w:rPr>
          <w:rFonts w:asciiTheme="minorBidi" w:eastAsia="Arial" w:hAnsiTheme="minorBidi" w:cstheme="minorBidi"/>
          <w:color w:val="000000" w:themeColor="text1"/>
          <w:sz w:val="20"/>
          <w:szCs w:val="20"/>
        </w:rPr>
        <w:t>underspend,</w:t>
      </w:r>
      <w:r w:rsidR="008C4015" w:rsidRPr="006C4359">
        <w:rPr>
          <w:rFonts w:asciiTheme="minorBidi" w:eastAsia="Arial" w:hAnsiTheme="minorBidi" w:cstheme="minorBidi"/>
          <w:color w:val="000000" w:themeColor="text1"/>
          <w:sz w:val="20"/>
          <w:szCs w:val="20"/>
        </w:rPr>
        <w:t xml:space="preserve"> and this is </w:t>
      </w:r>
      <w:r w:rsidR="00C507FC" w:rsidRPr="006C4359">
        <w:rPr>
          <w:rFonts w:asciiTheme="minorBidi" w:eastAsia="Arial" w:hAnsiTheme="minorBidi" w:cstheme="minorBidi"/>
          <w:color w:val="000000" w:themeColor="text1"/>
          <w:sz w:val="20"/>
          <w:szCs w:val="20"/>
        </w:rPr>
        <w:t>linked to the r</w:t>
      </w:r>
      <w:r w:rsidR="008C4015" w:rsidRPr="006C4359">
        <w:rPr>
          <w:rFonts w:asciiTheme="minorBidi" w:eastAsia="Arial" w:hAnsiTheme="minorBidi" w:cstheme="minorBidi"/>
          <w:color w:val="000000" w:themeColor="text1"/>
          <w:sz w:val="20"/>
          <w:szCs w:val="20"/>
        </w:rPr>
        <w:t>edesign of step-down care</w:t>
      </w:r>
      <w:r w:rsidR="00942357" w:rsidRPr="006C4359">
        <w:rPr>
          <w:rFonts w:asciiTheme="minorBidi" w:eastAsia="Arial" w:hAnsiTheme="minorBidi" w:cstheme="minorBidi"/>
          <w:color w:val="000000" w:themeColor="text1"/>
          <w:sz w:val="20"/>
          <w:szCs w:val="20"/>
        </w:rPr>
        <w:t>,</w:t>
      </w:r>
      <w:r w:rsidR="008C4015" w:rsidRPr="006C4359">
        <w:rPr>
          <w:rFonts w:asciiTheme="minorBidi" w:eastAsia="Arial" w:hAnsiTheme="minorBidi" w:cstheme="minorBidi"/>
          <w:color w:val="000000" w:themeColor="text1"/>
          <w:sz w:val="20"/>
          <w:szCs w:val="20"/>
        </w:rPr>
        <w:t xml:space="preserve"> closing a bed-based facility and transferring care into the community</w:t>
      </w:r>
      <w:r w:rsidR="00192966" w:rsidRPr="006C4359">
        <w:rPr>
          <w:rFonts w:asciiTheme="minorBidi" w:eastAsia="Arial" w:hAnsiTheme="minorBidi" w:cstheme="minorBidi"/>
          <w:color w:val="000000" w:themeColor="text1"/>
          <w:sz w:val="20"/>
          <w:szCs w:val="20"/>
        </w:rPr>
        <w:t>.</w:t>
      </w:r>
      <w:r w:rsidR="009C0108" w:rsidRPr="006C4359">
        <w:rPr>
          <w:rFonts w:asciiTheme="minorBidi" w:eastAsia="Arial" w:hAnsiTheme="minorBidi" w:cstheme="minorBidi"/>
          <w:color w:val="000000" w:themeColor="text1"/>
          <w:sz w:val="20"/>
          <w:szCs w:val="20"/>
        </w:rPr>
        <w:t xml:space="preserve"> </w:t>
      </w:r>
      <w:r w:rsidR="008853E8" w:rsidRPr="006C4359">
        <w:rPr>
          <w:rFonts w:asciiTheme="minorBidi" w:eastAsia="Arial" w:hAnsiTheme="minorBidi" w:cstheme="minorBidi"/>
          <w:color w:val="000000" w:themeColor="text1"/>
          <w:sz w:val="20"/>
          <w:szCs w:val="20"/>
        </w:rPr>
        <w:t>The p</w:t>
      </w:r>
      <w:r w:rsidR="00B37BB8" w:rsidRPr="006C4359">
        <w:rPr>
          <w:rFonts w:asciiTheme="minorBidi" w:hAnsiTheme="minorBidi" w:cstheme="minorBidi"/>
          <w:sz w:val="20"/>
          <w:szCs w:val="20"/>
        </w:rPr>
        <w:t>rescribing</w:t>
      </w:r>
      <w:r w:rsidR="00D20A33" w:rsidRPr="006C4359">
        <w:rPr>
          <w:rFonts w:asciiTheme="minorBidi" w:hAnsiTheme="minorBidi" w:cstheme="minorBidi"/>
          <w:sz w:val="20"/>
          <w:szCs w:val="20"/>
        </w:rPr>
        <w:t xml:space="preserve"> </w:t>
      </w:r>
      <w:r w:rsidR="008853E8" w:rsidRPr="006C4359">
        <w:rPr>
          <w:rFonts w:asciiTheme="minorBidi" w:hAnsiTheme="minorBidi" w:cstheme="minorBidi"/>
          <w:sz w:val="20"/>
          <w:szCs w:val="20"/>
        </w:rPr>
        <w:t xml:space="preserve">budget also </w:t>
      </w:r>
      <w:r w:rsidR="00A02B33" w:rsidRPr="006C4359">
        <w:rPr>
          <w:rFonts w:asciiTheme="minorBidi" w:hAnsiTheme="minorBidi" w:cstheme="minorBidi"/>
          <w:sz w:val="20"/>
          <w:szCs w:val="20"/>
        </w:rPr>
        <w:t xml:space="preserve">delivered an underspend however this </w:t>
      </w:r>
      <w:r w:rsidR="00D20A33" w:rsidRPr="006C4359">
        <w:rPr>
          <w:rFonts w:asciiTheme="minorBidi" w:hAnsiTheme="minorBidi" w:cstheme="minorBidi"/>
          <w:sz w:val="20"/>
          <w:szCs w:val="20"/>
        </w:rPr>
        <w:t xml:space="preserve">reflects </w:t>
      </w:r>
      <w:r w:rsidR="006E408D" w:rsidRPr="006C4359">
        <w:rPr>
          <w:rFonts w:asciiTheme="minorBidi" w:hAnsiTheme="minorBidi" w:cstheme="minorBidi"/>
          <w:sz w:val="20"/>
          <w:szCs w:val="20"/>
        </w:rPr>
        <w:t xml:space="preserve">an </w:t>
      </w:r>
      <w:r w:rsidR="00D20A33" w:rsidRPr="006C4359">
        <w:rPr>
          <w:rFonts w:asciiTheme="minorBidi" w:hAnsiTheme="minorBidi" w:cstheme="minorBidi"/>
          <w:sz w:val="20"/>
          <w:szCs w:val="20"/>
        </w:rPr>
        <w:t xml:space="preserve">uplift </w:t>
      </w:r>
      <w:r w:rsidR="006E408D" w:rsidRPr="006C4359">
        <w:rPr>
          <w:rFonts w:asciiTheme="minorBidi" w:hAnsiTheme="minorBidi" w:cstheme="minorBidi"/>
          <w:sz w:val="20"/>
          <w:szCs w:val="20"/>
        </w:rPr>
        <w:t xml:space="preserve">in </w:t>
      </w:r>
      <w:r w:rsidR="00D20A33" w:rsidRPr="006C4359">
        <w:rPr>
          <w:rFonts w:asciiTheme="minorBidi" w:hAnsiTheme="minorBidi" w:cstheme="minorBidi"/>
          <w:sz w:val="20"/>
          <w:szCs w:val="20"/>
        </w:rPr>
        <w:t xml:space="preserve">funding allocation of £2.513m </w:t>
      </w:r>
      <w:r w:rsidR="001A7849" w:rsidRPr="006C4359">
        <w:rPr>
          <w:rFonts w:asciiTheme="minorBidi" w:hAnsiTheme="minorBidi" w:cstheme="minorBidi"/>
          <w:sz w:val="20"/>
          <w:szCs w:val="20"/>
        </w:rPr>
        <w:t xml:space="preserve">initially intended to </w:t>
      </w:r>
      <w:r w:rsidR="00D20A33" w:rsidRPr="006C4359">
        <w:rPr>
          <w:rFonts w:asciiTheme="minorBidi" w:hAnsiTheme="minorBidi" w:cstheme="minorBidi"/>
          <w:sz w:val="20"/>
          <w:szCs w:val="20"/>
        </w:rPr>
        <w:t>offset underlying cost pressures</w:t>
      </w:r>
      <w:r w:rsidR="001A7849" w:rsidRPr="006C4359">
        <w:rPr>
          <w:rFonts w:asciiTheme="minorBidi" w:hAnsiTheme="minorBidi" w:cstheme="minorBidi"/>
          <w:sz w:val="20"/>
          <w:szCs w:val="20"/>
        </w:rPr>
        <w:t xml:space="preserve"> which did not materialise to the </w:t>
      </w:r>
      <w:r w:rsidR="00FE6A1A" w:rsidRPr="006C4359">
        <w:rPr>
          <w:rFonts w:asciiTheme="minorBidi" w:hAnsiTheme="minorBidi" w:cstheme="minorBidi"/>
          <w:sz w:val="20"/>
          <w:szCs w:val="20"/>
        </w:rPr>
        <w:t>level of the original forecast.</w:t>
      </w:r>
    </w:p>
    <w:p w14:paraId="0506466E" w14:textId="19480310" w:rsidR="00B37BB8" w:rsidRPr="00846F46" w:rsidRDefault="00B37BB8" w:rsidP="00B37BB8">
      <w:pPr>
        <w:spacing w:after="0" w:line="240" w:lineRule="auto"/>
        <w:textAlignment w:val="baseline"/>
        <w:rPr>
          <w:rFonts w:ascii="Arial" w:hAnsi="Arial" w:cs="Arial"/>
          <w:sz w:val="20"/>
          <w:szCs w:val="20"/>
          <w:highlight w:val="yellow"/>
        </w:rPr>
      </w:pPr>
    </w:p>
    <w:p w14:paraId="5CC88CA7" w14:textId="433B4B0C" w:rsidR="00B37BB8" w:rsidRPr="00D005AE" w:rsidRDefault="00161A04" w:rsidP="00B37BB8">
      <w:pPr>
        <w:spacing w:after="0" w:line="240" w:lineRule="auto"/>
        <w:textAlignment w:val="baseline"/>
        <w:rPr>
          <w:rFonts w:ascii="Arial" w:eastAsia="Arial" w:hAnsi="Arial" w:cs="Arial"/>
          <w:color w:val="000000" w:themeColor="text1"/>
          <w:sz w:val="20"/>
          <w:szCs w:val="20"/>
          <w:u w:val="single"/>
        </w:rPr>
      </w:pPr>
      <w:r w:rsidRPr="00D005AE">
        <w:rPr>
          <w:rFonts w:ascii="Arial" w:eastAsia="Arial" w:hAnsi="Arial" w:cs="Arial"/>
          <w:color w:val="000000" w:themeColor="text1"/>
          <w:sz w:val="20"/>
          <w:szCs w:val="20"/>
          <w:u w:val="single"/>
        </w:rPr>
        <w:t>Wider Operational Performance</w:t>
      </w:r>
    </w:p>
    <w:p w14:paraId="6E7853E4" w14:textId="77777777" w:rsidR="00161A04" w:rsidRPr="00D005AE" w:rsidRDefault="00161A04" w:rsidP="00B37BB8">
      <w:pPr>
        <w:spacing w:after="0" w:line="240" w:lineRule="auto"/>
        <w:textAlignment w:val="baseline"/>
        <w:rPr>
          <w:rFonts w:ascii="Arial" w:hAnsi="Arial" w:cs="Arial"/>
          <w:sz w:val="20"/>
          <w:szCs w:val="20"/>
          <w:highlight w:val="yellow"/>
          <w:u w:val="single"/>
        </w:rPr>
      </w:pPr>
    </w:p>
    <w:p w14:paraId="58447F86" w14:textId="77777777" w:rsidR="00AF7AA0" w:rsidRDefault="002622BE" w:rsidP="007631F9">
      <w:pPr>
        <w:spacing w:after="0" w:line="240" w:lineRule="auto"/>
        <w:textAlignment w:val="baseline"/>
        <w:rPr>
          <w:rFonts w:ascii="Arial" w:hAnsi="Arial" w:cs="Arial"/>
          <w:sz w:val="20"/>
          <w:szCs w:val="20"/>
        </w:rPr>
      </w:pPr>
      <w:r>
        <w:rPr>
          <w:rFonts w:ascii="Arial" w:hAnsi="Arial" w:cs="Arial"/>
          <w:sz w:val="20"/>
          <w:szCs w:val="20"/>
        </w:rPr>
        <w:t xml:space="preserve">Aberdeen City IJB is committed to delivering on the </w:t>
      </w:r>
      <w:r w:rsidR="00D34D44">
        <w:rPr>
          <w:rFonts w:ascii="Arial" w:hAnsi="Arial" w:cs="Arial"/>
          <w:sz w:val="20"/>
          <w:szCs w:val="20"/>
        </w:rPr>
        <w:t xml:space="preserve">Planning and Delivery Principles </w:t>
      </w:r>
      <w:r w:rsidR="00BD7796">
        <w:rPr>
          <w:rFonts w:ascii="Arial" w:hAnsi="Arial" w:cs="Arial"/>
          <w:sz w:val="20"/>
          <w:szCs w:val="20"/>
        </w:rPr>
        <w:t xml:space="preserve">as set out by the Scottish Government when health and social care integration </w:t>
      </w:r>
      <w:r w:rsidR="00EF6C02">
        <w:rPr>
          <w:rFonts w:ascii="Arial" w:hAnsi="Arial" w:cs="Arial"/>
          <w:sz w:val="20"/>
          <w:szCs w:val="20"/>
        </w:rPr>
        <w:t>came into being.</w:t>
      </w:r>
      <w:r w:rsidR="007D3752">
        <w:rPr>
          <w:rFonts w:ascii="Arial" w:hAnsi="Arial" w:cs="Arial"/>
          <w:sz w:val="20"/>
          <w:szCs w:val="20"/>
        </w:rPr>
        <w:t xml:space="preserve"> </w:t>
      </w:r>
      <w:r w:rsidR="003D73E3">
        <w:rPr>
          <w:rFonts w:ascii="Arial" w:hAnsi="Arial" w:cs="Arial"/>
          <w:sz w:val="20"/>
          <w:szCs w:val="20"/>
        </w:rPr>
        <w:t xml:space="preserve">IJBs are held to account in relation to delivery </w:t>
      </w:r>
      <w:r w:rsidR="000B3E98">
        <w:rPr>
          <w:rFonts w:ascii="Arial" w:hAnsi="Arial" w:cs="Arial"/>
          <w:sz w:val="20"/>
          <w:szCs w:val="20"/>
        </w:rPr>
        <w:t xml:space="preserve">against the nine </w:t>
      </w:r>
      <w:r w:rsidR="00A930E0">
        <w:rPr>
          <w:rFonts w:ascii="Arial" w:hAnsi="Arial" w:cs="Arial"/>
          <w:sz w:val="20"/>
          <w:szCs w:val="20"/>
        </w:rPr>
        <w:t>N</w:t>
      </w:r>
      <w:r w:rsidR="000B3E98">
        <w:rPr>
          <w:rFonts w:ascii="Arial" w:hAnsi="Arial" w:cs="Arial"/>
          <w:sz w:val="20"/>
          <w:szCs w:val="20"/>
        </w:rPr>
        <w:t xml:space="preserve">ational </w:t>
      </w:r>
      <w:r w:rsidR="00A930E0">
        <w:rPr>
          <w:rFonts w:ascii="Arial" w:hAnsi="Arial" w:cs="Arial"/>
          <w:sz w:val="20"/>
          <w:szCs w:val="20"/>
        </w:rPr>
        <w:t>H</w:t>
      </w:r>
      <w:r w:rsidR="000B3E98">
        <w:rPr>
          <w:rFonts w:ascii="Arial" w:hAnsi="Arial" w:cs="Arial"/>
          <w:sz w:val="20"/>
          <w:szCs w:val="20"/>
        </w:rPr>
        <w:t xml:space="preserve">ealth and </w:t>
      </w:r>
      <w:r w:rsidR="00A930E0">
        <w:rPr>
          <w:rFonts w:ascii="Arial" w:hAnsi="Arial" w:cs="Arial"/>
          <w:sz w:val="20"/>
          <w:szCs w:val="20"/>
        </w:rPr>
        <w:t>W</w:t>
      </w:r>
      <w:r w:rsidR="000B3E98">
        <w:rPr>
          <w:rFonts w:ascii="Arial" w:hAnsi="Arial" w:cs="Arial"/>
          <w:sz w:val="20"/>
          <w:szCs w:val="20"/>
        </w:rPr>
        <w:t xml:space="preserve">ellbeing </w:t>
      </w:r>
      <w:r w:rsidR="00A930E0">
        <w:rPr>
          <w:rFonts w:ascii="Arial" w:hAnsi="Arial" w:cs="Arial"/>
          <w:sz w:val="20"/>
          <w:szCs w:val="20"/>
        </w:rPr>
        <w:t>O</w:t>
      </w:r>
      <w:r w:rsidR="000B3E98">
        <w:rPr>
          <w:rFonts w:ascii="Arial" w:hAnsi="Arial" w:cs="Arial"/>
          <w:sz w:val="20"/>
          <w:szCs w:val="20"/>
        </w:rPr>
        <w:t xml:space="preserve">utcomes which are measured </w:t>
      </w:r>
      <w:r w:rsidR="00C77A57">
        <w:rPr>
          <w:rFonts w:ascii="Arial" w:hAnsi="Arial" w:cs="Arial"/>
          <w:sz w:val="20"/>
          <w:szCs w:val="20"/>
        </w:rPr>
        <w:t>using a suite of National Indicators</w:t>
      </w:r>
      <w:r w:rsidR="00A930E0">
        <w:rPr>
          <w:rFonts w:ascii="Arial" w:hAnsi="Arial" w:cs="Arial"/>
          <w:sz w:val="20"/>
          <w:szCs w:val="20"/>
        </w:rPr>
        <w:t>,</w:t>
      </w:r>
      <w:r w:rsidR="006562BB">
        <w:rPr>
          <w:rFonts w:ascii="Arial" w:hAnsi="Arial" w:cs="Arial"/>
          <w:sz w:val="20"/>
          <w:szCs w:val="20"/>
        </w:rPr>
        <w:t xml:space="preserve"> </w:t>
      </w:r>
      <w:r w:rsidR="00A930E0">
        <w:rPr>
          <w:rFonts w:ascii="Arial" w:hAnsi="Arial" w:cs="Arial"/>
          <w:sz w:val="20"/>
          <w:szCs w:val="20"/>
        </w:rPr>
        <w:t>as well as</w:t>
      </w:r>
      <w:r w:rsidR="006562BB">
        <w:rPr>
          <w:rFonts w:ascii="Arial" w:hAnsi="Arial" w:cs="Arial"/>
          <w:sz w:val="20"/>
          <w:szCs w:val="20"/>
        </w:rPr>
        <w:t xml:space="preserve"> a set </w:t>
      </w:r>
      <w:r w:rsidR="00A930E0">
        <w:rPr>
          <w:rFonts w:ascii="Arial" w:hAnsi="Arial" w:cs="Arial"/>
          <w:sz w:val="20"/>
          <w:szCs w:val="20"/>
        </w:rPr>
        <w:t xml:space="preserve">of indicators </w:t>
      </w:r>
      <w:r w:rsidR="008B3205">
        <w:rPr>
          <w:rFonts w:ascii="Arial" w:hAnsi="Arial" w:cs="Arial"/>
          <w:sz w:val="20"/>
          <w:szCs w:val="20"/>
        </w:rPr>
        <w:t xml:space="preserve">prescribed by the </w:t>
      </w:r>
      <w:r w:rsidR="008B3205">
        <w:rPr>
          <w:rFonts w:ascii="Arial" w:hAnsi="Arial" w:cs="Arial"/>
          <w:sz w:val="20"/>
          <w:szCs w:val="20"/>
        </w:rPr>
        <w:lastRenderedPageBreak/>
        <w:t>Ministerial Steering Group (MSG).</w:t>
      </w:r>
      <w:r w:rsidR="007D3752">
        <w:rPr>
          <w:rFonts w:ascii="Arial" w:hAnsi="Arial" w:cs="Arial"/>
          <w:sz w:val="20"/>
          <w:szCs w:val="20"/>
        </w:rPr>
        <w:t xml:space="preserve"> </w:t>
      </w:r>
      <w:r w:rsidR="008B3205">
        <w:rPr>
          <w:rFonts w:ascii="Arial" w:hAnsi="Arial" w:cs="Arial"/>
          <w:sz w:val="20"/>
          <w:szCs w:val="20"/>
        </w:rPr>
        <w:t xml:space="preserve">Most of the data in relation to </w:t>
      </w:r>
      <w:r w:rsidR="006D3401">
        <w:rPr>
          <w:rFonts w:ascii="Arial" w:hAnsi="Arial" w:cs="Arial"/>
          <w:sz w:val="20"/>
          <w:szCs w:val="20"/>
        </w:rPr>
        <w:t>th</w:t>
      </w:r>
      <w:r w:rsidR="0007219A">
        <w:rPr>
          <w:rFonts w:ascii="Arial" w:hAnsi="Arial" w:cs="Arial"/>
          <w:sz w:val="20"/>
          <w:szCs w:val="20"/>
        </w:rPr>
        <w:t>ese</w:t>
      </w:r>
      <w:r w:rsidR="006D3401">
        <w:rPr>
          <w:rFonts w:ascii="Arial" w:hAnsi="Arial" w:cs="Arial"/>
          <w:sz w:val="20"/>
          <w:szCs w:val="20"/>
        </w:rPr>
        <w:t xml:space="preserve"> indicators is provided by Public Health Scotland </w:t>
      </w:r>
      <w:r w:rsidR="0007219A">
        <w:rPr>
          <w:rFonts w:ascii="Arial" w:hAnsi="Arial" w:cs="Arial"/>
          <w:sz w:val="20"/>
          <w:szCs w:val="20"/>
        </w:rPr>
        <w:t xml:space="preserve">(PHS) and we are constrained by when </w:t>
      </w:r>
      <w:r w:rsidR="00134360">
        <w:rPr>
          <w:rFonts w:ascii="Arial" w:hAnsi="Arial" w:cs="Arial"/>
          <w:sz w:val="20"/>
          <w:szCs w:val="20"/>
        </w:rPr>
        <w:t>the data</w:t>
      </w:r>
      <w:r w:rsidR="0007219A">
        <w:rPr>
          <w:rFonts w:ascii="Arial" w:hAnsi="Arial" w:cs="Arial"/>
          <w:sz w:val="20"/>
          <w:szCs w:val="20"/>
        </w:rPr>
        <w:t xml:space="preserve"> is </w:t>
      </w:r>
      <w:r w:rsidR="00371AF9">
        <w:rPr>
          <w:rFonts w:ascii="Arial" w:hAnsi="Arial" w:cs="Arial"/>
          <w:sz w:val="20"/>
          <w:szCs w:val="20"/>
        </w:rPr>
        <w:t xml:space="preserve">made </w:t>
      </w:r>
      <w:r w:rsidR="0007219A">
        <w:rPr>
          <w:rFonts w:ascii="Arial" w:hAnsi="Arial" w:cs="Arial"/>
          <w:sz w:val="20"/>
          <w:szCs w:val="20"/>
        </w:rPr>
        <w:t xml:space="preserve">available </w:t>
      </w:r>
      <w:r w:rsidR="000641E1">
        <w:rPr>
          <w:rFonts w:ascii="Arial" w:hAnsi="Arial" w:cs="Arial"/>
          <w:sz w:val="20"/>
          <w:szCs w:val="20"/>
        </w:rPr>
        <w:t xml:space="preserve">for wider publication.   </w:t>
      </w:r>
      <w:r w:rsidR="008B3205">
        <w:rPr>
          <w:rFonts w:ascii="Arial" w:hAnsi="Arial" w:cs="Arial"/>
          <w:sz w:val="20"/>
          <w:szCs w:val="20"/>
        </w:rPr>
        <w:t>S</w:t>
      </w:r>
      <w:r w:rsidR="00C77A57">
        <w:rPr>
          <w:rFonts w:ascii="Arial" w:hAnsi="Arial" w:cs="Arial"/>
          <w:sz w:val="20"/>
          <w:szCs w:val="20"/>
        </w:rPr>
        <w:t xml:space="preserve">ome of </w:t>
      </w:r>
      <w:r w:rsidR="000641E1">
        <w:rPr>
          <w:rFonts w:ascii="Arial" w:hAnsi="Arial" w:cs="Arial"/>
          <w:sz w:val="20"/>
          <w:szCs w:val="20"/>
        </w:rPr>
        <w:t xml:space="preserve">the indicators </w:t>
      </w:r>
      <w:r w:rsidR="006562BB">
        <w:rPr>
          <w:rFonts w:ascii="Arial" w:hAnsi="Arial" w:cs="Arial"/>
          <w:sz w:val="20"/>
          <w:szCs w:val="20"/>
        </w:rPr>
        <w:t xml:space="preserve">are derived from the Health and Care Experience (HACE) Survey </w:t>
      </w:r>
      <w:r w:rsidR="00D4431A">
        <w:rPr>
          <w:rFonts w:ascii="Arial" w:hAnsi="Arial" w:cs="Arial"/>
          <w:sz w:val="20"/>
          <w:szCs w:val="20"/>
        </w:rPr>
        <w:t>which is undertaken every two years.</w:t>
      </w:r>
      <w:r w:rsidR="007D3752">
        <w:rPr>
          <w:rFonts w:ascii="Arial" w:hAnsi="Arial" w:cs="Arial"/>
          <w:sz w:val="20"/>
          <w:szCs w:val="20"/>
        </w:rPr>
        <w:t xml:space="preserve"> </w:t>
      </w:r>
      <w:r w:rsidR="001C71AA">
        <w:rPr>
          <w:rFonts w:ascii="Arial" w:hAnsi="Arial" w:cs="Arial"/>
          <w:sz w:val="20"/>
          <w:szCs w:val="20"/>
        </w:rPr>
        <w:t>T</w:t>
      </w:r>
      <w:r w:rsidR="00D4431A" w:rsidRPr="001C71AA">
        <w:rPr>
          <w:rFonts w:ascii="Arial" w:hAnsi="Arial" w:cs="Arial"/>
          <w:sz w:val="20"/>
          <w:szCs w:val="20"/>
        </w:rPr>
        <w:t xml:space="preserve">he latest HACE Survey </w:t>
      </w:r>
      <w:r w:rsidR="003242FB">
        <w:rPr>
          <w:rFonts w:ascii="Arial" w:hAnsi="Arial" w:cs="Arial"/>
          <w:sz w:val="20"/>
          <w:szCs w:val="20"/>
        </w:rPr>
        <w:t>for 2025/26 was</w:t>
      </w:r>
      <w:r w:rsidR="00D4431A">
        <w:rPr>
          <w:rFonts w:ascii="Arial" w:hAnsi="Arial" w:cs="Arial"/>
          <w:sz w:val="20"/>
          <w:szCs w:val="20"/>
        </w:rPr>
        <w:t xml:space="preserve"> </w:t>
      </w:r>
      <w:r w:rsidR="00D4431A" w:rsidRPr="001C71AA">
        <w:rPr>
          <w:rFonts w:ascii="Arial" w:hAnsi="Arial" w:cs="Arial"/>
          <w:sz w:val="20"/>
          <w:szCs w:val="20"/>
        </w:rPr>
        <w:t>published on 26</w:t>
      </w:r>
      <w:r w:rsidR="00D4431A" w:rsidRPr="001C71AA">
        <w:rPr>
          <w:rFonts w:ascii="Arial" w:hAnsi="Arial" w:cs="Arial"/>
          <w:sz w:val="20"/>
          <w:szCs w:val="20"/>
          <w:vertAlign w:val="superscript"/>
        </w:rPr>
        <w:t>th</w:t>
      </w:r>
      <w:r w:rsidR="00D4431A" w:rsidRPr="001C71AA">
        <w:rPr>
          <w:rFonts w:ascii="Arial" w:hAnsi="Arial" w:cs="Arial"/>
          <w:sz w:val="20"/>
          <w:szCs w:val="20"/>
        </w:rPr>
        <w:t xml:space="preserve"> May 2026</w:t>
      </w:r>
      <w:r w:rsidR="0041164A">
        <w:rPr>
          <w:rFonts w:ascii="Arial" w:hAnsi="Arial" w:cs="Arial"/>
          <w:sz w:val="20"/>
          <w:szCs w:val="20"/>
        </w:rPr>
        <w:t xml:space="preserve"> and PHS will include these in their national publication on 7</w:t>
      </w:r>
      <w:r w:rsidR="0041164A" w:rsidRPr="0041164A">
        <w:rPr>
          <w:rFonts w:ascii="Arial" w:hAnsi="Arial" w:cs="Arial"/>
          <w:sz w:val="20"/>
          <w:szCs w:val="20"/>
          <w:vertAlign w:val="superscript"/>
        </w:rPr>
        <w:t>th</w:t>
      </w:r>
      <w:r w:rsidR="0041164A">
        <w:rPr>
          <w:rFonts w:ascii="Arial" w:hAnsi="Arial" w:cs="Arial"/>
          <w:sz w:val="20"/>
          <w:szCs w:val="20"/>
        </w:rPr>
        <w:t xml:space="preserve"> July 2026</w:t>
      </w:r>
      <w:r w:rsidR="00D4431A" w:rsidRPr="001C71AA">
        <w:rPr>
          <w:rFonts w:ascii="Arial" w:hAnsi="Arial" w:cs="Arial"/>
          <w:sz w:val="20"/>
          <w:szCs w:val="20"/>
        </w:rPr>
        <w:t>.</w:t>
      </w:r>
      <w:r w:rsidR="00D4431A">
        <w:rPr>
          <w:rFonts w:ascii="Arial" w:hAnsi="Arial" w:cs="Arial"/>
          <w:sz w:val="20"/>
          <w:szCs w:val="20"/>
        </w:rPr>
        <w:t xml:space="preserve"> </w:t>
      </w:r>
    </w:p>
    <w:p w14:paraId="7B1DFFAA" w14:textId="77777777" w:rsidR="00AF7AA0" w:rsidRDefault="00AF7AA0" w:rsidP="007631F9">
      <w:pPr>
        <w:spacing w:after="0" w:line="240" w:lineRule="auto"/>
        <w:textAlignment w:val="baseline"/>
        <w:rPr>
          <w:rFonts w:ascii="Arial" w:hAnsi="Arial" w:cs="Arial"/>
          <w:sz w:val="20"/>
          <w:szCs w:val="20"/>
        </w:rPr>
      </w:pPr>
    </w:p>
    <w:p w14:paraId="03790DE0" w14:textId="375B818E" w:rsidR="00D4431A" w:rsidRDefault="0013678A" w:rsidP="007631F9">
      <w:pPr>
        <w:spacing w:after="0" w:line="240" w:lineRule="auto"/>
        <w:textAlignment w:val="baseline"/>
        <w:rPr>
          <w:rFonts w:ascii="Arial" w:hAnsi="Arial" w:cs="Arial"/>
          <w:sz w:val="20"/>
          <w:szCs w:val="20"/>
        </w:rPr>
      </w:pPr>
      <w:r>
        <w:rPr>
          <w:rFonts w:ascii="Arial" w:hAnsi="Arial" w:cs="Arial"/>
          <w:sz w:val="20"/>
          <w:szCs w:val="20"/>
        </w:rPr>
        <w:t xml:space="preserve">In addition to national data the Aberdeen </w:t>
      </w:r>
      <w:r w:rsidR="001A65DA">
        <w:rPr>
          <w:rFonts w:ascii="Arial" w:hAnsi="Arial" w:cs="Arial"/>
          <w:sz w:val="20"/>
          <w:szCs w:val="20"/>
        </w:rPr>
        <w:t>C</w:t>
      </w:r>
      <w:r>
        <w:rPr>
          <w:rFonts w:ascii="Arial" w:hAnsi="Arial" w:cs="Arial"/>
          <w:sz w:val="20"/>
          <w:szCs w:val="20"/>
        </w:rPr>
        <w:t xml:space="preserve">ity IJB has developed a suite of local performance indicators </w:t>
      </w:r>
      <w:r w:rsidR="00F97982">
        <w:rPr>
          <w:rFonts w:ascii="Arial" w:hAnsi="Arial" w:cs="Arial"/>
          <w:sz w:val="20"/>
          <w:szCs w:val="20"/>
        </w:rPr>
        <w:t xml:space="preserve">mainly to assist </w:t>
      </w:r>
      <w:r w:rsidR="002C3428">
        <w:rPr>
          <w:rFonts w:ascii="Arial" w:hAnsi="Arial" w:cs="Arial"/>
          <w:sz w:val="20"/>
          <w:szCs w:val="20"/>
        </w:rPr>
        <w:t xml:space="preserve">with the management of </w:t>
      </w:r>
      <w:r w:rsidR="007D3752">
        <w:rPr>
          <w:rFonts w:ascii="Arial" w:hAnsi="Arial" w:cs="Arial"/>
          <w:sz w:val="20"/>
          <w:szCs w:val="20"/>
        </w:rPr>
        <w:t>day-to-day</w:t>
      </w:r>
      <w:r w:rsidR="001F0AB9">
        <w:rPr>
          <w:rFonts w:ascii="Arial" w:hAnsi="Arial" w:cs="Arial"/>
          <w:sz w:val="20"/>
          <w:szCs w:val="20"/>
        </w:rPr>
        <w:t xml:space="preserve"> operations and the identification of areas for improvement.   Some of these local indicators are relevant </w:t>
      </w:r>
      <w:r w:rsidR="00ED2DCC">
        <w:rPr>
          <w:rFonts w:ascii="Arial" w:hAnsi="Arial" w:cs="Arial"/>
          <w:sz w:val="20"/>
          <w:szCs w:val="20"/>
        </w:rPr>
        <w:t xml:space="preserve">indicators of overall performance of the IJB.   The availability of </w:t>
      </w:r>
      <w:r w:rsidR="00516C1C">
        <w:rPr>
          <w:rFonts w:ascii="Arial" w:hAnsi="Arial" w:cs="Arial"/>
          <w:sz w:val="20"/>
          <w:szCs w:val="20"/>
        </w:rPr>
        <w:t>good data remains an issue</w:t>
      </w:r>
      <w:r w:rsidR="00427BAD">
        <w:rPr>
          <w:rFonts w:ascii="Arial" w:hAnsi="Arial" w:cs="Arial"/>
          <w:sz w:val="20"/>
          <w:szCs w:val="20"/>
        </w:rPr>
        <w:t xml:space="preserve">.   A recent Audit Scotland report on Community Health and Social Care </w:t>
      </w:r>
      <w:r w:rsidR="00E26314">
        <w:rPr>
          <w:rFonts w:ascii="Arial" w:hAnsi="Arial" w:cs="Arial"/>
          <w:sz w:val="20"/>
          <w:szCs w:val="20"/>
        </w:rPr>
        <w:t>P</w:t>
      </w:r>
      <w:r w:rsidR="00427BAD">
        <w:rPr>
          <w:rFonts w:ascii="Arial" w:hAnsi="Arial" w:cs="Arial"/>
          <w:sz w:val="20"/>
          <w:szCs w:val="20"/>
        </w:rPr>
        <w:t xml:space="preserve">erformance </w:t>
      </w:r>
      <w:r w:rsidR="00E26314">
        <w:rPr>
          <w:rFonts w:ascii="Arial" w:hAnsi="Arial" w:cs="Arial"/>
          <w:sz w:val="20"/>
          <w:szCs w:val="20"/>
        </w:rPr>
        <w:t>(January 202</w:t>
      </w:r>
      <w:r w:rsidR="00302011">
        <w:rPr>
          <w:rFonts w:ascii="Arial" w:hAnsi="Arial" w:cs="Arial"/>
          <w:sz w:val="20"/>
          <w:szCs w:val="20"/>
        </w:rPr>
        <w:t>6</w:t>
      </w:r>
      <w:r w:rsidR="00E26314">
        <w:rPr>
          <w:rFonts w:ascii="Arial" w:hAnsi="Arial" w:cs="Arial"/>
          <w:sz w:val="20"/>
          <w:szCs w:val="20"/>
        </w:rPr>
        <w:t>) concluded that there is a</w:t>
      </w:r>
      <w:r w:rsidR="00516C1C">
        <w:rPr>
          <w:rFonts w:ascii="Arial" w:hAnsi="Arial" w:cs="Arial"/>
          <w:sz w:val="20"/>
          <w:szCs w:val="20"/>
        </w:rPr>
        <w:t xml:space="preserve"> </w:t>
      </w:r>
      <w:r w:rsidR="00427BAD" w:rsidRPr="00427BAD">
        <w:rPr>
          <w:rFonts w:ascii="Arial" w:hAnsi="Arial" w:cs="Arial"/>
          <w:sz w:val="20"/>
          <w:szCs w:val="20"/>
        </w:rPr>
        <w:t>lack of comprehensive and consistent national performance</w:t>
      </w:r>
      <w:r w:rsidR="00E26314">
        <w:rPr>
          <w:rFonts w:ascii="Arial" w:hAnsi="Arial" w:cs="Arial"/>
          <w:sz w:val="20"/>
          <w:szCs w:val="20"/>
        </w:rPr>
        <w:t xml:space="preserve"> </w:t>
      </w:r>
      <w:r w:rsidR="00427BAD" w:rsidRPr="00427BAD">
        <w:rPr>
          <w:rFonts w:ascii="Arial" w:hAnsi="Arial" w:cs="Arial"/>
          <w:sz w:val="20"/>
          <w:szCs w:val="20"/>
        </w:rPr>
        <w:t>information about community health and social care demand, workload, quality of care and outcomes</w:t>
      </w:r>
      <w:r w:rsidR="00E26314">
        <w:rPr>
          <w:rFonts w:ascii="Arial" w:hAnsi="Arial" w:cs="Arial"/>
          <w:sz w:val="20"/>
          <w:szCs w:val="20"/>
        </w:rPr>
        <w:t xml:space="preserve">.   </w:t>
      </w:r>
      <w:r w:rsidR="007631F9" w:rsidRPr="007631F9">
        <w:rPr>
          <w:rFonts w:ascii="Arial" w:hAnsi="Arial" w:cs="Arial"/>
          <w:sz w:val="20"/>
          <w:szCs w:val="20"/>
        </w:rPr>
        <w:t xml:space="preserve">The </w:t>
      </w:r>
      <w:r w:rsidR="007631F9">
        <w:rPr>
          <w:rFonts w:ascii="Arial" w:hAnsi="Arial" w:cs="Arial"/>
          <w:sz w:val="20"/>
          <w:szCs w:val="20"/>
        </w:rPr>
        <w:t xml:space="preserve">report </w:t>
      </w:r>
      <w:r w:rsidR="002C7FE3">
        <w:rPr>
          <w:rFonts w:ascii="Arial" w:hAnsi="Arial" w:cs="Arial"/>
          <w:sz w:val="20"/>
          <w:szCs w:val="20"/>
        </w:rPr>
        <w:t>confirmed</w:t>
      </w:r>
      <w:r w:rsidR="007631F9">
        <w:rPr>
          <w:rFonts w:ascii="Arial" w:hAnsi="Arial" w:cs="Arial"/>
          <w:sz w:val="20"/>
          <w:szCs w:val="20"/>
        </w:rPr>
        <w:t xml:space="preserve"> that </w:t>
      </w:r>
      <w:r w:rsidR="007631F9" w:rsidRPr="007631F9">
        <w:rPr>
          <w:rFonts w:ascii="Arial" w:hAnsi="Arial" w:cs="Arial"/>
          <w:sz w:val="20"/>
          <w:szCs w:val="20"/>
        </w:rPr>
        <w:t>limitations of the performance information make it difficult to fully assess the performance and progress of I</w:t>
      </w:r>
      <w:r w:rsidR="002C7FE3">
        <w:rPr>
          <w:rFonts w:ascii="Arial" w:hAnsi="Arial" w:cs="Arial"/>
          <w:sz w:val="20"/>
          <w:szCs w:val="20"/>
        </w:rPr>
        <w:t xml:space="preserve">ntegration </w:t>
      </w:r>
      <w:r w:rsidR="007631F9" w:rsidRPr="007631F9">
        <w:rPr>
          <w:rFonts w:ascii="Arial" w:hAnsi="Arial" w:cs="Arial"/>
          <w:sz w:val="20"/>
          <w:szCs w:val="20"/>
        </w:rPr>
        <w:t>A</w:t>
      </w:r>
      <w:r w:rsidR="002C7FE3">
        <w:rPr>
          <w:rFonts w:ascii="Arial" w:hAnsi="Arial" w:cs="Arial"/>
          <w:sz w:val="20"/>
          <w:szCs w:val="20"/>
        </w:rPr>
        <w:t>uthorities</w:t>
      </w:r>
      <w:r w:rsidR="007631F9" w:rsidRPr="007631F9">
        <w:rPr>
          <w:rFonts w:ascii="Arial" w:hAnsi="Arial" w:cs="Arial"/>
          <w:sz w:val="20"/>
          <w:szCs w:val="20"/>
        </w:rPr>
        <w:t xml:space="preserve"> and H</w:t>
      </w:r>
      <w:r w:rsidR="002C7FE3">
        <w:rPr>
          <w:rFonts w:ascii="Arial" w:hAnsi="Arial" w:cs="Arial"/>
          <w:sz w:val="20"/>
          <w:szCs w:val="20"/>
        </w:rPr>
        <w:t>ealth and Social Care Partnerships</w:t>
      </w:r>
      <w:r w:rsidR="007631F9" w:rsidRPr="007631F9">
        <w:rPr>
          <w:rFonts w:ascii="Arial" w:hAnsi="Arial" w:cs="Arial"/>
          <w:sz w:val="20"/>
          <w:szCs w:val="20"/>
        </w:rPr>
        <w:t xml:space="preserve"> towards improving the quality of life for people using health and social care services.</w:t>
      </w:r>
    </w:p>
    <w:p w14:paraId="272B09AD" w14:textId="77777777" w:rsidR="00D4431A" w:rsidRDefault="00D4431A" w:rsidP="00B37BB8">
      <w:pPr>
        <w:spacing w:after="0" w:line="240" w:lineRule="auto"/>
        <w:textAlignment w:val="baseline"/>
        <w:rPr>
          <w:rFonts w:ascii="Arial" w:hAnsi="Arial" w:cs="Arial"/>
          <w:sz w:val="20"/>
          <w:szCs w:val="20"/>
        </w:rPr>
      </w:pPr>
    </w:p>
    <w:p w14:paraId="35561493" w14:textId="755E16F2" w:rsidR="001E6D2A" w:rsidRDefault="00F1562D" w:rsidP="00B37BB8">
      <w:pPr>
        <w:spacing w:after="0" w:line="240" w:lineRule="auto"/>
        <w:textAlignment w:val="baseline"/>
        <w:rPr>
          <w:rFonts w:ascii="Arial" w:hAnsi="Arial" w:cs="Arial"/>
          <w:sz w:val="20"/>
          <w:szCs w:val="20"/>
        </w:rPr>
      </w:pPr>
      <w:r>
        <w:rPr>
          <w:rFonts w:ascii="Arial" w:hAnsi="Arial" w:cs="Arial"/>
          <w:sz w:val="20"/>
          <w:szCs w:val="20"/>
        </w:rPr>
        <w:t xml:space="preserve">In </w:t>
      </w:r>
      <w:r w:rsidR="004C173A">
        <w:rPr>
          <w:rFonts w:ascii="Arial" w:hAnsi="Arial" w:cs="Arial"/>
          <w:sz w:val="20"/>
          <w:szCs w:val="20"/>
        </w:rPr>
        <w:t>the</w:t>
      </w:r>
      <w:r>
        <w:rPr>
          <w:rFonts w:ascii="Arial" w:hAnsi="Arial" w:cs="Arial"/>
          <w:sz w:val="20"/>
          <w:szCs w:val="20"/>
        </w:rPr>
        <w:t xml:space="preserve"> latest Strategic </w:t>
      </w:r>
      <w:r w:rsidR="00721793">
        <w:rPr>
          <w:rFonts w:ascii="Arial" w:hAnsi="Arial" w:cs="Arial"/>
          <w:sz w:val="20"/>
          <w:szCs w:val="20"/>
        </w:rPr>
        <w:t>Plan,</w:t>
      </w:r>
      <w:r>
        <w:rPr>
          <w:rFonts w:ascii="Arial" w:hAnsi="Arial" w:cs="Arial"/>
          <w:sz w:val="20"/>
          <w:szCs w:val="20"/>
        </w:rPr>
        <w:t xml:space="preserve"> </w:t>
      </w:r>
      <w:r w:rsidR="00447CFA">
        <w:rPr>
          <w:rFonts w:ascii="Arial" w:hAnsi="Arial" w:cs="Arial"/>
          <w:sz w:val="20"/>
          <w:szCs w:val="20"/>
        </w:rPr>
        <w:t xml:space="preserve">Aberdeen City </w:t>
      </w:r>
      <w:r>
        <w:rPr>
          <w:rFonts w:ascii="Arial" w:hAnsi="Arial" w:cs="Arial"/>
          <w:sz w:val="20"/>
          <w:szCs w:val="20"/>
        </w:rPr>
        <w:t xml:space="preserve">IJB has committed to </w:t>
      </w:r>
      <w:r w:rsidR="008F20CC">
        <w:rPr>
          <w:rFonts w:ascii="Arial" w:hAnsi="Arial" w:cs="Arial"/>
          <w:sz w:val="20"/>
          <w:szCs w:val="20"/>
        </w:rPr>
        <w:t>eight key principles to service delivery (see</w:t>
      </w:r>
      <w:r w:rsidR="0011676B">
        <w:rPr>
          <w:rFonts w:ascii="Arial" w:hAnsi="Arial" w:cs="Arial"/>
          <w:sz w:val="20"/>
          <w:szCs w:val="20"/>
        </w:rPr>
        <w:t xml:space="preserve">1.3.1 Strategic Plan and Year 1 Delivery Plan on </w:t>
      </w:r>
      <w:r w:rsidR="008F20CC">
        <w:rPr>
          <w:rFonts w:ascii="Arial" w:hAnsi="Arial" w:cs="Arial"/>
          <w:sz w:val="20"/>
          <w:szCs w:val="20"/>
        </w:rPr>
        <w:t>page 9)</w:t>
      </w:r>
      <w:r w:rsidR="0011676B">
        <w:rPr>
          <w:rFonts w:ascii="Arial" w:hAnsi="Arial" w:cs="Arial"/>
          <w:sz w:val="20"/>
          <w:szCs w:val="20"/>
        </w:rPr>
        <w:t>.   Not all of these are</w:t>
      </w:r>
      <w:r w:rsidR="00F439CD">
        <w:rPr>
          <w:rFonts w:ascii="Arial" w:hAnsi="Arial" w:cs="Arial"/>
          <w:sz w:val="20"/>
          <w:szCs w:val="20"/>
        </w:rPr>
        <w:t xml:space="preserve"> measurable with data. </w:t>
      </w:r>
      <w:r w:rsidR="00447CFA">
        <w:rPr>
          <w:rFonts w:ascii="Arial" w:hAnsi="Arial" w:cs="Arial"/>
          <w:sz w:val="20"/>
          <w:szCs w:val="20"/>
        </w:rPr>
        <w:t>Together with</w:t>
      </w:r>
      <w:r w:rsidR="000B63D9">
        <w:rPr>
          <w:rFonts w:ascii="Arial" w:hAnsi="Arial" w:cs="Arial"/>
          <w:sz w:val="20"/>
          <w:szCs w:val="20"/>
        </w:rPr>
        <w:t xml:space="preserve"> some of the Integration Principles we have identified 10 </w:t>
      </w:r>
      <w:r w:rsidR="0013678A">
        <w:rPr>
          <w:rFonts w:ascii="Arial" w:hAnsi="Arial" w:cs="Arial"/>
          <w:sz w:val="20"/>
          <w:szCs w:val="20"/>
        </w:rPr>
        <w:t xml:space="preserve">key areas for performance reporting </w:t>
      </w:r>
      <w:r w:rsidR="000601F7">
        <w:rPr>
          <w:rFonts w:ascii="Arial" w:hAnsi="Arial" w:cs="Arial"/>
          <w:sz w:val="20"/>
          <w:szCs w:val="20"/>
        </w:rPr>
        <w:t xml:space="preserve">with a mix of </w:t>
      </w:r>
      <w:r w:rsidR="008601ED">
        <w:rPr>
          <w:rFonts w:ascii="Arial" w:hAnsi="Arial" w:cs="Arial"/>
          <w:sz w:val="20"/>
          <w:szCs w:val="20"/>
        </w:rPr>
        <w:t xml:space="preserve">available </w:t>
      </w:r>
      <w:r w:rsidR="000601F7">
        <w:rPr>
          <w:rFonts w:ascii="Arial" w:hAnsi="Arial" w:cs="Arial"/>
          <w:sz w:val="20"/>
          <w:szCs w:val="20"/>
        </w:rPr>
        <w:t xml:space="preserve">local and national performance </w:t>
      </w:r>
      <w:r w:rsidR="008601ED">
        <w:rPr>
          <w:rFonts w:ascii="Arial" w:hAnsi="Arial" w:cs="Arial"/>
          <w:sz w:val="20"/>
          <w:szCs w:val="20"/>
        </w:rPr>
        <w:t>data</w:t>
      </w:r>
      <w:r w:rsidR="000601F7">
        <w:rPr>
          <w:rFonts w:ascii="Arial" w:hAnsi="Arial" w:cs="Arial"/>
          <w:sz w:val="20"/>
          <w:szCs w:val="20"/>
        </w:rPr>
        <w:t xml:space="preserve"> </w:t>
      </w:r>
      <w:r w:rsidR="00E2429A">
        <w:rPr>
          <w:rFonts w:ascii="Arial" w:hAnsi="Arial" w:cs="Arial"/>
          <w:sz w:val="20"/>
          <w:szCs w:val="20"/>
        </w:rPr>
        <w:t>which we have deemed relevant to provide analysis of performance</w:t>
      </w:r>
      <w:r w:rsidR="00A745FF">
        <w:rPr>
          <w:rFonts w:ascii="Arial" w:hAnsi="Arial" w:cs="Arial"/>
          <w:sz w:val="20"/>
          <w:szCs w:val="20"/>
        </w:rPr>
        <w:t xml:space="preserve"> and inform future decision making in relation to strategic direction and </w:t>
      </w:r>
      <w:r w:rsidR="00F51BA6">
        <w:rPr>
          <w:rFonts w:ascii="Arial" w:hAnsi="Arial" w:cs="Arial"/>
          <w:sz w:val="20"/>
          <w:szCs w:val="20"/>
        </w:rPr>
        <w:t>transformation activity</w:t>
      </w:r>
      <w:r w:rsidR="008601ED">
        <w:rPr>
          <w:rFonts w:ascii="Arial" w:hAnsi="Arial" w:cs="Arial"/>
          <w:sz w:val="20"/>
          <w:szCs w:val="20"/>
        </w:rPr>
        <w:t>.</w:t>
      </w:r>
      <w:r w:rsidR="00CD70D2">
        <w:rPr>
          <w:rFonts w:ascii="Arial" w:hAnsi="Arial" w:cs="Arial"/>
          <w:sz w:val="20"/>
          <w:szCs w:val="20"/>
        </w:rPr>
        <w:t xml:space="preserve"> </w:t>
      </w:r>
      <w:r w:rsidR="00112A9C">
        <w:rPr>
          <w:rFonts w:ascii="Arial" w:hAnsi="Arial" w:cs="Arial"/>
          <w:sz w:val="20"/>
          <w:szCs w:val="20"/>
        </w:rPr>
        <w:t>Performance reporting against seven</w:t>
      </w:r>
      <w:r w:rsidR="005900F2">
        <w:rPr>
          <w:rFonts w:ascii="Arial" w:hAnsi="Arial" w:cs="Arial"/>
          <w:sz w:val="20"/>
          <w:szCs w:val="20"/>
        </w:rPr>
        <w:t xml:space="preserve"> of these areas</w:t>
      </w:r>
      <w:r w:rsidR="00112A9C">
        <w:rPr>
          <w:rFonts w:ascii="Arial" w:hAnsi="Arial" w:cs="Arial"/>
          <w:sz w:val="20"/>
          <w:szCs w:val="20"/>
        </w:rPr>
        <w:t xml:space="preserve"> is </w:t>
      </w:r>
      <w:r w:rsidR="00A75228">
        <w:rPr>
          <w:rFonts w:ascii="Arial" w:hAnsi="Arial" w:cs="Arial"/>
          <w:sz w:val="20"/>
          <w:szCs w:val="20"/>
        </w:rPr>
        <w:t xml:space="preserve">supported by national performance indicators and therefore </w:t>
      </w:r>
      <w:r w:rsidR="00977CE7">
        <w:rPr>
          <w:rFonts w:ascii="Arial" w:hAnsi="Arial" w:cs="Arial"/>
          <w:sz w:val="20"/>
          <w:szCs w:val="20"/>
        </w:rPr>
        <w:t>available for strategic benchmarking and analysis.</w:t>
      </w:r>
      <w:r w:rsidR="00CD70D2">
        <w:rPr>
          <w:rFonts w:ascii="Arial" w:hAnsi="Arial" w:cs="Arial"/>
          <w:sz w:val="20"/>
          <w:szCs w:val="20"/>
        </w:rPr>
        <w:t xml:space="preserve"> </w:t>
      </w:r>
      <w:r w:rsidR="008601ED">
        <w:rPr>
          <w:rFonts w:ascii="Arial" w:hAnsi="Arial" w:cs="Arial"/>
          <w:sz w:val="20"/>
          <w:szCs w:val="20"/>
        </w:rPr>
        <w:t xml:space="preserve">Our revised </w:t>
      </w:r>
      <w:r w:rsidR="00F51BA6">
        <w:rPr>
          <w:rFonts w:ascii="Arial" w:hAnsi="Arial" w:cs="Arial"/>
          <w:sz w:val="20"/>
          <w:szCs w:val="20"/>
        </w:rPr>
        <w:t>P</w:t>
      </w:r>
      <w:r w:rsidR="008601ED">
        <w:rPr>
          <w:rFonts w:ascii="Arial" w:hAnsi="Arial" w:cs="Arial"/>
          <w:sz w:val="20"/>
          <w:szCs w:val="20"/>
        </w:rPr>
        <w:t xml:space="preserve">erformance Framework is under development </w:t>
      </w:r>
      <w:r w:rsidR="00C52E70">
        <w:rPr>
          <w:rFonts w:ascii="Arial" w:hAnsi="Arial" w:cs="Arial"/>
          <w:sz w:val="20"/>
          <w:szCs w:val="20"/>
        </w:rPr>
        <w:t>and due to be</w:t>
      </w:r>
      <w:r w:rsidR="008601ED">
        <w:rPr>
          <w:rFonts w:ascii="Arial" w:hAnsi="Arial" w:cs="Arial"/>
          <w:sz w:val="20"/>
          <w:szCs w:val="20"/>
        </w:rPr>
        <w:t xml:space="preserve"> completed </w:t>
      </w:r>
      <w:r w:rsidR="00E7256A">
        <w:rPr>
          <w:rFonts w:ascii="Arial" w:hAnsi="Arial" w:cs="Arial"/>
          <w:sz w:val="20"/>
          <w:szCs w:val="20"/>
        </w:rPr>
        <w:t xml:space="preserve">by </w:t>
      </w:r>
      <w:r w:rsidR="00CA5CC0">
        <w:rPr>
          <w:rFonts w:ascii="Arial" w:hAnsi="Arial" w:cs="Arial"/>
          <w:sz w:val="20"/>
          <w:szCs w:val="20"/>
        </w:rPr>
        <w:t>September 2026.   T</w:t>
      </w:r>
      <w:r w:rsidR="008601ED">
        <w:rPr>
          <w:rFonts w:ascii="Arial" w:hAnsi="Arial" w:cs="Arial"/>
          <w:sz w:val="20"/>
          <w:szCs w:val="20"/>
        </w:rPr>
        <w:t xml:space="preserve">his will </w:t>
      </w:r>
      <w:r w:rsidR="0067283F">
        <w:rPr>
          <w:rFonts w:ascii="Arial" w:hAnsi="Arial" w:cs="Arial"/>
          <w:sz w:val="20"/>
          <w:szCs w:val="20"/>
        </w:rPr>
        <w:t xml:space="preserve">contain a narrative on the </w:t>
      </w:r>
      <w:r w:rsidR="00E56F64">
        <w:rPr>
          <w:rFonts w:ascii="Arial" w:hAnsi="Arial" w:cs="Arial"/>
          <w:sz w:val="20"/>
          <w:szCs w:val="20"/>
        </w:rPr>
        <w:t xml:space="preserve">definition, </w:t>
      </w:r>
      <w:r w:rsidR="0067283F">
        <w:rPr>
          <w:rFonts w:ascii="Arial" w:hAnsi="Arial" w:cs="Arial"/>
          <w:sz w:val="20"/>
          <w:szCs w:val="20"/>
        </w:rPr>
        <w:t>purpose, source</w:t>
      </w:r>
      <w:r w:rsidR="00E2429A">
        <w:rPr>
          <w:rFonts w:ascii="Arial" w:hAnsi="Arial" w:cs="Arial"/>
          <w:sz w:val="20"/>
          <w:szCs w:val="20"/>
        </w:rPr>
        <w:t xml:space="preserve"> </w:t>
      </w:r>
      <w:r w:rsidR="00E56F64">
        <w:rPr>
          <w:rFonts w:ascii="Arial" w:hAnsi="Arial" w:cs="Arial"/>
          <w:sz w:val="20"/>
          <w:szCs w:val="20"/>
        </w:rPr>
        <w:t>and calculation method of each of the indicators.</w:t>
      </w:r>
    </w:p>
    <w:p w14:paraId="5CB0BCF2" w14:textId="77777777" w:rsidR="001E6D2A" w:rsidRDefault="001E6D2A" w:rsidP="00B37BB8">
      <w:pPr>
        <w:spacing w:after="0" w:line="240" w:lineRule="auto"/>
        <w:textAlignment w:val="baseline"/>
        <w:rPr>
          <w:rFonts w:ascii="Arial" w:hAnsi="Arial" w:cs="Arial"/>
          <w:sz w:val="20"/>
          <w:szCs w:val="20"/>
        </w:rPr>
      </w:pPr>
    </w:p>
    <w:p w14:paraId="31552BB5" w14:textId="77777777" w:rsidR="00DD07AE" w:rsidRDefault="00F73BA3" w:rsidP="00F35D41">
      <w:pPr>
        <w:spacing w:after="0" w:line="240" w:lineRule="auto"/>
        <w:textAlignment w:val="baseline"/>
        <w:rPr>
          <w:rFonts w:ascii="Arial" w:hAnsi="Arial" w:cs="Arial"/>
          <w:sz w:val="20"/>
          <w:szCs w:val="20"/>
        </w:rPr>
      </w:pPr>
      <w:r w:rsidRPr="002F3DB6">
        <w:rPr>
          <w:rFonts w:ascii="Arial" w:hAnsi="Arial" w:cs="Arial"/>
          <w:sz w:val="20"/>
          <w:szCs w:val="20"/>
        </w:rPr>
        <w:t xml:space="preserve">The Key Temperature Check against the </w:t>
      </w:r>
      <w:r w:rsidR="005A0DFE" w:rsidRPr="002F3DB6">
        <w:rPr>
          <w:rFonts w:ascii="Arial" w:hAnsi="Arial" w:cs="Arial"/>
          <w:sz w:val="20"/>
          <w:szCs w:val="20"/>
        </w:rPr>
        <w:t>seven p</w:t>
      </w:r>
      <w:r w:rsidRPr="002F3DB6">
        <w:rPr>
          <w:rFonts w:ascii="Arial" w:hAnsi="Arial" w:cs="Arial"/>
          <w:sz w:val="20"/>
          <w:szCs w:val="20"/>
        </w:rPr>
        <w:t>rinciples</w:t>
      </w:r>
      <w:r w:rsidR="005A0DFE" w:rsidRPr="002F3DB6">
        <w:rPr>
          <w:rFonts w:ascii="Arial" w:hAnsi="Arial" w:cs="Arial"/>
          <w:sz w:val="20"/>
          <w:szCs w:val="20"/>
        </w:rPr>
        <w:t xml:space="preserve"> selected for reporting </w:t>
      </w:r>
      <w:r w:rsidR="00785821" w:rsidRPr="002F3DB6">
        <w:rPr>
          <w:rFonts w:ascii="Arial" w:hAnsi="Arial" w:cs="Arial"/>
          <w:sz w:val="20"/>
          <w:szCs w:val="20"/>
        </w:rPr>
        <w:t xml:space="preserve">is detailed below.   It shows the indicators under each </w:t>
      </w:r>
      <w:r w:rsidR="00B73E8F">
        <w:rPr>
          <w:rFonts w:ascii="Arial" w:hAnsi="Arial" w:cs="Arial"/>
          <w:sz w:val="20"/>
          <w:szCs w:val="20"/>
        </w:rPr>
        <w:t>p</w:t>
      </w:r>
      <w:r w:rsidR="00785821" w:rsidRPr="002F3DB6">
        <w:rPr>
          <w:rFonts w:ascii="Arial" w:hAnsi="Arial" w:cs="Arial"/>
          <w:sz w:val="20"/>
          <w:szCs w:val="20"/>
        </w:rPr>
        <w:t>rinciple with a comparison</w:t>
      </w:r>
      <w:r w:rsidR="00DA5A56" w:rsidRPr="002F3DB6">
        <w:rPr>
          <w:rFonts w:ascii="Arial" w:hAnsi="Arial" w:cs="Arial"/>
          <w:sz w:val="20"/>
          <w:szCs w:val="20"/>
        </w:rPr>
        <w:t xml:space="preserve"> against previous period</w:t>
      </w:r>
      <w:r w:rsidR="001F7604" w:rsidRPr="002F3DB6">
        <w:rPr>
          <w:rFonts w:ascii="Arial" w:hAnsi="Arial" w:cs="Arial"/>
          <w:sz w:val="20"/>
          <w:szCs w:val="20"/>
        </w:rPr>
        <w:t xml:space="preserve"> and </w:t>
      </w:r>
      <w:r w:rsidR="00DA5A56" w:rsidRPr="002F3DB6">
        <w:rPr>
          <w:rFonts w:ascii="Arial" w:hAnsi="Arial" w:cs="Arial"/>
          <w:sz w:val="20"/>
          <w:szCs w:val="20"/>
        </w:rPr>
        <w:t>the Scottish average (where this is available)</w:t>
      </w:r>
      <w:r w:rsidR="001F7604" w:rsidRPr="002F3DB6">
        <w:rPr>
          <w:rFonts w:ascii="Arial" w:hAnsi="Arial" w:cs="Arial"/>
          <w:sz w:val="20"/>
          <w:szCs w:val="20"/>
        </w:rPr>
        <w:t xml:space="preserve">.  </w:t>
      </w:r>
      <w:r w:rsidR="002F3DB6" w:rsidRPr="002F3DB6">
        <w:rPr>
          <w:rFonts w:ascii="Arial" w:hAnsi="Arial" w:cs="Arial"/>
          <w:sz w:val="20"/>
          <w:szCs w:val="20"/>
        </w:rPr>
        <w:t xml:space="preserve">Where </w:t>
      </w:r>
      <w:r w:rsidR="009A64B9">
        <w:rPr>
          <w:rFonts w:ascii="Arial" w:hAnsi="Arial" w:cs="Arial"/>
          <w:sz w:val="20"/>
          <w:szCs w:val="20"/>
        </w:rPr>
        <w:t>data</w:t>
      </w:r>
      <w:r w:rsidR="002F3DB6" w:rsidRPr="002F3DB6">
        <w:rPr>
          <w:rFonts w:ascii="Arial" w:hAnsi="Arial" w:cs="Arial"/>
          <w:sz w:val="20"/>
          <w:szCs w:val="20"/>
        </w:rPr>
        <w:t xml:space="preserve"> is not available the boxes are greyed out.   </w:t>
      </w:r>
      <w:r w:rsidR="001F7604" w:rsidRPr="002F3DB6">
        <w:rPr>
          <w:rFonts w:ascii="Arial" w:hAnsi="Arial" w:cs="Arial"/>
          <w:sz w:val="20"/>
          <w:szCs w:val="20"/>
        </w:rPr>
        <w:t xml:space="preserve"> </w:t>
      </w:r>
      <w:r w:rsidR="008B135D" w:rsidRPr="002F3DB6">
        <w:rPr>
          <w:rFonts w:ascii="Arial" w:hAnsi="Arial" w:cs="Arial"/>
          <w:sz w:val="20"/>
          <w:szCs w:val="20"/>
        </w:rPr>
        <w:t>A</w:t>
      </w:r>
      <w:r w:rsidR="001F7604" w:rsidRPr="002F3DB6">
        <w:rPr>
          <w:rFonts w:ascii="Arial" w:hAnsi="Arial" w:cs="Arial"/>
          <w:sz w:val="20"/>
          <w:szCs w:val="20"/>
        </w:rPr>
        <w:t xml:space="preserve"> RAG Status </w:t>
      </w:r>
      <w:r w:rsidR="008B135D" w:rsidRPr="002F3DB6">
        <w:rPr>
          <w:rFonts w:ascii="Arial" w:hAnsi="Arial" w:cs="Arial"/>
          <w:sz w:val="20"/>
          <w:szCs w:val="20"/>
        </w:rPr>
        <w:t xml:space="preserve">is also provided </w:t>
      </w:r>
      <w:r w:rsidR="001F7604" w:rsidRPr="002F3DB6">
        <w:rPr>
          <w:rFonts w:ascii="Arial" w:hAnsi="Arial" w:cs="Arial"/>
          <w:sz w:val="20"/>
          <w:szCs w:val="20"/>
        </w:rPr>
        <w:t>based on</w:t>
      </w:r>
      <w:r w:rsidR="008B135D" w:rsidRPr="002F3DB6">
        <w:rPr>
          <w:rFonts w:ascii="Arial" w:hAnsi="Arial" w:cs="Arial"/>
          <w:sz w:val="20"/>
          <w:szCs w:val="20"/>
        </w:rPr>
        <w:t xml:space="preserve"> these two comparisons.   If the </w:t>
      </w:r>
      <w:r w:rsidR="00A84232" w:rsidRPr="002F3DB6">
        <w:rPr>
          <w:rFonts w:ascii="Arial" w:hAnsi="Arial" w:cs="Arial"/>
          <w:sz w:val="20"/>
          <w:szCs w:val="20"/>
        </w:rPr>
        <w:t xml:space="preserve">performance is improved on previous period and better than the Scottish average the status is Green.   </w:t>
      </w:r>
      <w:r w:rsidR="000C7AC1" w:rsidRPr="002F3DB6">
        <w:rPr>
          <w:rFonts w:ascii="Arial" w:hAnsi="Arial" w:cs="Arial"/>
          <w:sz w:val="20"/>
          <w:szCs w:val="20"/>
        </w:rPr>
        <w:t xml:space="preserve">If performance is static or if it </w:t>
      </w:r>
      <w:r w:rsidR="00646632" w:rsidRPr="002F3DB6">
        <w:rPr>
          <w:rFonts w:ascii="Arial" w:hAnsi="Arial" w:cs="Arial"/>
          <w:sz w:val="20"/>
          <w:szCs w:val="20"/>
        </w:rPr>
        <w:t xml:space="preserve">is better against only one of the comparisons the status is Amber.   If </w:t>
      </w:r>
      <w:r w:rsidR="00BA411D" w:rsidRPr="002F3DB6">
        <w:rPr>
          <w:rFonts w:ascii="Arial" w:hAnsi="Arial" w:cs="Arial"/>
          <w:sz w:val="20"/>
          <w:szCs w:val="20"/>
        </w:rPr>
        <w:t xml:space="preserve">performance has worsened from </w:t>
      </w:r>
      <w:r w:rsidR="002F3DB6" w:rsidRPr="002F3DB6">
        <w:rPr>
          <w:rFonts w:ascii="Arial" w:hAnsi="Arial" w:cs="Arial"/>
          <w:sz w:val="20"/>
          <w:szCs w:val="20"/>
        </w:rPr>
        <w:t xml:space="preserve">the </w:t>
      </w:r>
      <w:r w:rsidR="00BA411D" w:rsidRPr="002F3DB6">
        <w:rPr>
          <w:rFonts w:ascii="Arial" w:hAnsi="Arial" w:cs="Arial"/>
          <w:sz w:val="20"/>
          <w:szCs w:val="20"/>
        </w:rPr>
        <w:t xml:space="preserve">previous period </w:t>
      </w:r>
      <w:r w:rsidR="002F3DB6" w:rsidRPr="002F3DB6">
        <w:rPr>
          <w:rFonts w:ascii="Arial" w:hAnsi="Arial" w:cs="Arial"/>
          <w:sz w:val="20"/>
          <w:szCs w:val="20"/>
        </w:rPr>
        <w:t>and</w:t>
      </w:r>
      <w:r w:rsidR="00BA411D" w:rsidRPr="002F3DB6">
        <w:rPr>
          <w:rFonts w:ascii="Arial" w:hAnsi="Arial" w:cs="Arial"/>
          <w:sz w:val="20"/>
          <w:szCs w:val="20"/>
        </w:rPr>
        <w:t xml:space="preserve"> </w:t>
      </w:r>
      <w:r w:rsidR="002F3DB6" w:rsidRPr="002F3DB6">
        <w:rPr>
          <w:rFonts w:ascii="Arial" w:hAnsi="Arial" w:cs="Arial"/>
          <w:sz w:val="20"/>
          <w:szCs w:val="20"/>
        </w:rPr>
        <w:t xml:space="preserve">does not compare favourably with the Scottish average the status is Red.  </w:t>
      </w:r>
    </w:p>
    <w:p w14:paraId="18AD175C" w14:textId="77777777" w:rsidR="00DD07AE" w:rsidRDefault="00DD07AE" w:rsidP="00F35D41">
      <w:pPr>
        <w:spacing w:after="0" w:line="240" w:lineRule="auto"/>
        <w:textAlignment w:val="baseline"/>
        <w:rPr>
          <w:rFonts w:ascii="Arial" w:hAnsi="Arial" w:cs="Arial"/>
          <w:sz w:val="20"/>
          <w:szCs w:val="20"/>
        </w:rPr>
      </w:pPr>
    </w:p>
    <w:p w14:paraId="387F502E" w14:textId="0C42B85A" w:rsidR="005A0DFE" w:rsidRPr="002F3DB6" w:rsidRDefault="00DD07AE" w:rsidP="00F35D41">
      <w:pPr>
        <w:spacing w:after="0" w:line="240" w:lineRule="auto"/>
        <w:textAlignment w:val="baseline"/>
        <w:rPr>
          <w:rFonts w:ascii="Arial" w:hAnsi="Arial" w:cs="Arial"/>
          <w:sz w:val="20"/>
          <w:szCs w:val="20"/>
        </w:rPr>
      </w:pPr>
      <w:r>
        <w:rPr>
          <w:rFonts w:ascii="Arial" w:hAnsi="Arial" w:cs="Arial"/>
          <w:sz w:val="20"/>
          <w:szCs w:val="20"/>
        </w:rPr>
        <w:t xml:space="preserve">The data shown below </w:t>
      </w:r>
      <w:r w:rsidR="00091C77">
        <w:rPr>
          <w:rFonts w:ascii="Arial" w:hAnsi="Arial" w:cs="Arial"/>
          <w:sz w:val="20"/>
          <w:szCs w:val="20"/>
        </w:rPr>
        <w:t xml:space="preserve">comes from a variety of sources </w:t>
      </w:r>
      <w:r w:rsidR="00DE7826">
        <w:rPr>
          <w:rFonts w:ascii="Arial" w:hAnsi="Arial" w:cs="Arial"/>
          <w:sz w:val="20"/>
          <w:szCs w:val="20"/>
        </w:rPr>
        <w:t xml:space="preserve">that report on varying timelines.   It </w:t>
      </w:r>
      <w:r w:rsidR="00C95B5D">
        <w:rPr>
          <w:rFonts w:ascii="Arial" w:hAnsi="Arial" w:cs="Arial"/>
          <w:sz w:val="20"/>
          <w:szCs w:val="20"/>
        </w:rPr>
        <w:t>is the latest available</w:t>
      </w:r>
      <w:r w:rsidR="006B233D">
        <w:rPr>
          <w:rFonts w:ascii="Arial" w:hAnsi="Arial" w:cs="Arial"/>
          <w:sz w:val="20"/>
          <w:szCs w:val="20"/>
        </w:rPr>
        <w:t xml:space="preserve">.   The National Indicators are from the July 2025 publication.   </w:t>
      </w:r>
      <w:r w:rsidR="00762885">
        <w:rPr>
          <w:rFonts w:ascii="Arial" w:hAnsi="Arial" w:cs="Arial"/>
          <w:sz w:val="20"/>
          <w:szCs w:val="20"/>
        </w:rPr>
        <w:t xml:space="preserve">The data and the commentary </w:t>
      </w:r>
      <w:r w:rsidR="00762885" w:rsidRPr="00762885">
        <w:rPr>
          <w:rFonts w:ascii="Arial" w:hAnsi="Arial" w:cs="Arial"/>
          <w:sz w:val="20"/>
          <w:szCs w:val="20"/>
        </w:rPr>
        <w:t>will be updated for the final Accounts following publication of the national indicators on 7th July 2026.</w:t>
      </w:r>
      <w:r w:rsidR="002F3DB6" w:rsidRPr="002F3DB6">
        <w:rPr>
          <w:rFonts w:ascii="Arial" w:hAnsi="Arial" w:cs="Arial"/>
          <w:sz w:val="20"/>
          <w:szCs w:val="20"/>
        </w:rPr>
        <w:t xml:space="preserve"> </w:t>
      </w:r>
      <w:r w:rsidR="000C7AC1" w:rsidRPr="002F3DB6">
        <w:rPr>
          <w:rFonts w:ascii="Arial" w:hAnsi="Arial" w:cs="Arial"/>
          <w:sz w:val="20"/>
          <w:szCs w:val="20"/>
        </w:rPr>
        <w:t xml:space="preserve"> </w:t>
      </w:r>
      <w:r w:rsidR="001F7604" w:rsidRPr="002F3DB6">
        <w:rPr>
          <w:rFonts w:ascii="Arial" w:hAnsi="Arial" w:cs="Arial"/>
          <w:sz w:val="20"/>
          <w:szCs w:val="20"/>
        </w:rPr>
        <w:t xml:space="preserve"> </w:t>
      </w:r>
      <w:r w:rsidR="00DA5A56" w:rsidRPr="002F3DB6">
        <w:rPr>
          <w:rFonts w:ascii="Arial" w:hAnsi="Arial" w:cs="Arial"/>
          <w:sz w:val="20"/>
          <w:szCs w:val="20"/>
        </w:rPr>
        <w:t xml:space="preserve"> </w:t>
      </w:r>
      <w:r w:rsidR="00785821" w:rsidRPr="002F3DB6">
        <w:rPr>
          <w:rFonts w:ascii="Arial" w:hAnsi="Arial" w:cs="Arial"/>
          <w:sz w:val="20"/>
          <w:szCs w:val="20"/>
        </w:rPr>
        <w:t xml:space="preserve"> </w:t>
      </w:r>
    </w:p>
    <w:p w14:paraId="69E3C4C1" w14:textId="77777777" w:rsidR="005A0DFE" w:rsidRDefault="005A0DFE" w:rsidP="00F35D41">
      <w:pPr>
        <w:spacing w:after="0" w:line="240" w:lineRule="auto"/>
        <w:textAlignment w:val="baseline"/>
        <w:rPr>
          <w:rFonts w:ascii="Arial" w:hAnsi="Arial" w:cs="Arial"/>
          <w:sz w:val="20"/>
          <w:szCs w:val="20"/>
          <w:highlight w:val="yellow"/>
        </w:rPr>
      </w:pPr>
    </w:p>
    <w:p w14:paraId="0499624A" w14:textId="77777777" w:rsidR="003A2EE3" w:rsidRPr="003A2EE3" w:rsidRDefault="003A2EE3" w:rsidP="003A2EE3">
      <w:pPr>
        <w:spacing w:after="160" w:line="259" w:lineRule="auto"/>
        <w:rPr>
          <w:rFonts w:ascii="Aptos" w:eastAsia="Aptos" w:hAnsi="Aptos" w:cs="Arial"/>
          <w:b/>
          <w:bCs/>
          <w:kern w:val="2"/>
          <w14:ligatures w14:val="standardContextual"/>
        </w:rPr>
      </w:pPr>
      <w:r w:rsidRPr="003A2EE3">
        <w:rPr>
          <w:rFonts w:ascii="Aptos" w:eastAsia="Aptos" w:hAnsi="Aptos" w:cs="Arial"/>
          <w:b/>
          <w:bCs/>
          <w:kern w:val="2"/>
          <w14:ligatures w14:val="standardContextual"/>
        </w:rPr>
        <w:t>Aberdeen City IJB Key Temperature Check against 7 Principles</w:t>
      </w:r>
    </w:p>
    <w:tbl>
      <w:tblPr>
        <w:tblStyle w:val="TableGrid6"/>
        <w:tblW w:w="0" w:type="auto"/>
        <w:tblLook w:val="04A0" w:firstRow="1" w:lastRow="0" w:firstColumn="1" w:lastColumn="0" w:noHBand="0" w:noVBand="1"/>
      </w:tblPr>
      <w:tblGrid>
        <w:gridCol w:w="4248"/>
        <w:gridCol w:w="992"/>
        <w:gridCol w:w="1276"/>
        <w:gridCol w:w="1276"/>
        <w:gridCol w:w="992"/>
      </w:tblGrid>
      <w:tr w:rsidR="003A2EE3" w:rsidRPr="002D524F" w14:paraId="73C4E09B" w14:textId="77777777" w:rsidTr="00F332D1">
        <w:trPr>
          <w:tblHeader/>
        </w:trPr>
        <w:tc>
          <w:tcPr>
            <w:tcW w:w="8784" w:type="dxa"/>
            <w:gridSpan w:val="5"/>
          </w:tcPr>
          <w:p w14:paraId="0B5C6CC1" w14:textId="77777777" w:rsidR="003A2EE3" w:rsidRPr="00BF65DA" w:rsidRDefault="003A2EE3" w:rsidP="003A2EE3">
            <w:pPr>
              <w:spacing w:after="0" w:line="240" w:lineRule="auto"/>
              <w:rPr>
                <w:rFonts w:ascii="Arial" w:hAnsi="Arial"/>
                <w:b/>
                <w:sz w:val="18"/>
                <w:szCs w:val="18"/>
              </w:rPr>
            </w:pPr>
            <w:r w:rsidRPr="00BF65DA">
              <w:rPr>
                <w:rFonts w:ascii="Arial" w:hAnsi="Arial"/>
                <w:b/>
                <w:sz w:val="18"/>
                <w:szCs w:val="18"/>
              </w:rPr>
              <w:t>Principle 1: Quality and Safety</w:t>
            </w:r>
          </w:p>
        </w:tc>
      </w:tr>
      <w:tr w:rsidR="003A2EE3" w:rsidRPr="002D524F" w14:paraId="00DA4E8D" w14:textId="77777777" w:rsidTr="00F332D1">
        <w:trPr>
          <w:tblHeader/>
        </w:trPr>
        <w:tc>
          <w:tcPr>
            <w:tcW w:w="4248" w:type="dxa"/>
          </w:tcPr>
          <w:p w14:paraId="62E998DC" w14:textId="77777777" w:rsidR="003A2EE3" w:rsidRPr="002D524F" w:rsidRDefault="003A2EE3" w:rsidP="003A2EE3">
            <w:pPr>
              <w:spacing w:after="0" w:line="240" w:lineRule="auto"/>
              <w:rPr>
                <w:rFonts w:ascii="Arial" w:hAnsi="Arial"/>
                <w:bCs/>
                <w:sz w:val="18"/>
                <w:szCs w:val="18"/>
              </w:rPr>
            </w:pPr>
            <w:r w:rsidRPr="002D524F">
              <w:rPr>
                <w:rFonts w:ascii="Arial" w:hAnsi="Arial"/>
                <w:bCs/>
                <w:sz w:val="18"/>
                <w:szCs w:val="18"/>
              </w:rPr>
              <w:t>Measure</w:t>
            </w:r>
          </w:p>
        </w:tc>
        <w:tc>
          <w:tcPr>
            <w:tcW w:w="992" w:type="dxa"/>
          </w:tcPr>
          <w:p w14:paraId="369A282F" w14:textId="77777777" w:rsidR="003A2EE3" w:rsidRPr="002D524F" w:rsidRDefault="003A2EE3" w:rsidP="002D524F">
            <w:pPr>
              <w:spacing w:after="0" w:line="240" w:lineRule="auto"/>
              <w:jc w:val="center"/>
              <w:rPr>
                <w:rFonts w:ascii="Arial" w:hAnsi="Arial"/>
                <w:bCs/>
                <w:sz w:val="18"/>
                <w:szCs w:val="18"/>
              </w:rPr>
            </w:pPr>
            <w:r w:rsidRPr="002D524F">
              <w:rPr>
                <w:rFonts w:ascii="Arial" w:hAnsi="Arial"/>
                <w:bCs/>
                <w:sz w:val="18"/>
                <w:szCs w:val="18"/>
              </w:rPr>
              <w:t>Scottish Average</w:t>
            </w:r>
          </w:p>
        </w:tc>
        <w:tc>
          <w:tcPr>
            <w:tcW w:w="1276" w:type="dxa"/>
          </w:tcPr>
          <w:p w14:paraId="53045B01" w14:textId="77777777" w:rsidR="003A2EE3" w:rsidRPr="002D524F" w:rsidRDefault="003A2EE3" w:rsidP="002D524F">
            <w:pPr>
              <w:spacing w:after="0" w:line="240" w:lineRule="auto"/>
              <w:jc w:val="center"/>
              <w:rPr>
                <w:rFonts w:ascii="Arial" w:hAnsi="Arial"/>
                <w:bCs/>
                <w:sz w:val="18"/>
                <w:szCs w:val="18"/>
              </w:rPr>
            </w:pPr>
            <w:r w:rsidRPr="002D524F">
              <w:rPr>
                <w:rFonts w:ascii="Arial" w:hAnsi="Arial"/>
                <w:bCs/>
                <w:sz w:val="18"/>
                <w:szCs w:val="18"/>
              </w:rPr>
              <w:t>Current Performance</w:t>
            </w:r>
          </w:p>
        </w:tc>
        <w:tc>
          <w:tcPr>
            <w:tcW w:w="1276" w:type="dxa"/>
          </w:tcPr>
          <w:p w14:paraId="69241D96" w14:textId="77777777" w:rsidR="003A2EE3" w:rsidRPr="002D524F" w:rsidRDefault="003A2EE3" w:rsidP="002D524F">
            <w:pPr>
              <w:spacing w:after="0" w:line="240" w:lineRule="auto"/>
              <w:jc w:val="center"/>
              <w:rPr>
                <w:rFonts w:ascii="Arial" w:hAnsi="Arial"/>
                <w:bCs/>
                <w:sz w:val="18"/>
                <w:szCs w:val="18"/>
              </w:rPr>
            </w:pPr>
            <w:r w:rsidRPr="002D524F">
              <w:rPr>
                <w:rFonts w:ascii="Arial" w:hAnsi="Arial"/>
                <w:bCs/>
                <w:sz w:val="18"/>
                <w:szCs w:val="18"/>
              </w:rPr>
              <w:t>Previous Performance</w:t>
            </w:r>
          </w:p>
        </w:tc>
        <w:tc>
          <w:tcPr>
            <w:tcW w:w="992" w:type="dxa"/>
          </w:tcPr>
          <w:p w14:paraId="298FF6BC" w14:textId="77777777" w:rsidR="003A2EE3" w:rsidRPr="002D524F" w:rsidRDefault="003A2EE3" w:rsidP="003A2EE3">
            <w:pPr>
              <w:spacing w:after="0" w:line="240" w:lineRule="auto"/>
              <w:rPr>
                <w:rFonts w:ascii="Arial" w:hAnsi="Arial"/>
                <w:bCs/>
                <w:sz w:val="18"/>
                <w:szCs w:val="18"/>
              </w:rPr>
            </w:pPr>
            <w:r w:rsidRPr="002D524F">
              <w:rPr>
                <w:rFonts w:ascii="Arial" w:hAnsi="Arial"/>
                <w:bCs/>
                <w:sz w:val="18"/>
                <w:szCs w:val="18"/>
              </w:rPr>
              <w:t xml:space="preserve">RAG </w:t>
            </w:r>
          </w:p>
          <w:p w14:paraId="12F94BB6" w14:textId="58896F21" w:rsidR="003A2EE3" w:rsidRPr="002D524F" w:rsidRDefault="003A2EE3" w:rsidP="003A2EE3">
            <w:pPr>
              <w:spacing w:after="0" w:line="240" w:lineRule="auto"/>
              <w:rPr>
                <w:rFonts w:ascii="Arial" w:hAnsi="Arial"/>
                <w:bCs/>
                <w:sz w:val="18"/>
                <w:szCs w:val="18"/>
              </w:rPr>
            </w:pPr>
            <w:r w:rsidRPr="002D524F">
              <w:rPr>
                <w:rFonts w:ascii="Arial" w:hAnsi="Arial"/>
                <w:bCs/>
                <w:sz w:val="18"/>
                <w:szCs w:val="18"/>
              </w:rPr>
              <w:t>S</w:t>
            </w:r>
            <w:r w:rsidR="00964F5F">
              <w:rPr>
                <w:rFonts w:ascii="Arial" w:hAnsi="Arial"/>
                <w:bCs/>
                <w:sz w:val="18"/>
                <w:szCs w:val="18"/>
              </w:rPr>
              <w:t>tatus</w:t>
            </w:r>
          </w:p>
        </w:tc>
      </w:tr>
      <w:tr w:rsidR="003A2EE3" w:rsidRPr="002D524F" w14:paraId="6D71EB5E" w14:textId="77777777" w:rsidTr="00F332D1">
        <w:tc>
          <w:tcPr>
            <w:tcW w:w="4248" w:type="dxa"/>
          </w:tcPr>
          <w:p w14:paraId="52042AFF"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NI-1: Percentage of adults able to look after their health very well or quite well</w:t>
            </w:r>
          </w:p>
        </w:tc>
        <w:tc>
          <w:tcPr>
            <w:tcW w:w="992" w:type="dxa"/>
          </w:tcPr>
          <w:p w14:paraId="04F26630"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90.7%</w:t>
            </w:r>
          </w:p>
        </w:tc>
        <w:tc>
          <w:tcPr>
            <w:tcW w:w="1276" w:type="dxa"/>
          </w:tcPr>
          <w:p w14:paraId="6246ED71"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90.4%</w:t>
            </w:r>
          </w:p>
        </w:tc>
        <w:tc>
          <w:tcPr>
            <w:tcW w:w="1276" w:type="dxa"/>
          </w:tcPr>
          <w:p w14:paraId="560FF61F"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94%</w:t>
            </w:r>
          </w:p>
        </w:tc>
        <w:tc>
          <w:tcPr>
            <w:tcW w:w="992" w:type="dxa"/>
            <w:shd w:val="clear" w:color="auto" w:fill="FFC000"/>
          </w:tcPr>
          <w:p w14:paraId="3D61D695" w14:textId="77777777" w:rsidR="003A2EE3" w:rsidRPr="002D524F" w:rsidRDefault="003A2EE3" w:rsidP="003A2EE3">
            <w:pPr>
              <w:spacing w:after="0" w:line="240" w:lineRule="auto"/>
              <w:rPr>
                <w:rFonts w:ascii="Arial" w:hAnsi="Arial"/>
                <w:sz w:val="18"/>
                <w:szCs w:val="18"/>
              </w:rPr>
            </w:pPr>
          </w:p>
        </w:tc>
      </w:tr>
      <w:tr w:rsidR="003A2EE3" w:rsidRPr="002D524F" w14:paraId="582320D6" w14:textId="77777777" w:rsidTr="00F332D1">
        <w:tc>
          <w:tcPr>
            <w:tcW w:w="4248" w:type="dxa"/>
          </w:tcPr>
          <w:p w14:paraId="465F5BCD"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NI-3: Percentage of adults supported at home who agree that they had a say in how their help, care or support was provided</w:t>
            </w:r>
          </w:p>
        </w:tc>
        <w:tc>
          <w:tcPr>
            <w:tcW w:w="992" w:type="dxa"/>
          </w:tcPr>
          <w:p w14:paraId="53519B9E"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59.6%</w:t>
            </w:r>
          </w:p>
        </w:tc>
        <w:tc>
          <w:tcPr>
            <w:tcW w:w="1276" w:type="dxa"/>
          </w:tcPr>
          <w:p w14:paraId="7CCBD58F"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56.5%</w:t>
            </w:r>
          </w:p>
        </w:tc>
        <w:tc>
          <w:tcPr>
            <w:tcW w:w="1276" w:type="dxa"/>
          </w:tcPr>
          <w:p w14:paraId="32CCD4FF"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66%</w:t>
            </w:r>
          </w:p>
        </w:tc>
        <w:tc>
          <w:tcPr>
            <w:tcW w:w="992" w:type="dxa"/>
            <w:shd w:val="clear" w:color="auto" w:fill="FFC000"/>
          </w:tcPr>
          <w:p w14:paraId="771412D3" w14:textId="77777777" w:rsidR="003A2EE3" w:rsidRPr="002D524F" w:rsidRDefault="003A2EE3" w:rsidP="003A2EE3">
            <w:pPr>
              <w:spacing w:after="0" w:line="240" w:lineRule="auto"/>
              <w:rPr>
                <w:rFonts w:ascii="Arial" w:hAnsi="Arial"/>
                <w:sz w:val="18"/>
                <w:szCs w:val="18"/>
              </w:rPr>
            </w:pPr>
          </w:p>
        </w:tc>
      </w:tr>
      <w:tr w:rsidR="003A2EE3" w:rsidRPr="002D524F" w14:paraId="248EA51B" w14:textId="77777777" w:rsidTr="00F332D1">
        <w:tc>
          <w:tcPr>
            <w:tcW w:w="4248" w:type="dxa"/>
          </w:tcPr>
          <w:p w14:paraId="56AF9911"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NI-4: Percentage of adults supported at home who agree that their health and social care services seemed to be well co-ordinated</w:t>
            </w:r>
          </w:p>
        </w:tc>
        <w:tc>
          <w:tcPr>
            <w:tcW w:w="992" w:type="dxa"/>
          </w:tcPr>
          <w:p w14:paraId="29900D86"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61.4%</w:t>
            </w:r>
          </w:p>
        </w:tc>
        <w:tc>
          <w:tcPr>
            <w:tcW w:w="1276" w:type="dxa"/>
          </w:tcPr>
          <w:p w14:paraId="16639A2F"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63.1%</w:t>
            </w:r>
          </w:p>
        </w:tc>
        <w:tc>
          <w:tcPr>
            <w:tcW w:w="1276" w:type="dxa"/>
          </w:tcPr>
          <w:p w14:paraId="061EC203"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71%</w:t>
            </w:r>
          </w:p>
        </w:tc>
        <w:tc>
          <w:tcPr>
            <w:tcW w:w="992" w:type="dxa"/>
            <w:shd w:val="clear" w:color="auto" w:fill="FFC000"/>
          </w:tcPr>
          <w:p w14:paraId="6505A4C2" w14:textId="77777777" w:rsidR="003A2EE3" w:rsidRPr="002D524F" w:rsidRDefault="003A2EE3" w:rsidP="003A2EE3">
            <w:pPr>
              <w:spacing w:after="0" w:line="240" w:lineRule="auto"/>
              <w:rPr>
                <w:rFonts w:ascii="Arial" w:hAnsi="Arial"/>
                <w:sz w:val="18"/>
                <w:szCs w:val="18"/>
              </w:rPr>
            </w:pPr>
          </w:p>
        </w:tc>
      </w:tr>
      <w:tr w:rsidR="003A2EE3" w:rsidRPr="002D524F" w14:paraId="4CE0EBFE" w14:textId="77777777" w:rsidTr="00F332D1">
        <w:tc>
          <w:tcPr>
            <w:tcW w:w="4248" w:type="dxa"/>
          </w:tcPr>
          <w:p w14:paraId="0F60D59A"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NI-5: Percentage of adults receiving any care or support who rate it as excellent or good</w:t>
            </w:r>
          </w:p>
        </w:tc>
        <w:tc>
          <w:tcPr>
            <w:tcW w:w="992" w:type="dxa"/>
          </w:tcPr>
          <w:p w14:paraId="10EF31CA"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70.0%</w:t>
            </w:r>
          </w:p>
        </w:tc>
        <w:tc>
          <w:tcPr>
            <w:tcW w:w="1276" w:type="dxa"/>
          </w:tcPr>
          <w:p w14:paraId="4355D8BE"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74.9%</w:t>
            </w:r>
          </w:p>
        </w:tc>
        <w:tc>
          <w:tcPr>
            <w:tcW w:w="1276" w:type="dxa"/>
          </w:tcPr>
          <w:p w14:paraId="4F68BA01"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77%</w:t>
            </w:r>
          </w:p>
        </w:tc>
        <w:tc>
          <w:tcPr>
            <w:tcW w:w="992" w:type="dxa"/>
            <w:shd w:val="clear" w:color="auto" w:fill="FFC000"/>
          </w:tcPr>
          <w:p w14:paraId="7FB48F0D" w14:textId="77777777" w:rsidR="003A2EE3" w:rsidRPr="002D524F" w:rsidRDefault="003A2EE3" w:rsidP="003A2EE3">
            <w:pPr>
              <w:spacing w:after="0" w:line="240" w:lineRule="auto"/>
              <w:rPr>
                <w:rFonts w:ascii="Arial" w:hAnsi="Arial"/>
                <w:sz w:val="18"/>
                <w:szCs w:val="18"/>
              </w:rPr>
            </w:pPr>
          </w:p>
        </w:tc>
      </w:tr>
      <w:tr w:rsidR="003A2EE3" w:rsidRPr="002D524F" w14:paraId="30E4794F" w14:textId="77777777" w:rsidTr="005E078E">
        <w:tc>
          <w:tcPr>
            <w:tcW w:w="4248" w:type="dxa"/>
          </w:tcPr>
          <w:p w14:paraId="6BCA5C4B"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NI-6: Percentage of people with positive experience of care at their GP practice</w:t>
            </w:r>
          </w:p>
        </w:tc>
        <w:tc>
          <w:tcPr>
            <w:tcW w:w="992" w:type="dxa"/>
          </w:tcPr>
          <w:p w14:paraId="4D438E19" w14:textId="3B7BA5D6"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w:t>
            </w:r>
            <w:r w:rsidR="00347632">
              <w:rPr>
                <w:rFonts w:ascii="Arial" w:hAnsi="Arial"/>
                <w:sz w:val="18"/>
                <w:szCs w:val="18"/>
              </w:rPr>
              <w:t>1</w:t>
            </w:r>
            <w:r w:rsidRPr="002D524F">
              <w:rPr>
                <w:rFonts w:ascii="Arial" w:hAnsi="Arial"/>
                <w:sz w:val="18"/>
                <w:szCs w:val="18"/>
              </w:rPr>
              <w:t>.0%</w:t>
            </w:r>
          </w:p>
        </w:tc>
        <w:tc>
          <w:tcPr>
            <w:tcW w:w="1276" w:type="dxa"/>
          </w:tcPr>
          <w:p w14:paraId="33AF41CE" w14:textId="3ACA1D71"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w:t>
            </w:r>
            <w:r w:rsidR="00347632">
              <w:rPr>
                <w:rFonts w:ascii="Arial" w:hAnsi="Arial"/>
                <w:sz w:val="18"/>
                <w:szCs w:val="18"/>
              </w:rPr>
              <w:t>2</w:t>
            </w:r>
            <w:r w:rsidRPr="002D524F">
              <w:rPr>
                <w:rFonts w:ascii="Arial" w:hAnsi="Arial"/>
                <w:sz w:val="18"/>
                <w:szCs w:val="18"/>
              </w:rPr>
              <w:t>.</w:t>
            </w:r>
            <w:r w:rsidR="00347632">
              <w:rPr>
                <w:rFonts w:ascii="Arial" w:hAnsi="Arial"/>
                <w:sz w:val="18"/>
                <w:szCs w:val="18"/>
              </w:rPr>
              <w:t>0</w:t>
            </w:r>
            <w:r w:rsidRPr="002D524F">
              <w:rPr>
                <w:rFonts w:ascii="Arial" w:hAnsi="Arial"/>
                <w:sz w:val="18"/>
                <w:szCs w:val="18"/>
              </w:rPr>
              <w:t>%</w:t>
            </w:r>
          </w:p>
        </w:tc>
        <w:tc>
          <w:tcPr>
            <w:tcW w:w="1276" w:type="dxa"/>
          </w:tcPr>
          <w:p w14:paraId="657C44D0" w14:textId="6362EE2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w:t>
            </w:r>
            <w:r w:rsidR="00347632">
              <w:rPr>
                <w:rFonts w:ascii="Arial" w:hAnsi="Arial"/>
                <w:sz w:val="18"/>
                <w:szCs w:val="18"/>
              </w:rPr>
              <w:t>0</w:t>
            </w:r>
            <w:r w:rsidRPr="002D524F">
              <w:rPr>
                <w:rFonts w:ascii="Arial" w:hAnsi="Arial"/>
                <w:sz w:val="18"/>
                <w:szCs w:val="18"/>
              </w:rPr>
              <w:t>%</w:t>
            </w:r>
          </w:p>
        </w:tc>
        <w:tc>
          <w:tcPr>
            <w:tcW w:w="992" w:type="dxa"/>
            <w:shd w:val="clear" w:color="auto" w:fill="FFC000"/>
          </w:tcPr>
          <w:p w14:paraId="6B68DC9E" w14:textId="77777777" w:rsidR="003A2EE3" w:rsidRPr="002D524F" w:rsidRDefault="003A2EE3" w:rsidP="003A2EE3">
            <w:pPr>
              <w:spacing w:after="0" w:line="240" w:lineRule="auto"/>
              <w:rPr>
                <w:rFonts w:ascii="Arial" w:hAnsi="Arial"/>
                <w:sz w:val="18"/>
                <w:szCs w:val="18"/>
              </w:rPr>
            </w:pPr>
          </w:p>
        </w:tc>
      </w:tr>
      <w:tr w:rsidR="003A2EE3" w:rsidRPr="002D524F" w14:paraId="6A4C0F9A" w14:textId="77777777" w:rsidTr="00F332D1">
        <w:tc>
          <w:tcPr>
            <w:tcW w:w="4248" w:type="dxa"/>
          </w:tcPr>
          <w:p w14:paraId="480E925B"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NI-7: Percentage of adults supported at home who agree that their services and support had an impact in improving or maintaining their quality of life</w:t>
            </w:r>
          </w:p>
        </w:tc>
        <w:tc>
          <w:tcPr>
            <w:tcW w:w="992" w:type="dxa"/>
          </w:tcPr>
          <w:p w14:paraId="721191E9"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69.8%</w:t>
            </w:r>
          </w:p>
        </w:tc>
        <w:tc>
          <w:tcPr>
            <w:tcW w:w="1276" w:type="dxa"/>
          </w:tcPr>
          <w:p w14:paraId="27178438"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74.4%</w:t>
            </w:r>
          </w:p>
        </w:tc>
        <w:tc>
          <w:tcPr>
            <w:tcW w:w="1276" w:type="dxa"/>
          </w:tcPr>
          <w:p w14:paraId="4C381376"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79%</w:t>
            </w:r>
          </w:p>
        </w:tc>
        <w:tc>
          <w:tcPr>
            <w:tcW w:w="992" w:type="dxa"/>
            <w:shd w:val="clear" w:color="auto" w:fill="FFC000"/>
          </w:tcPr>
          <w:p w14:paraId="1E4F7BC6" w14:textId="77777777" w:rsidR="003A2EE3" w:rsidRPr="002D524F" w:rsidRDefault="003A2EE3" w:rsidP="003A2EE3">
            <w:pPr>
              <w:spacing w:after="0" w:line="240" w:lineRule="auto"/>
              <w:rPr>
                <w:rFonts w:ascii="Arial" w:hAnsi="Arial"/>
                <w:sz w:val="18"/>
                <w:szCs w:val="18"/>
              </w:rPr>
            </w:pPr>
          </w:p>
        </w:tc>
      </w:tr>
      <w:tr w:rsidR="003A2EE3" w:rsidRPr="002D524F" w14:paraId="24B9EF4F" w14:textId="77777777" w:rsidTr="00F332D1">
        <w:tc>
          <w:tcPr>
            <w:tcW w:w="4248" w:type="dxa"/>
          </w:tcPr>
          <w:p w14:paraId="02FF7B63"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lastRenderedPageBreak/>
              <w:t>NI-8:Percentage of carers who feel supported to continue in their caring role</w:t>
            </w:r>
          </w:p>
        </w:tc>
        <w:tc>
          <w:tcPr>
            <w:tcW w:w="992" w:type="dxa"/>
          </w:tcPr>
          <w:p w14:paraId="1E2D42C8"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31.2%</w:t>
            </w:r>
          </w:p>
        </w:tc>
        <w:tc>
          <w:tcPr>
            <w:tcW w:w="1276" w:type="dxa"/>
          </w:tcPr>
          <w:p w14:paraId="4967C6E1"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37.1%</w:t>
            </w:r>
          </w:p>
        </w:tc>
        <w:tc>
          <w:tcPr>
            <w:tcW w:w="1276" w:type="dxa"/>
          </w:tcPr>
          <w:p w14:paraId="2D457683"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32%</w:t>
            </w:r>
          </w:p>
        </w:tc>
        <w:tc>
          <w:tcPr>
            <w:tcW w:w="992" w:type="dxa"/>
            <w:shd w:val="clear" w:color="auto" w:fill="92D050"/>
          </w:tcPr>
          <w:p w14:paraId="5CE05216" w14:textId="77777777" w:rsidR="003A2EE3" w:rsidRPr="002D524F" w:rsidRDefault="003A2EE3" w:rsidP="003A2EE3">
            <w:pPr>
              <w:spacing w:after="0" w:line="240" w:lineRule="auto"/>
              <w:rPr>
                <w:rFonts w:ascii="Arial" w:hAnsi="Arial"/>
                <w:sz w:val="18"/>
                <w:szCs w:val="18"/>
              </w:rPr>
            </w:pPr>
          </w:p>
        </w:tc>
      </w:tr>
      <w:tr w:rsidR="003A2EE3" w:rsidRPr="002D524F" w14:paraId="4CF042F7" w14:textId="77777777" w:rsidTr="00F332D1">
        <w:tc>
          <w:tcPr>
            <w:tcW w:w="4248" w:type="dxa"/>
          </w:tcPr>
          <w:p w14:paraId="0C1E70F6"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NI-9: Percentage of adults supported at home who agree they felt safe</w:t>
            </w:r>
          </w:p>
        </w:tc>
        <w:tc>
          <w:tcPr>
            <w:tcW w:w="992" w:type="dxa"/>
          </w:tcPr>
          <w:p w14:paraId="06E036E2"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72.7%</w:t>
            </w:r>
          </w:p>
        </w:tc>
        <w:tc>
          <w:tcPr>
            <w:tcW w:w="1276" w:type="dxa"/>
          </w:tcPr>
          <w:p w14:paraId="62A62157"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72.4%</w:t>
            </w:r>
          </w:p>
        </w:tc>
        <w:tc>
          <w:tcPr>
            <w:tcW w:w="1276" w:type="dxa"/>
          </w:tcPr>
          <w:p w14:paraId="1A59EB03"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76%</w:t>
            </w:r>
          </w:p>
        </w:tc>
        <w:tc>
          <w:tcPr>
            <w:tcW w:w="992" w:type="dxa"/>
            <w:shd w:val="clear" w:color="auto" w:fill="EE0000"/>
          </w:tcPr>
          <w:p w14:paraId="069994DB" w14:textId="77777777" w:rsidR="003A2EE3" w:rsidRPr="002D524F" w:rsidRDefault="003A2EE3" w:rsidP="003A2EE3">
            <w:pPr>
              <w:spacing w:after="0" w:line="240" w:lineRule="auto"/>
              <w:rPr>
                <w:rFonts w:ascii="Arial" w:hAnsi="Arial"/>
                <w:sz w:val="18"/>
                <w:szCs w:val="18"/>
              </w:rPr>
            </w:pPr>
          </w:p>
        </w:tc>
      </w:tr>
      <w:tr w:rsidR="003A2EE3" w:rsidRPr="002D524F" w14:paraId="05041783" w14:textId="77777777" w:rsidTr="00F332D1">
        <w:tc>
          <w:tcPr>
            <w:tcW w:w="4248" w:type="dxa"/>
          </w:tcPr>
          <w:p w14:paraId="3845DA6B"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NI-16: Falls rate per 1,000 population aged 65+</w:t>
            </w:r>
          </w:p>
        </w:tc>
        <w:tc>
          <w:tcPr>
            <w:tcW w:w="992" w:type="dxa"/>
          </w:tcPr>
          <w:p w14:paraId="6AD908CB"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22.5</w:t>
            </w:r>
          </w:p>
        </w:tc>
        <w:tc>
          <w:tcPr>
            <w:tcW w:w="1276" w:type="dxa"/>
          </w:tcPr>
          <w:p w14:paraId="2333505B"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17.9</w:t>
            </w:r>
          </w:p>
        </w:tc>
        <w:tc>
          <w:tcPr>
            <w:tcW w:w="1276" w:type="dxa"/>
          </w:tcPr>
          <w:p w14:paraId="029E693C"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21.2</w:t>
            </w:r>
          </w:p>
        </w:tc>
        <w:tc>
          <w:tcPr>
            <w:tcW w:w="992" w:type="dxa"/>
            <w:shd w:val="clear" w:color="auto" w:fill="92D050"/>
          </w:tcPr>
          <w:p w14:paraId="1237E2CA" w14:textId="77777777" w:rsidR="003A2EE3" w:rsidRPr="002D524F" w:rsidRDefault="003A2EE3" w:rsidP="003A2EE3">
            <w:pPr>
              <w:spacing w:after="0" w:line="240" w:lineRule="auto"/>
              <w:rPr>
                <w:rFonts w:ascii="Arial" w:hAnsi="Arial"/>
                <w:sz w:val="18"/>
                <w:szCs w:val="18"/>
              </w:rPr>
            </w:pPr>
          </w:p>
        </w:tc>
      </w:tr>
      <w:tr w:rsidR="003A2EE3" w:rsidRPr="002D524F" w14:paraId="36806596" w14:textId="77777777" w:rsidTr="00F332D1">
        <w:tc>
          <w:tcPr>
            <w:tcW w:w="4248" w:type="dxa"/>
          </w:tcPr>
          <w:p w14:paraId="0906A295" w14:textId="77777777" w:rsidR="003A2EE3" w:rsidRPr="002D524F" w:rsidRDefault="003A2EE3" w:rsidP="003A2EE3">
            <w:pPr>
              <w:spacing w:after="0" w:line="240" w:lineRule="auto"/>
              <w:rPr>
                <w:rFonts w:ascii="Arial" w:hAnsi="Arial"/>
                <w:sz w:val="18"/>
                <w:szCs w:val="18"/>
              </w:rPr>
            </w:pPr>
            <w:r w:rsidRPr="002D524F">
              <w:rPr>
                <w:rFonts w:ascii="Arial" w:hAnsi="Arial"/>
                <w:sz w:val="18"/>
                <w:szCs w:val="18"/>
              </w:rPr>
              <w:t>NI-17: Proportion of care services graded ‘good’ (4) or better in Care Inspectorate inspections</w:t>
            </w:r>
          </w:p>
        </w:tc>
        <w:tc>
          <w:tcPr>
            <w:tcW w:w="992" w:type="dxa"/>
          </w:tcPr>
          <w:p w14:paraId="5E97E520"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71.8%</w:t>
            </w:r>
          </w:p>
        </w:tc>
        <w:tc>
          <w:tcPr>
            <w:tcW w:w="1276" w:type="dxa"/>
          </w:tcPr>
          <w:p w14:paraId="043DE2E8"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70.7%</w:t>
            </w:r>
          </w:p>
        </w:tc>
        <w:tc>
          <w:tcPr>
            <w:tcW w:w="1276" w:type="dxa"/>
          </w:tcPr>
          <w:p w14:paraId="55368F6F" w14:textId="77777777" w:rsidR="003A2EE3" w:rsidRPr="002D524F" w:rsidRDefault="003A2EE3" w:rsidP="002D524F">
            <w:pPr>
              <w:spacing w:after="0" w:line="240" w:lineRule="auto"/>
              <w:jc w:val="center"/>
              <w:rPr>
                <w:rFonts w:ascii="Arial" w:hAnsi="Arial"/>
                <w:sz w:val="18"/>
                <w:szCs w:val="18"/>
              </w:rPr>
            </w:pPr>
            <w:r w:rsidRPr="002D524F">
              <w:rPr>
                <w:rFonts w:ascii="Arial" w:hAnsi="Arial"/>
                <w:sz w:val="18"/>
                <w:szCs w:val="18"/>
              </w:rPr>
              <w:t>81.9%</w:t>
            </w:r>
          </w:p>
        </w:tc>
        <w:tc>
          <w:tcPr>
            <w:tcW w:w="992" w:type="dxa"/>
            <w:shd w:val="clear" w:color="auto" w:fill="EE0000"/>
          </w:tcPr>
          <w:p w14:paraId="29297529" w14:textId="77777777" w:rsidR="003A2EE3" w:rsidRPr="002D524F" w:rsidRDefault="003A2EE3" w:rsidP="003A2EE3">
            <w:pPr>
              <w:spacing w:after="0" w:line="240" w:lineRule="auto"/>
              <w:rPr>
                <w:rFonts w:ascii="Arial" w:hAnsi="Arial"/>
                <w:sz w:val="18"/>
                <w:szCs w:val="18"/>
              </w:rPr>
            </w:pPr>
          </w:p>
        </w:tc>
      </w:tr>
      <w:tr w:rsidR="003A2EE3" w:rsidRPr="002D524F" w14:paraId="63654381" w14:textId="77777777" w:rsidTr="00F332D1">
        <w:tc>
          <w:tcPr>
            <w:tcW w:w="8784" w:type="dxa"/>
            <w:gridSpan w:val="5"/>
          </w:tcPr>
          <w:p w14:paraId="76C5EE1A" w14:textId="77777777" w:rsidR="003A2EE3" w:rsidRPr="006F7478" w:rsidRDefault="003A2EE3" w:rsidP="003A2EE3">
            <w:pPr>
              <w:spacing w:after="0" w:line="240" w:lineRule="auto"/>
              <w:rPr>
                <w:rFonts w:ascii="Arial" w:hAnsi="Arial"/>
                <w:b/>
                <w:sz w:val="18"/>
                <w:szCs w:val="18"/>
              </w:rPr>
            </w:pPr>
            <w:r w:rsidRPr="006F7478">
              <w:rPr>
                <w:rFonts w:ascii="Arial" w:hAnsi="Arial"/>
                <w:b/>
                <w:sz w:val="18"/>
                <w:szCs w:val="18"/>
              </w:rPr>
              <w:t xml:space="preserve">Overall Assessment of Performance </w:t>
            </w:r>
          </w:p>
          <w:p w14:paraId="224C47A5" w14:textId="650DB2F7" w:rsidR="003A2EE3" w:rsidRPr="002D524F" w:rsidRDefault="003A2EE3" w:rsidP="003A2EE3">
            <w:pPr>
              <w:spacing w:after="0" w:line="240" w:lineRule="auto"/>
              <w:rPr>
                <w:rFonts w:ascii="Arial" w:hAnsi="Arial"/>
                <w:sz w:val="18"/>
                <w:szCs w:val="18"/>
              </w:rPr>
            </w:pPr>
            <w:r w:rsidRPr="002D524F">
              <w:rPr>
                <w:rFonts w:ascii="Arial" w:hAnsi="Arial"/>
                <w:sz w:val="18"/>
                <w:szCs w:val="18"/>
              </w:rPr>
              <w:t xml:space="preserve">The majority of the Quality and Safety Indicators are Amber and Red.   The reduction in satisfaction with care received from GPs is likely linked to the narrative that it is difficult to get access to a GP appointment </w:t>
            </w:r>
            <w:r w:rsidR="001634DD">
              <w:rPr>
                <w:rFonts w:ascii="Arial" w:hAnsi="Arial"/>
                <w:sz w:val="18"/>
                <w:szCs w:val="18"/>
              </w:rPr>
              <w:t>which is supported by the</w:t>
            </w:r>
            <w:r w:rsidR="001023AD">
              <w:rPr>
                <w:rFonts w:ascii="Arial" w:hAnsi="Arial"/>
                <w:sz w:val="18"/>
                <w:szCs w:val="18"/>
              </w:rPr>
              <w:t xml:space="preserve"> red status of the</w:t>
            </w:r>
            <w:r w:rsidR="001634DD">
              <w:rPr>
                <w:rFonts w:ascii="Arial" w:hAnsi="Arial"/>
                <w:sz w:val="18"/>
                <w:szCs w:val="18"/>
              </w:rPr>
              <w:t xml:space="preserve"> </w:t>
            </w:r>
            <w:r w:rsidR="00CE72A1">
              <w:rPr>
                <w:rFonts w:ascii="Arial" w:hAnsi="Arial"/>
                <w:sz w:val="18"/>
                <w:szCs w:val="18"/>
              </w:rPr>
              <w:t xml:space="preserve">‘access’ indicators in relation to GPs </w:t>
            </w:r>
            <w:r w:rsidR="001023AD">
              <w:rPr>
                <w:rFonts w:ascii="Arial" w:hAnsi="Arial"/>
                <w:sz w:val="18"/>
                <w:szCs w:val="18"/>
              </w:rPr>
              <w:t>in the section below</w:t>
            </w:r>
            <w:r w:rsidRPr="002D524F">
              <w:rPr>
                <w:rFonts w:ascii="Arial" w:hAnsi="Arial"/>
                <w:sz w:val="18"/>
                <w:szCs w:val="18"/>
              </w:rPr>
              <w:t>.   The GP Walk</w:t>
            </w:r>
            <w:r w:rsidR="00624239">
              <w:rPr>
                <w:rFonts w:ascii="Arial" w:hAnsi="Arial"/>
                <w:sz w:val="18"/>
                <w:szCs w:val="18"/>
              </w:rPr>
              <w:t>-</w:t>
            </w:r>
            <w:r w:rsidR="00624239" w:rsidRPr="002D524F">
              <w:rPr>
                <w:rFonts w:ascii="Arial" w:hAnsi="Arial"/>
                <w:sz w:val="18"/>
                <w:szCs w:val="18"/>
              </w:rPr>
              <w:t>in</w:t>
            </w:r>
            <w:r w:rsidRPr="002D524F">
              <w:rPr>
                <w:rFonts w:ascii="Arial" w:hAnsi="Arial"/>
                <w:sz w:val="18"/>
                <w:szCs w:val="18"/>
              </w:rPr>
              <w:t xml:space="preserve"> Centres being trialled from summer 2026 may help improve this indicator.   The ‘people feeling safe’ indicator is difficult to analyse as there are so many different and individual aspects to be considered.   Aberdeen City IJB externally commission 99% of their social care provision and despite having a dedicated team to support our providers it is still a challenging environment for them to operate in.   Most of the Amber Indicators have that status as performance has deteriorated from the previous period but is still above the Scottish average.   These represent the challenging environment our teams are operating in with growing demand for service and more complex need.   The Falls Rate in Aberdeen continues to improve and this is a result of the focus people at risk of falling receive.   We are delighted that the efforts around implementing our Carers Strategy is having a positive impact with more of our Carers feeling supported.</w:t>
            </w:r>
          </w:p>
        </w:tc>
      </w:tr>
    </w:tbl>
    <w:p w14:paraId="509A054D" w14:textId="77777777" w:rsidR="00F332D1" w:rsidRDefault="00F332D1" w:rsidP="002E4B85">
      <w:pPr>
        <w:spacing w:after="0" w:line="240" w:lineRule="auto"/>
        <w:textAlignment w:val="baseline"/>
        <w:rPr>
          <w:rFonts w:ascii="Arial" w:hAnsi="Arial" w:cs="Arial"/>
          <w:sz w:val="20"/>
          <w:szCs w:val="20"/>
          <w:highlight w:val="yellow"/>
        </w:rPr>
      </w:pPr>
    </w:p>
    <w:tbl>
      <w:tblPr>
        <w:tblStyle w:val="TableGrid7"/>
        <w:tblW w:w="0" w:type="auto"/>
        <w:tblLook w:val="04A0" w:firstRow="1" w:lastRow="0" w:firstColumn="1" w:lastColumn="0" w:noHBand="0" w:noVBand="1"/>
      </w:tblPr>
      <w:tblGrid>
        <w:gridCol w:w="4390"/>
        <w:gridCol w:w="992"/>
        <w:gridCol w:w="1276"/>
        <w:gridCol w:w="1275"/>
        <w:gridCol w:w="993"/>
      </w:tblGrid>
      <w:tr w:rsidR="00D22396" w:rsidRPr="002D524F" w14:paraId="2F26CDC5" w14:textId="77777777" w:rsidTr="00F332D1">
        <w:tc>
          <w:tcPr>
            <w:tcW w:w="8926" w:type="dxa"/>
            <w:gridSpan w:val="5"/>
          </w:tcPr>
          <w:p w14:paraId="1AEA7212" w14:textId="77777777" w:rsidR="00D22396" w:rsidRPr="00BF65DA" w:rsidRDefault="00D22396" w:rsidP="00D22396">
            <w:pPr>
              <w:spacing w:after="0" w:line="240" w:lineRule="auto"/>
              <w:rPr>
                <w:rFonts w:ascii="Arial" w:hAnsi="Arial"/>
                <w:b/>
                <w:sz w:val="18"/>
                <w:szCs w:val="18"/>
              </w:rPr>
            </w:pPr>
            <w:r w:rsidRPr="00BF65DA">
              <w:rPr>
                <w:rFonts w:ascii="Arial" w:hAnsi="Arial"/>
                <w:b/>
                <w:sz w:val="18"/>
                <w:szCs w:val="18"/>
              </w:rPr>
              <w:t xml:space="preserve">Principle 2: Access </w:t>
            </w:r>
          </w:p>
        </w:tc>
      </w:tr>
      <w:tr w:rsidR="00D22396" w:rsidRPr="002D524F" w14:paraId="131B0D6A" w14:textId="77777777" w:rsidTr="00F332D1">
        <w:tc>
          <w:tcPr>
            <w:tcW w:w="4390" w:type="dxa"/>
          </w:tcPr>
          <w:p w14:paraId="7EB0BF00" w14:textId="77777777" w:rsidR="00D22396" w:rsidRPr="002D524F" w:rsidRDefault="00D22396" w:rsidP="00D22396">
            <w:pPr>
              <w:spacing w:after="0" w:line="240" w:lineRule="auto"/>
              <w:rPr>
                <w:rFonts w:ascii="Arial" w:hAnsi="Arial"/>
                <w:sz w:val="18"/>
                <w:szCs w:val="18"/>
              </w:rPr>
            </w:pPr>
            <w:r w:rsidRPr="002D524F">
              <w:rPr>
                <w:rFonts w:ascii="Arial" w:hAnsi="Arial"/>
                <w:bCs/>
                <w:sz w:val="18"/>
                <w:szCs w:val="18"/>
              </w:rPr>
              <w:t>Measure</w:t>
            </w:r>
          </w:p>
        </w:tc>
        <w:tc>
          <w:tcPr>
            <w:tcW w:w="992" w:type="dxa"/>
          </w:tcPr>
          <w:p w14:paraId="5D9C6B4B" w14:textId="77777777" w:rsidR="00D22396" w:rsidRPr="002D524F" w:rsidRDefault="00D22396" w:rsidP="002D524F">
            <w:pPr>
              <w:spacing w:after="0" w:line="240" w:lineRule="auto"/>
              <w:jc w:val="center"/>
              <w:rPr>
                <w:rFonts w:ascii="Arial" w:hAnsi="Arial"/>
                <w:bCs/>
                <w:sz w:val="18"/>
                <w:szCs w:val="18"/>
              </w:rPr>
            </w:pPr>
            <w:r w:rsidRPr="002D524F">
              <w:rPr>
                <w:rFonts w:ascii="Arial" w:hAnsi="Arial"/>
                <w:bCs/>
                <w:sz w:val="18"/>
                <w:szCs w:val="18"/>
              </w:rPr>
              <w:t>Scottish Average</w:t>
            </w:r>
          </w:p>
        </w:tc>
        <w:tc>
          <w:tcPr>
            <w:tcW w:w="1276" w:type="dxa"/>
          </w:tcPr>
          <w:p w14:paraId="54CD05AB" w14:textId="77777777" w:rsidR="00D22396" w:rsidRPr="002D524F" w:rsidRDefault="00D22396" w:rsidP="002D524F">
            <w:pPr>
              <w:spacing w:after="0" w:line="240" w:lineRule="auto"/>
              <w:jc w:val="center"/>
              <w:rPr>
                <w:rFonts w:ascii="Arial" w:hAnsi="Arial"/>
                <w:sz w:val="18"/>
                <w:szCs w:val="18"/>
              </w:rPr>
            </w:pPr>
            <w:r w:rsidRPr="002D524F">
              <w:rPr>
                <w:rFonts w:ascii="Arial" w:hAnsi="Arial"/>
                <w:bCs/>
                <w:sz w:val="18"/>
                <w:szCs w:val="18"/>
              </w:rPr>
              <w:t>Current Performance</w:t>
            </w:r>
          </w:p>
        </w:tc>
        <w:tc>
          <w:tcPr>
            <w:tcW w:w="1275" w:type="dxa"/>
          </w:tcPr>
          <w:p w14:paraId="585F60C3" w14:textId="77777777" w:rsidR="00D22396" w:rsidRPr="002D524F" w:rsidRDefault="00D22396" w:rsidP="002D524F">
            <w:pPr>
              <w:spacing w:after="0" w:line="240" w:lineRule="auto"/>
              <w:jc w:val="center"/>
              <w:rPr>
                <w:rFonts w:ascii="Arial" w:hAnsi="Arial"/>
                <w:sz w:val="18"/>
                <w:szCs w:val="18"/>
              </w:rPr>
            </w:pPr>
            <w:r w:rsidRPr="002D524F">
              <w:rPr>
                <w:rFonts w:ascii="Arial" w:hAnsi="Arial"/>
                <w:bCs/>
                <w:sz w:val="18"/>
                <w:szCs w:val="18"/>
              </w:rPr>
              <w:t>Previous Performance</w:t>
            </w:r>
          </w:p>
        </w:tc>
        <w:tc>
          <w:tcPr>
            <w:tcW w:w="993" w:type="dxa"/>
          </w:tcPr>
          <w:p w14:paraId="5E100B67" w14:textId="77777777" w:rsidR="00D22396" w:rsidRPr="002D524F" w:rsidRDefault="00D22396" w:rsidP="00D22396">
            <w:pPr>
              <w:spacing w:after="0" w:line="240" w:lineRule="auto"/>
              <w:rPr>
                <w:rFonts w:ascii="Arial" w:hAnsi="Arial"/>
                <w:bCs/>
                <w:sz w:val="18"/>
                <w:szCs w:val="18"/>
              </w:rPr>
            </w:pPr>
            <w:r w:rsidRPr="002D524F">
              <w:rPr>
                <w:rFonts w:ascii="Arial" w:hAnsi="Arial"/>
                <w:bCs/>
                <w:sz w:val="18"/>
                <w:szCs w:val="18"/>
              </w:rPr>
              <w:t>RAG</w:t>
            </w:r>
          </w:p>
          <w:p w14:paraId="28926435" w14:textId="77777777" w:rsidR="00D22396" w:rsidRPr="002D524F" w:rsidRDefault="00D22396" w:rsidP="00D22396">
            <w:pPr>
              <w:spacing w:after="0" w:line="240" w:lineRule="auto"/>
              <w:rPr>
                <w:rFonts w:ascii="Arial" w:hAnsi="Arial"/>
                <w:bCs/>
                <w:sz w:val="18"/>
                <w:szCs w:val="18"/>
              </w:rPr>
            </w:pPr>
            <w:r w:rsidRPr="002D524F">
              <w:rPr>
                <w:rFonts w:ascii="Arial" w:hAnsi="Arial"/>
                <w:bCs/>
                <w:sz w:val="18"/>
                <w:szCs w:val="18"/>
              </w:rPr>
              <w:t>Status</w:t>
            </w:r>
          </w:p>
        </w:tc>
      </w:tr>
      <w:tr w:rsidR="00D22396" w:rsidRPr="002D524F" w14:paraId="63136D23" w14:textId="77777777" w:rsidTr="003B0344">
        <w:tc>
          <w:tcPr>
            <w:tcW w:w="4390" w:type="dxa"/>
          </w:tcPr>
          <w:p w14:paraId="0FDE4BEA" w14:textId="77777777" w:rsidR="00D22396" w:rsidRPr="002D524F" w:rsidRDefault="00D22396" w:rsidP="00D22396">
            <w:pPr>
              <w:spacing w:after="0" w:line="240" w:lineRule="auto"/>
              <w:rPr>
                <w:rFonts w:ascii="Arial" w:hAnsi="Arial"/>
                <w:sz w:val="18"/>
                <w:szCs w:val="18"/>
              </w:rPr>
            </w:pPr>
            <w:r w:rsidRPr="002D524F">
              <w:rPr>
                <w:rFonts w:ascii="Arial" w:hAnsi="Arial"/>
                <w:sz w:val="18"/>
                <w:szCs w:val="18"/>
              </w:rPr>
              <w:t>HACE03 - Ease of contacting GP Practice</w:t>
            </w:r>
          </w:p>
        </w:tc>
        <w:tc>
          <w:tcPr>
            <w:tcW w:w="992" w:type="dxa"/>
          </w:tcPr>
          <w:p w14:paraId="5E131085" w14:textId="49F5F610"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7</w:t>
            </w:r>
            <w:r w:rsidR="009B5C84">
              <w:rPr>
                <w:rFonts w:ascii="Arial" w:hAnsi="Arial"/>
                <w:sz w:val="18"/>
                <w:szCs w:val="18"/>
              </w:rPr>
              <w:t>8</w:t>
            </w:r>
            <w:r w:rsidRPr="002D524F">
              <w:rPr>
                <w:rFonts w:ascii="Arial" w:hAnsi="Arial"/>
                <w:sz w:val="18"/>
                <w:szCs w:val="18"/>
              </w:rPr>
              <w:t>%</w:t>
            </w:r>
          </w:p>
        </w:tc>
        <w:tc>
          <w:tcPr>
            <w:tcW w:w="1276" w:type="dxa"/>
          </w:tcPr>
          <w:p w14:paraId="1C6DA738" w14:textId="379D3F55"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7</w:t>
            </w:r>
            <w:r w:rsidR="00285A09">
              <w:rPr>
                <w:rFonts w:ascii="Arial" w:hAnsi="Arial"/>
                <w:sz w:val="18"/>
                <w:szCs w:val="18"/>
              </w:rPr>
              <w:t>2</w:t>
            </w:r>
            <w:r w:rsidRPr="002D524F">
              <w:rPr>
                <w:rFonts w:ascii="Arial" w:hAnsi="Arial"/>
                <w:sz w:val="18"/>
                <w:szCs w:val="18"/>
              </w:rPr>
              <w:t>%</w:t>
            </w:r>
          </w:p>
        </w:tc>
        <w:tc>
          <w:tcPr>
            <w:tcW w:w="1275" w:type="dxa"/>
          </w:tcPr>
          <w:p w14:paraId="35B4CE36" w14:textId="772C38C0" w:rsidR="00D22396" w:rsidRPr="002D524F" w:rsidRDefault="00285A09" w:rsidP="002D524F">
            <w:pPr>
              <w:spacing w:after="0" w:line="240" w:lineRule="auto"/>
              <w:jc w:val="center"/>
              <w:rPr>
                <w:rFonts w:ascii="Arial" w:hAnsi="Arial"/>
                <w:sz w:val="18"/>
                <w:szCs w:val="18"/>
              </w:rPr>
            </w:pPr>
            <w:r>
              <w:rPr>
                <w:rFonts w:ascii="Arial" w:hAnsi="Arial"/>
                <w:sz w:val="18"/>
                <w:szCs w:val="18"/>
              </w:rPr>
              <w:t>73%</w:t>
            </w:r>
          </w:p>
        </w:tc>
        <w:tc>
          <w:tcPr>
            <w:tcW w:w="993" w:type="dxa"/>
            <w:shd w:val="clear" w:color="auto" w:fill="EE0000"/>
          </w:tcPr>
          <w:p w14:paraId="7457B04D" w14:textId="77777777" w:rsidR="00D22396" w:rsidRPr="002D524F" w:rsidRDefault="00D22396" w:rsidP="00D22396">
            <w:pPr>
              <w:spacing w:after="0" w:line="240" w:lineRule="auto"/>
              <w:rPr>
                <w:rFonts w:ascii="Arial" w:hAnsi="Arial"/>
                <w:sz w:val="18"/>
                <w:szCs w:val="18"/>
              </w:rPr>
            </w:pPr>
          </w:p>
        </w:tc>
      </w:tr>
      <w:tr w:rsidR="00D22396" w:rsidRPr="002D524F" w14:paraId="21B0EE7D" w14:textId="77777777" w:rsidTr="003B0344">
        <w:tc>
          <w:tcPr>
            <w:tcW w:w="4390" w:type="dxa"/>
          </w:tcPr>
          <w:p w14:paraId="7B4EB898" w14:textId="77777777" w:rsidR="00D22396" w:rsidRPr="002D524F" w:rsidRDefault="00D22396" w:rsidP="00D22396">
            <w:pPr>
              <w:spacing w:after="0" w:line="240" w:lineRule="auto"/>
              <w:rPr>
                <w:rFonts w:ascii="Arial" w:hAnsi="Arial"/>
                <w:sz w:val="18"/>
                <w:szCs w:val="18"/>
              </w:rPr>
            </w:pPr>
            <w:r w:rsidRPr="002D524F">
              <w:rPr>
                <w:rFonts w:ascii="Arial" w:hAnsi="Arial"/>
                <w:sz w:val="18"/>
                <w:szCs w:val="18"/>
              </w:rPr>
              <w:t xml:space="preserve">HACE04 – Experience of booking appointments (advance booking) </w:t>
            </w:r>
          </w:p>
        </w:tc>
        <w:tc>
          <w:tcPr>
            <w:tcW w:w="992" w:type="dxa"/>
          </w:tcPr>
          <w:p w14:paraId="160C9A1B" w14:textId="634B7003"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5</w:t>
            </w:r>
            <w:r w:rsidR="005E078E">
              <w:rPr>
                <w:rFonts w:ascii="Arial" w:hAnsi="Arial"/>
                <w:sz w:val="18"/>
                <w:szCs w:val="18"/>
              </w:rPr>
              <w:t>2</w:t>
            </w:r>
            <w:r w:rsidRPr="002D524F">
              <w:rPr>
                <w:rFonts w:ascii="Arial" w:hAnsi="Arial"/>
                <w:sz w:val="18"/>
                <w:szCs w:val="18"/>
              </w:rPr>
              <w:t>%</w:t>
            </w:r>
          </w:p>
        </w:tc>
        <w:tc>
          <w:tcPr>
            <w:tcW w:w="1276" w:type="dxa"/>
          </w:tcPr>
          <w:p w14:paraId="7C80AD16" w14:textId="25230F7D"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4</w:t>
            </w:r>
            <w:r w:rsidR="005E078E">
              <w:rPr>
                <w:rFonts w:ascii="Arial" w:hAnsi="Arial"/>
                <w:sz w:val="18"/>
                <w:szCs w:val="18"/>
              </w:rPr>
              <w:t>8</w:t>
            </w:r>
            <w:r w:rsidRPr="002D524F">
              <w:rPr>
                <w:rFonts w:ascii="Arial" w:hAnsi="Arial"/>
                <w:sz w:val="18"/>
                <w:szCs w:val="18"/>
              </w:rPr>
              <w:t>%</w:t>
            </w:r>
          </w:p>
        </w:tc>
        <w:tc>
          <w:tcPr>
            <w:tcW w:w="1275" w:type="dxa"/>
          </w:tcPr>
          <w:p w14:paraId="6F7D166E" w14:textId="3F2B0A9F" w:rsidR="00D22396" w:rsidRPr="002D524F" w:rsidRDefault="005E078E" w:rsidP="002D524F">
            <w:pPr>
              <w:spacing w:after="0" w:line="240" w:lineRule="auto"/>
              <w:jc w:val="center"/>
              <w:rPr>
                <w:rFonts w:ascii="Arial" w:hAnsi="Arial"/>
                <w:sz w:val="18"/>
                <w:szCs w:val="18"/>
              </w:rPr>
            </w:pPr>
            <w:r>
              <w:rPr>
                <w:rFonts w:ascii="Arial" w:hAnsi="Arial"/>
                <w:sz w:val="18"/>
                <w:szCs w:val="18"/>
              </w:rPr>
              <w:t>46%</w:t>
            </w:r>
          </w:p>
        </w:tc>
        <w:tc>
          <w:tcPr>
            <w:tcW w:w="993" w:type="dxa"/>
            <w:shd w:val="clear" w:color="auto" w:fill="EE0000"/>
          </w:tcPr>
          <w:p w14:paraId="2CD27A77" w14:textId="77777777" w:rsidR="00D22396" w:rsidRPr="002D524F" w:rsidRDefault="00D22396" w:rsidP="00D22396">
            <w:pPr>
              <w:spacing w:after="0" w:line="240" w:lineRule="auto"/>
              <w:rPr>
                <w:rFonts w:ascii="Arial" w:hAnsi="Arial"/>
                <w:sz w:val="18"/>
                <w:szCs w:val="18"/>
              </w:rPr>
            </w:pPr>
          </w:p>
        </w:tc>
      </w:tr>
      <w:tr w:rsidR="00D22396" w:rsidRPr="002D524F" w14:paraId="713A9CB2" w14:textId="77777777" w:rsidTr="003B0344">
        <w:tc>
          <w:tcPr>
            <w:tcW w:w="4390" w:type="dxa"/>
          </w:tcPr>
          <w:p w14:paraId="1BBA0149" w14:textId="0136267C" w:rsidR="00D22396" w:rsidRPr="002D524F" w:rsidRDefault="00D22396" w:rsidP="00D22396">
            <w:pPr>
              <w:spacing w:after="0" w:line="240" w:lineRule="auto"/>
              <w:rPr>
                <w:rFonts w:ascii="Arial" w:hAnsi="Arial"/>
                <w:sz w:val="18"/>
                <w:szCs w:val="18"/>
              </w:rPr>
            </w:pPr>
            <w:r w:rsidRPr="002D524F">
              <w:rPr>
                <w:rFonts w:ascii="Arial" w:hAnsi="Arial"/>
                <w:sz w:val="18"/>
                <w:szCs w:val="18"/>
              </w:rPr>
              <w:t xml:space="preserve">HACE12b - Satisfaction with arrangements </w:t>
            </w:r>
            <w:r w:rsidR="00F40080">
              <w:rPr>
                <w:rFonts w:ascii="Arial" w:hAnsi="Arial"/>
                <w:sz w:val="18"/>
                <w:szCs w:val="18"/>
              </w:rPr>
              <w:t xml:space="preserve">to </w:t>
            </w:r>
            <w:r w:rsidRPr="002D524F">
              <w:rPr>
                <w:rFonts w:ascii="Arial" w:hAnsi="Arial"/>
                <w:sz w:val="18"/>
                <w:szCs w:val="18"/>
              </w:rPr>
              <w:t>getting to speak to GP</w:t>
            </w:r>
          </w:p>
        </w:tc>
        <w:tc>
          <w:tcPr>
            <w:tcW w:w="992" w:type="dxa"/>
          </w:tcPr>
          <w:p w14:paraId="49D0191F" w14:textId="4087DF24"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6</w:t>
            </w:r>
            <w:r w:rsidR="005E078E">
              <w:rPr>
                <w:rFonts w:ascii="Arial" w:hAnsi="Arial"/>
                <w:sz w:val="18"/>
                <w:szCs w:val="18"/>
              </w:rPr>
              <w:t>5</w:t>
            </w:r>
            <w:r w:rsidRPr="002D524F">
              <w:rPr>
                <w:rFonts w:ascii="Arial" w:hAnsi="Arial"/>
                <w:sz w:val="18"/>
                <w:szCs w:val="18"/>
              </w:rPr>
              <w:t>%</w:t>
            </w:r>
          </w:p>
        </w:tc>
        <w:tc>
          <w:tcPr>
            <w:tcW w:w="1276" w:type="dxa"/>
          </w:tcPr>
          <w:p w14:paraId="4F609EAA" w14:textId="0058B16E" w:rsidR="00D22396" w:rsidRPr="002D524F" w:rsidRDefault="00D22396" w:rsidP="002D524F">
            <w:pPr>
              <w:spacing w:after="0" w:line="240" w:lineRule="auto"/>
              <w:jc w:val="center"/>
              <w:rPr>
                <w:rFonts w:ascii="Arial" w:hAnsi="Arial"/>
                <w:sz w:val="18"/>
                <w:szCs w:val="18"/>
              </w:rPr>
            </w:pPr>
            <w:r w:rsidRPr="002D524F">
              <w:rPr>
                <w:rFonts w:ascii="Arial" w:hAnsi="Arial"/>
                <w:sz w:val="18"/>
                <w:szCs w:val="18"/>
              </w:rPr>
              <w:t>5</w:t>
            </w:r>
            <w:r w:rsidR="005E078E">
              <w:rPr>
                <w:rFonts w:ascii="Arial" w:hAnsi="Arial"/>
                <w:sz w:val="18"/>
                <w:szCs w:val="18"/>
              </w:rPr>
              <w:t>7</w:t>
            </w:r>
            <w:r w:rsidRPr="002D524F">
              <w:rPr>
                <w:rFonts w:ascii="Arial" w:hAnsi="Arial"/>
                <w:sz w:val="18"/>
                <w:szCs w:val="18"/>
              </w:rPr>
              <w:t>%</w:t>
            </w:r>
          </w:p>
        </w:tc>
        <w:tc>
          <w:tcPr>
            <w:tcW w:w="1275" w:type="dxa"/>
          </w:tcPr>
          <w:p w14:paraId="48B3C8E2" w14:textId="3A17FACD" w:rsidR="00D22396" w:rsidRPr="002D524F" w:rsidRDefault="00792FBC" w:rsidP="002D524F">
            <w:pPr>
              <w:spacing w:after="0" w:line="240" w:lineRule="auto"/>
              <w:jc w:val="center"/>
              <w:rPr>
                <w:rFonts w:ascii="Arial" w:hAnsi="Arial"/>
                <w:sz w:val="18"/>
                <w:szCs w:val="18"/>
              </w:rPr>
            </w:pPr>
            <w:r>
              <w:rPr>
                <w:rFonts w:ascii="Arial" w:hAnsi="Arial"/>
                <w:sz w:val="18"/>
                <w:szCs w:val="18"/>
              </w:rPr>
              <w:t>56%</w:t>
            </w:r>
          </w:p>
        </w:tc>
        <w:tc>
          <w:tcPr>
            <w:tcW w:w="993" w:type="dxa"/>
            <w:shd w:val="clear" w:color="auto" w:fill="FFC000"/>
          </w:tcPr>
          <w:p w14:paraId="342E59DF" w14:textId="77777777" w:rsidR="00D22396" w:rsidRPr="002D524F" w:rsidRDefault="00D22396" w:rsidP="00D22396">
            <w:pPr>
              <w:spacing w:after="0" w:line="240" w:lineRule="auto"/>
              <w:rPr>
                <w:rFonts w:ascii="Arial" w:hAnsi="Arial"/>
                <w:sz w:val="18"/>
                <w:szCs w:val="18"/>
              </w:rPr>
            </w:pPr>
          </w:p>
        </w:tc>
      </w:tr>
      <w:tr w:rsidR="00D22396" w:rsidRPr="002D524F" w14:paraId="4630049B" w14:textId="77777777" w:rsidTr="00017C72">
        <w:tc>
          <w:tcPr>
            <w:tcW w:w="4390" w:type="dxa"/>
          </w:tcPr>
          <w:p w14:paraId="709A4CF3" w14:textId="4A268C1E" w:rsidR="00D22396" w:rsidRPr="002D524F" w:rsidRDefault="00D22396" w:rsidP="00D22396">
            <w:pPr>
              <w:spacing w:after="0" w:line="240" w:lineRule="auto"/>
              <w:rPr>
                <w:rFonts w:ascii="Arial" w:hAnsi="Arial"/>
                <w:sz w:val="18"/>
                <w:szCs w:val="18"/>
              </w:rPr>
            </w:pPr>
            <w:r w:rsidRPr="002D524F">
              <w:rPr>
                <w:rFonts w:ascii="Arial" w:hAnsi="Arial"/>
                <w:sz w:val="18"/>
                <w:szCs w:val="18"/>
              </w:rPr>
              <w:t xml:space="preserve">Psychological Therapies </w:t>
            </w:r>
            <w:r w:rsidR="002D524F" w:rsidRPr="002D524F">
              <w:rPr>
                <w:rFonts w:ascii="Arial" w:hAnsi="Arial"/>
                <w:sz w:val="18"/>
                <w:szCs w:val="18"/>
              </w:rPr>
              <w:t>18-week</w:t>
            </w:r>
            <w:r w:rsidRPr="002D524F">
              <w:rPr>
                <w:rFonts w:ascii="Arial" w:hAnsi="Arial"/>
                <w:sz w:val="18"/>
                <w:szCs w:val="18"/>
              </w:rPr>
              <w:t xml:space="preserve"> referral to treatment</w:t>
            </w:r>
          </w:p>
        </w:tc>
        <w:tc>
          <w:tcPr>
            <w:tcW w:w="992" w:type="dxa"/>
          </w:tcPr>
          <w:p w14:paraId="6A8702E1" w14:textId="521E9A11" w:rsidR="00D22396" w:rsidRPr="002D524F" w:rsidRDefault="00792FBC" w:rsidP="002D524F">
            <w:pPr>
              <w:spacing w:after="0" w:line="240" w:lineRule="auto"/>
              <w:jc w:val="center"/>
              <w:rPr>
                <w:rFonts w:ascii="Arial" w:hAnsi="Arial"/>
                <w:sz w:val="18"/>
                <w:szCs w:val="18"/>
              </w:rPr>
            </w:pPr>
            <w:r>
              <w:rPr>
                <w:rFonts w:ascii="Arial" w:hAnsi="Arial"/>
                <w:sz w:val="18"/>
                <w:szCs w:val="18"/>
              </w:rPr>
              <w:t>80%</w:t>
            </w:r>
          </w:p>
        </w:tc>
        <w:tc>
          <w:tcPr>
            <w:tcW w:w="1276" w:type="dxa"/>
          </w:tcPr>
          <w:p w14:paraId="588674A3" w14:textId="1D06814A" w:rsidR="00D22396" w:rsidRPr="002D524F" w:rsidRDefault="00792FBC" w:rsidP="002D524F">
            <w:pPr>
              <w:spacing w:after="0" w:line="240" w:lineRule="auto"/>
              <w:jc w:val="center"/>
              <w:rPr>
                <w:rFonts w:ascii="Arial" w:hAnsi="Arial"/>
                <w:sz w:val="18"/>
                <w:szCs w:val="18"/>
              </w:rPr>
            </w:pPr>
            <w:r>
              <w:rPr>
                <w:rFonts w:ascii="Arial" w:hAnsi="Arial"/>
                <w:sz w:val="18"/>
                <w:szCs w:val="18"/>
              </w:rPr>
              <w:t>66%</w:t>
            </w:r>
          </w:p>
        </w:tc>
        <w:tc>
          <w:tcPr>
            <w:tcW w:w="1275" w:type="dxa"/>
          </w:tcPr>
          <w:p w14:paraId="39357791" w14:textId="26DB3233" w:rsidR="00D22396" w:rsidRPr="002D524F" w:rsidRDefault="00792FBC" w:rsidP="002D524F">
            <w:pPr>
              <w:spacing w:after="0" w:line="240" w:lineRule="auto"/>
              <w:jc w:val="center"/>
              <w:rPr>
                <w:rFonts w:ascii="Arial" w:hAnsi="Arial"/>
                <w:sz w:val="18"/>
                <w:szCs w:val="18"/>
              </w:rPr>
            </w:pPr>
            <w:r>
              <w:rPr>
                <w:rFonts w:ascii="Arial" w:hAnsi="Arial"/>
                <w:sz w:val="18"/>
                <w:szCs w:val="18"/>
              </w:rPr>
              <w:t>94%</w:t>
            </w:r>
          </w:p>
        </w:tc>
        <w:tc>
          <w:tcPr>
            <w:tcW w:w="993" w:type="dxa"/>
            <w:shd w:val="clear" w:color="auto" w:fill="EE0000"/>
          </w:tcPr>
          <w:p w14:paraId="5338D429" w14:textId="77777777" w:rsidR="00D22396" w:rsidRPr="002D524F" w:rsidRDefault="00D22396" w:rsidP="00D22396">
            <w:pPr>
              <w:spacing w:after="0" w:line="240" w:lineRule="auto"/>
              <w:rPr>
                <w:rFonts w:ascii="Arial" w:hAnsi="Arial"/>
                <w:sz w:val="18"/>
                <w:szCs w:val="18"/>
              </w:rPr>
            </w:pPr>
          </w:p>
        </w:tc>
      </w:tr>
      <w:tr w:rsidR="00D22396" w:rsidRPr="002D524F" w14:paraId="496ED077" w14:textId="77777777" w:rsidTr="00017C72">
        <w:tc>
          <w:tcPr>
            <w:tcW w:w="4390" w:type="dxa"/>
          </w:tcPr>
          <w:p w14:paraId="3B2D94BC" w14:textId="77777777" w:rsidR="00D22396" w:rsidRPr="002D524F" w:rsidRDefault="00D22396" w:rsidP="00D22396">
            <w:pPr>
              <w:spacing w:after="0" w:line="240" w:lineRule="auto"/>
              <w:rPr>
                <w:rFonts w:ascii="Arial" w:hAnsi="Arial"/>
                <w:sz w:val="18"/>
                <w:szCs w:val="18"/>
              </w:rPr>
            </w:pPr>
            <w:r w:rsidRPr="002D524F">
              <w:rPr>
                <w:rFonts w:ascii="Arial" w:hAnsi="Arial"/>
                <w:sz w:val="18"/>
                <w:szCs w:val="18"/>
              </w:rPr>
              <w:t>Percentage of people who wait less than three weeks from referral received to appropriate drug or alcohol treatment that supports their recovery</w:t>
            </w:r>
          </w:p>
        </w:tc>
        <w:tc>
          <w:tcPr>
            <w:tcW w:w="992" w:type="dxa"/>
          </w:tcPr>
          <w:p w14:paraId="5EAFD5C0" w14:textId="05D526EE" w:rsidR="00D22396" w:rsidRPr="002D524F" w:rsidRDefault="00792FBC" w:rsidP="002D524F">
            <w:pPr>
              <w:spacing w:after="0" w:line="240" w:lineRule="auto"/>
              <w:jc w:val="center"/>
              <w:rPr>
                <w:rFonts w:ascii="Arial" w:hAnsi="Arial"/>
                <w:sz w:val="18"/>
                <w:szCs w:val="18"/>
              </w:rPr>
            </w:pPr>
            <w:r>
              <w:rPr>
                <w:rFonts w:ascii="Arial" w:hAnsi="Arial"/>
                <w:sz w:val="18"/>
                <w:szCs w:val="18"/>
              </w:rPr>
              <w:t>93%</w:t>
            </w:r>
          </w:p>
        </w:tc>
        <w:tc>
          <w:tcPr>
            <w:tcW w:w="1276" w:type="dxa"/>
          </w:tcPr>
          <w:p w14:paraId="1AA7FE58" w14:textId="41909D24" w:rsidR="00D22396" w:rsidRPr="002D524F" w:rsidRDefault="00792FBC" w:rsidP="002D524F">
            <w:pPr>
              <w:spacing w:after="0" w:line="240" w:lineRule="auto"/>
              <w:jc w:val="center"/>
              <w:rPr>
                <w:rFonts w:ascii="Arial" w:hAnsi="Arial"/>
                <w:sz w:val="18"/>
                <w:szCs w:val="18"/>
              </w:rPr>
            </w:pPr>
            <w:r>
              <w:rPr>
                <w:rFonts w:ascii="Arial" w:hAnsi="Arial"/>
                <w:sz w:val="18"/>
                <w:szCs w:val="18"/>
              </w:rPr>
              <w:t>88%</w:t>
            </w:r>
          </w:p>
        </w:tc>
        <w:tc>
          <w:tcPr>
            <w:tcW w:w="1275" w:type="dxa"/>
          </w:tcPr>
          <w:p w14:paraId="39D53668" w14:textId="77C0F85F" w:rsidR="00D22396" w:rsidRPr="002D524F" w:rsidRDefault="00792FBC" w:rsidP="002D524F">
            <w:pPr>
              <w:spacing w:after="0" w:line="240" w:lineRule="auto"/>
              <w:jc w:val="center"/>
              <w:rPr>
                <w:rFonts w:ascii="Arial" w:hAnsi="Arial"/>
                <w:sz w:val="18"/>
                <w:szCs w:val="18"/>
              </w:rPr>
            </w:pPr>
            <w:r>
              <w:rPr>
                <w:rFonts w:ascii="Arial" w:hAnsi="Arial"/>
                <w:sz w:val="18"/>
                <w:szCs w:val="18"/>
              </w:rPr>
              <w:t>94</w:t>
            </w:r>
            <w:r w:rsidR="003B0344">
              <w:rPr>
                <w:rFonts w:ascii="Arial" w:hAnsi="Arial"/>
                <w:sz w:val="18"/>
                <w:szCs w:val="18"/>
              </w:rPr>
              <w:t>%</w:t>
            </w:r>
          </w:p>
        </w:tc>
        <w:tc>
          <w:tcPr>
            <w:tcW w:w="993" w:type="dxa"/>
            <w:shd w:val="clear" w:color="auto" w:fill="EE0000"/>
          </w:tcPr>
          <w:p w14:paraId="439515B6" w14:textId="77777777" w:rsidR="00D22396" w:rsidRPr="002D524F" w:rsidRDefault="00D22396" w:rsidP="00D22396">
            <w:pPr>
              <w:spacing w:after="0" w:line="240" w:lineRule="auto"/>
              <w:rPr>
                <w:rFonts w:ascii="Arial" w:hAnsi="Arial"/>
                <w:sz w:val="18"/>
                <w:szCs w:val="18"/>
              </w:rPr>
            </w:pPr>
          </w:p>
        </w:tc>
      </w:tr>
      <w:tr w:rsidR="00D22396" w:rsidRPr="002D524F" w14:paraId="55810FE2" w14:textId="77777777" w:rsidTr="00F332D1">
        <w:tc>
          <w:tcPr>
            <w:tcW w:w="8926" w:type="dxa"/>
            <w:gridSpan w:val="5"/>
          </w:tcPr>
          <w:p w14:paraId="3B404DE8" w14:textId="77777777" w:rsidR="00D22396" w:rsidRPr="008931FE" w:rsidRDefault="00D22396" w:rsidP="00D22396">
            <w:pPr>
              <w:spacing w:after="0" w:line="240" w:lineRule="auto"/>
              <w:rPr>
                <w:rFonts w:ascii="Arial" w:hAnsi="Arial"/>
                <w:b/>
                <w:sz w:val="18"/>
                <w:szCs w:val="18"/>
              </w:rPr>
            </w:pPr>
            <w:r w:rsidRPr="008931FE">
              <w:rPr>
                <w:rFonts w:ascii="Arial" w:hAnsi="Arial"/>
                <w:b/>
                <w:sz w:val="18"/>
                <w:szCs w:val="18"/>
              </w:rPr>
              <w:t xml:space="preserve">Overall Assessment of Performance </w:t>
            </w:r>
          </w:p>
          <w:p w14:paraId="10908F1A" w14:textId="1C72D08C" w:rsidR="00D22396" w:rsidRPr="002D524F" w:rsidRDefault="00C45E82" w:rsidP="00D22396">
            <w:pPr>
              <w:spacing w:after="0" w:line="240" w:lineRule="auto"/>
              <w:rPr>
                <w:rFonts w:ascii="Arial" w:hAnsi="Arial"/>
                <w:sz w:val="18"/>
                <w:szCs w:val="18"/>
              </w:rPr>
            </w:pPr>
            <w:r>
              <w:rPr>
                <w:rFonts w:ascii="Arial" w:hAnsi="Arial"/>
                <w:bCs/>
                <w:sz w:val="18"/>
                <w:szCs w:val="18"/>
              </w:rPr>
              <w:t>The ‘</w:t>
            </w:r>
            <w:r w:rsidR="0009386C">
              <w:rPr>
                <w:rFonts w:ascii="Arial" w:hAnsi="Arial"/>
                <w:bCs/>
                <w:sz w:val="18"/>
                <w:szCs w:val="18"/>
              </w:rPr>
              <w:t>Ease of contacting GP Practices</w:t>
            </w:r>
            <w:r>
              <w:rPr>
                <w:rFonts w:ascii="Arial" w:hAnsi="Arial"/>
                <w:bCs/>
                <w:sz w:val="18"/>
                <w:szCs w:val="18"/>
              </w:rPr>
              <w:t>’ and ‘Experience of booking appointments</w:t>
            </w:r>
            <w:r w:rsidR="003570B5">
              <w:rPr>
                <w:rFonts w:ascii="Arial" w:hAnsi="Arial"/>
                <w:bCs/>
                <w:sz w:val="18"/>
                <w:szCs w:val="18"/>
              </w:rPr>
              <w:t xml:space="preserve">’ indicators have both </w:t>
            </w:r>
            <w:r w:rsidR="0009386C">
              <w:rPr>
                <w:rFonts w:ascii="Arial" w:hAnsi="Arial"/>
                <w:bCs/>
                <w:sz w:val="18"/>
                <w:szCs w:val="18"/>
              </w:rPr>
              <w:t xml:space="preserve">reduced slightly from </w:t>
            </w:r>
            <w:r w:rsidR="008931FE">
              <w:rPr>
                <w:rFonts w:ascii="Arial" w:hAnsi="Arial"/>
                <w:bCs/>
                <w:sz w:val="18"/>
                <w:szCs w:val="18"/>
              </w:rPr>
              <w:t xml:space="preserve">previously and </w:t>
            </w:r>
            <w:r w:rsidR="003570B5">
              <w:rPr>
                <w:rFonts w:ascii="Arial" w:hAnsi="Arial"/>
                <w:bCs/>
                <w:sz w:val="18"/>
                <w:szCs w:val="18"/>
              </w:rPr>
              <w:t>are</w:t>
            </w:r>
            <w:r w:rsidR="008931FE">
              <w:rPr>
                <w:rFonts w:ascii="Arial" w:hAnsi="Arial"/>
                <w:bCs/>
                <w:sz w:val="18"/>
                <w:szCs w:val="18"/>
              </w:rPr>
              <w:t xml:space="preserve"> lower than the Scottish average.  </w:t>
            </w:r>
            <w:r w:rsidR="003570B5">
              <w:rPr>
                <w:rFonts w:ascii="Arial" w:hAnsi="Arial"/>
                <w:bCs/>
                <w:sz w:val="18"/>
                <w:szCs w:val="18"/>
              </w:rPr>
              <w:t xml:space="preserve">The work in progress on delivering the Grampian </w:t>
            </w:r>
            <w:r w:rsidR="002119F8">
              <w:rPr>
                <w:rFonts w:ascii="Arial" w:hAnsi="Arial"/>
                <w:bCs/>
                <w:sz w:val="18"/>
                <w:szCs w:val="18"/>
              </w:rPr>
              <w:t>wide GP Vision to 2030 is aimed at improving these</w:t>
            </w:r>
            <w:r w:rsidR="00607D22">
              <w:rPr>
                <w:rFonts w:ascii="Arial" w:hAnsi="Arial"/>
                <w:bCs/>
                <w:sz w:val="18"/>
                <w:szCs w:val="18"/>
              </w:rPr>
              <w:t xml:space="preserve">.   </w:t>
            </w:r>
            <w:r w:rsidR="00C22A4D">
              <w:rPr>
                <w:rFonts w:ascii="Arial" w:hAnsi="Arial"/>
                <w:bCs/>
                <w:sz w:val="18"/>
                <w:szCs w:val="18"/>
              </w:rPr>
              <w:t xml:space="preserve">Although lower than the Scottish average </w:t>
            </w:r>
            <w:r w:rsidR="00916960">
              <w:rPr>
                <w:rFonts w:ascii="Arial" w:hAnsi="Arial"/>
                <w:bCs/>
                <w:sz w:val="18"/>
                <w:szCs w:val="18"/>
              </w:rPr>
              <w:t xml:space="preserve">the </w:t>
            </w:r>
            <w:r w:rsidR="00DB3728">
              <w:rPr>
                <w:rFonts w:ascii="Arial" w:hAnsi="Arial"/>
                <w:bCs/>
                <w:sz w:val="18"/>
                <w:szCs w:val="18"/>
              </w:rPr>
              <w:t xml:space="preserve">level of </w:t>
            </w:r>
            <w:r w:rsidR="00916960">
              <w:rPr>
                <w:rFonts w:ascii="Arial" w:hAnsi="Arial"/>
                <w:bCs/>
                <w:sz w:val="18"/>
                <w:szCs w:val="18"/>
              </w:rPr>
              <w:t xml:space="preserve">satisfaction with arrangements to getting to speak to a GP </w:t>
            </w:r>
            <w:r w:rsidR="005F64C3">
              <w:rPr>
                <w:rFonts w:ascii="Arial" w:hAnsi="Arial"/>
                <w:bCs/>
                <w:sz w:val="18"/>
                <w:szCs w:val="18"/>
              </w:rPr>
              <w:t>has increase</w:t>
            </w:r>
            <w:r w:rsidR="00DB3728">
              <w:rPr>
                <w:rFonts w:ascii="Arial" w:hAnsi="Arial"/>
                <w:bCs/>
                <w:sz w:val="18"/>
                <w:szCs w:val="18"/>
              </w:rPr>
              <w:t>d</w:t>
            </w:r>
            <w:r w:rsidR="005F64C3">
              <w:rPr>
                <w:rFonts w:ascii="Arial" w:hAnsi="Arial"/>
                <w:bCs/>
                <w:sz w:val="18"/>
                <w:szCs w:val="18"/>
              </w:rPr>
              <w:t xml:space="preserve"> slightly on the previous year.   </w:t>
            </w:r>
            <w:r w:rsidR="00607D22">
              <w:rPr>
                <w:rFonts w:ascii="Arial" w:hAnsi="Arial"/>
                <w:bCs/>
                <w:sz w:val="18"/>
                <w:szCs w:val="18"/>
              </w:rPr>
              <w:t xml:space="preserve">Access to both Psychological Therapies and </w:t>
            </w:r>
            <w:r w:rsidR="005F64C3">
              <w:rPr>
                <w:rFonts w:ascii="Arial" w:hAnsi="Arial"/>
                <w:bCs/>
                <w:sz w:val="18"/>
                <w:szCs w:val="18"/>
              </w:rPr>
              <w:t xml:space="preserve">treatment for drug and alcohol use </w:t>
            </w:r>
            <w:r w:rsidR="00DB3728">
              <w:rPr>
                <w:rFonts w:ascii="Arial" w:hAnsi="Arial"/>
                <w:bCs/>
                <w:sz w:val="18"/>
                <w:szCs w:val="18"/>
              </w:rPr>
              <w:t xml:space="preserve">has </w:t>
            </w:r>
            <w:r w:rsidR="00F8018A">
              <w:rPr>
                <w:rFonts w:ascii="Arial" w:hAnsi="Arial"/>
                <w:bCs/>
                <w:sz w:val="18"/>
                <w:szCs w:val="18"/>
              </w:rPr>
              <w:t>reduced from previously and is lower than the Scottish average.</w:t>
            </w:r>
            <w:r w:rsidR="008931FE">
              <w:rPr>
                <w:rFonts w:ascii="Arial" w:hAnsi="Arial"/>
                <w:bCs/>
                <w:sz w:val="18"/>
                <w:szCs w:val="18"/>
              </w:rPr>
              <w:t xml:space="preserve">   </w:t>
            </w:r>
          </w:p>
          <w:p w14:paraId="14CE9D9B" w14:textId="77777777" w:rsidR="00D22396" w:rsidRPr="002D524F" w:rsidRDefault="00D22396" w:rsidP="00D22396">
            <w:pPr>
              <w:spacing w:after="0" w:line="240" w:lineRule="auto"/>
              <w:rPr>
                <w:rFonts w:ascii="Arial" w:hAnsi="Arial"/>
                <w:sz w:val="18"/>
                <w:szCs w:val="18"/>
              </w:rPr>
            </w:pPr>
          </w:p>
        </w:tc>
      </w:tr>
    </w:tbl>
    <w:p w14:paraId="19DEAD79" w14:textId="77777777" w:rsidR="00880B0B" w:rsidRDefault="00880B0B" w:rsidP="00271DBE">
      <w:pPr>
        <w:spacing w:after="0"/>
      </w:pPr>
    </w:p>
    <w:tbl>
      <w:tblPr>
        <w:tblStyle w:val="TableGrid8"/>
        <w:tblW w:w="0" w:type="auto"/>
        <w:tblLook w:val="04A0" w:firstRow="1" w:lastRow="0" w:firstColumn="1" w:lastColumn="0" w:noHBand="0" w:noVBand="1"/>
      </w:tblPr>
      <w:tblGrid>
        <w:gridCol w:w="4390"/>
        <w:gridCol w:w="992"/>
        <w:gridCol w:w="1276"/>
        <w:gridCol w:w="1275"/>
        <w:gridCol w:w="993"/>
      </w:tblGrid>
      <w:tr w:rsidR="00A86127" w:rsidRPr="00B935DB" w14:paraId="7B4BC782" w14:textId="77777777" w:rsidTr="00271DBE">
        <w:trPr>
          <w:tblHeader/>
        </w:trPr>
        <w:tc>
          <w:tcPr>
            <w:tcW w:w="8926" w:type="dxa"/>
            <w:gridSpan w:val="5"/>
          </w:tcPr>
          <w:p w14:paraId="41E14CCA" w14:textId="77777777" w:rsidR="00A86127" w:rsidRPr="00BF65DA" w:rsidRDefault="00A86127" w:rsidP="00A86127">
            <w:pPr>
              <w:spacing w:after="0" w:line="240" w:lineRule="auto"/>
              <w:rPr>
                <w:rFonts w:ascii="Arial" w:hAnsi="Arial"/>
                <w:b/>
                <w:sz w:val="18"/>
                <w:szCs w:val="18"/>
              </w:rPr>
            </w:pPr>
            <w:r w:rsidRPr="00BF65DA">
              <w:rPr>
                <w:rFonts w:ascii="Arial" w:hAnsi="Arial"/>
                <w:b/>
                <w:sz w:val="18"/>
                <w:szCs w:val="18"/>
              </w:rPr>
              <w:t>Principle 3: Improving System Flow</w:t>
            </w:r>
          </w:p>
        </w:tc>
      </w:tr>
      <w:tr w:rsidR="00A86127" w:rsidRPr="00B935DB" w14:paraId="39D3FD99" w14:textId="77777777" w:rsidTr="00271DBE">
        <w:trPr>
          <w:tblHeader/>
        </w:trPr>
        <w:tc>
          <w:tcPr>
            <w:tcW w:w="4390" w:type="dxa"/>
          </w:tcPr>
          <w:p w14:paraId="2531B62C" w14:textId="77777777" w:rsidR="00A86127" w:rsidRPr="00B935DB" w:rsidRDefault="00A86127" w:rsidP="00A86127">
            <w:pPr>
              <w:spacing w:after="0" w:line="240" w:lineRule="auto"/>
              <w:rPr>
                <w:rFonts w:ascii="Arial" w:hAnsi="Arial"/>
                <w:sz w:val="18"/>
                <w:szCs w:val="18"/>
              </w:rPr>
            </w:pPr>
            <w:r w:rsidRPr="00B935DB">
              <w:rPr>
                <w:rFonts w:ascii="Arial" w:hAnsi="Arial"/>
                <w:bCs/>
                <w:sz w:val="18"/>
                <w:szCs w:val="18"/>
              </w:rPr>
              <w:t>Measure</w:t>
            </w:r>
          </w:p>
        </w:tc>
        <w:tc>
          <w:tcPr>
            <w:tcW w:w="992" w:type="dxa"/>
          </w:tcPr>
          <w:p w14:paraId="7F2677D8" w14:textId="04AA5D7A" w:rsidR="00A86127" w:rsidRPr="00B935DB" w:rsidRDefault="00A86127" w:rsidP="00B935DB">
            <w:pPr>
              <w:spacing w:after="0" w:line="240" w:lineRule="auto"/>
              <w:jc w:val="center"/>
              <w:rPr>
                <w:rFonts w:ascii="Arial" w:hAnsi="Arial"/>
                <w:bCs/>
                <w:sz w:val="18"/>
                <w:szCs w:val="18"/>
              </w:rPr>
            </w:pPr>
            <w:r w:rsidRPr="00B935DB">
              <w:rPr>
                <w:rFonts w:ascii="Arial" w:hAnsi="Arial"/>
                <w:bCs/>
                <w:sz w:val="18"/>
                <w:szCs w:val="18"/>
              </w:rPr>
              <w:t>Scottish</w:t>
            </w:r>
          </w:p>
          <w:p w14:paraId="01D08CB6" w14:textId="77777777" w:rsidR="00A86127" w:rsidRPr="00B935DB" w:rsidRDefault="00A86127" w:rsidP="00B935DB">
            <w:pPr>
              <w:spacing w:after="0" w:line="240" w:lineRule="auto"/>
              <w:jc w:val="center"/>
              <w:rPr>
                <w:rFonts w:ascii="Arial" w:hAnsi="Arial"/>
                <w:bCs/>
                <w:sz w:val="18"/>
                <w:szCs w:val="18"/>
              </w:rPr>
            </w:pPr>
            <w:r w:rsidRPr="00B935DB">
              <w:rPr>
                <w:rFonts w:ascii="Arial" w:hAnsi="Arial"/>
                <w:bCs/>
                <w:sz w:val="18"/>
                <w:szCs w:val="18"/>
              </w:rPr>
              <w:t>Average</w:t>
            </w:r>
          </w:p>
        </w:tc>
        <w:tc>
          <w:tcPr>
            <w:tcW w:w="1276" w:type="dxa"/>
          </w:tcPr>
          <w:p w14:paraId="38B2E3AE" w14:textId="77777777" w:rsidR="00A86127" w:rsidRPr="00B935DB" w:rsidRDefault="00A86127" w:rsidP="00B935DB">
            <w:pPr>
              <w:spacing w:after="0" w:line="240" w:lineRule="auto"/>
              <w:jc w:val="center"/>
              <w:rPr>
                <w:rFonts w:ascii="Arial" w:hAnsi="Arial"/>
                <w:sz w:val="18"/>
                <w:szCs w:val="18"/>
              </w:rPr>
            </w:pPr>
            <w:r w:rsidRPr="00B935DB">
              <w:rPr>
                <w:rFonts w:ascii="Arial" w:hAnsi="Arial"/>
                <w:bCs/>
                <w:sz w:val="18"/>
                <w:szCs w:val="18"/>
              </w:rPr>
              <w:t>Current Performance</w:t>
            </w:r>
          </w:p>
        </w:tc>
        <w:tc>
          <w:tcPr>
            <w:tcW w:w="1275" w:type="dxa"/>
          </w:tcPr>
          <w:p w14:paraId="41D56194" w14:textId="77777777" w:rsidR="00A86127" w:rsidRPr="00B935DB" w:rsidRDefault="00A86127" w:rsidP="00B935DB">
            <w:pPr>
              <w:spacing w:after="0" w:line="240" w:lineRule="auto"/>
              <w:jc w:val="center"/>
              <w:rPr>
                <w:rFonts w:ascii="Arial" w:hAnsi="Arial"/>
                <w:sz w:val="18"/>
                <w:szCs w:val="18"/>
              </w:rPr>
            </w:pPr>
            <w:r w:rsidRPr="00B935DB">
              <w:rPr>
                <w:rFonts w:ascii="Arial" w:hAnsi="Arial"/>
                <w:bCs/>
                <w:sz w:val="18"/>
                <w:szCs w:val="18"/>
              </w:rPr>
              <w:t>Previous Performance</w:t>
            </w:r>
          </w:p>
        </w:tc>
        <w:tc>
          <w:tcPr>
            <w:tcW w:w="993" w:type="dxa"/>
          </w:tcPr>
          <w:p w14:paraId="320D53AB" w14:textId="77777777" w:rsidR="00A86127" w:rsidRPr="00B935DB" w:rsidRDefault="00A86127" w:rsidP="00A86127">
            <w:pPr>
              <w:spacing w:after="0" w:line="240" w:lineRule="auto"/>
              <w:rPr>
                <w:rFonts w:ascii="Arial" w:hAnsi="Arial"/>
                <w:bCs/>
                <w:sz w:val="18"/>
                <w:szCs w:val="18"/>
              </w:rPr>
            </w:pPr>
            <w:r w:rsidRPr="00B935DB">
              <w:rPr>
                <w:rFonts w:ascii="Arial" w:hAnsi="Arial"/>
                <w:bCs/>
                <w:sz w:val="18"/>
                <w:szCs w:val="18"/>
              </w:rPr>
              <w:t>RAG</w:t>
            </w:r>
          </w:p>
          <w:p w14:paraId="444F85FC" w14:textId="77777777" w:rsidR="00A86127" w:rsidRPr="00B935DB" w:rsidRDefault="00A86127" w:rsidP="00A86127">
            <w:pPr>
              <w:spacing w:after="0" w:line="240" w:lineRule="auto"/>
              <w:rPr>
                <w:rFonts w:ascii="Arial" w:hAnsi="Arial"/>
                <w:sz w:val="18"/>
                <w:szCs w:val="18"/>
              </w:rPr>
            </w:pPr>
            <w:r w:rsidRPr="00B935DB">
              <w:rPr>
                <w:rFonts w:ascii="Arial" w:hAnsi="Arial"/>
                <w:bCs/>
                <w:sz w:val="18"/>
                <w:szCs w:val="18"/>
              </w:rPr>
              <w:t>Status</w:t>
            </w:r>
          </w:p>
        </w:tc>
      </w:tr>
      <w:tr w:rsidR="00A86127" w:rsidRPr="00B935DB" w14:paraId="485F8929" w14:textId="77777777" w:rsidTr="00F332D1">
        <w:tc>
          <w:tcPr>
            <w:tcW w:w="4390" w:type="dxa"/>
          </w:tcPr>
          <w:p w14:paraId="14B4A363"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NI-12: Emergency admission rate (per 100,000 population)</w:t>
            </w:r>
          </w:p>
        </w:tc>
        <w:tc>
          <w:tcPr>
            <w:tcW w:w="992" w:type="dxa"/>
          </w:tcPr>
          <w:p w14:paraId="70ECC768"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11,559</w:t>
            </w:r>
          </w:p>
        </w:tc>
        <w:tc>
          <w:tcPr>
            <w:tcW w:w="1276" w:type="dxa"/>
          </w:tcPr>
          <w:p w14:paraId="46AAD4B2"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8,665</w:t>
            </w:r>
          </w:p>
        </w:tc>
        <w:tc>
          <w:tcPr>
            <w:tcW w:w="1275" w:type="dxa"/>
          </w:tcPr>
          <w:p w14:paraId="22AE8A81"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9,805</w:t>
            </w:r>
          </w:p>
        </w:tc>
        <w:tc>
          <w:tcPr>
            <w:tcW w:w="993" w:type="dxa"/>
            <w:shd w:val="clear" w:color="auto" w:fill="92D050"/>
          </w:tcPr>
          <w:p w14:paraId="1D04488A" w14:textId="77777777" w:rsidR="00A86127" w:rsidRPr="00B935DB" w:rsidRDefault="00A86127" w:rsidP="00A86127">
            <w:pPr>
              <w:spacing w:after="0" w:line="240" w:lineRule="auto"/>
              <w:rPr>
                <w:rFonts w:ascii="Arial" w:hAnsi="Arial"/>
                <w:sz w:val="18"/>
                <w:szCs w:val="18"/>
              </w:rPr>
            </w:pPr>
          </w:p>
        </w:tc>
      </w:tr>
      <w:tr w:rsidR="00A86127" w:rsidRPr="00B935DB" w14:paraId="4885B78E" w14:textId="77777777" w:rsidTr="00F332D1">
        <w:tc>
          <w:tcPr>
            <w:tcW w:w="4390" w:type="dxa"/>
          </w:tcPr>
          <w:p w14:paraId="141DB81F"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NI-13: Emergency bed day rate (per 100,000 population)</w:t>
            </w:r>
          </w:p>
        </w:tc>
        <w:tc>
          <w:tcPr>
            <w:tcW w:w="992" w:type="dxa"/>
          </w:tcPr>
          <w:p w14:paraId="532D4903"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113,627</w:t>
            </w:r>
          </w:p>
        </w:tc>
        <w:tc>
          <w:tcPr>
            <w:tcW w:w="1276" w:type="dxa"/>
          </w:tcPr>
          <w:p w14:paraId="0B56EA6F"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86,474</w:t>
            </w:r>
          </w:p>
        </w:tc>
        <w:tc>
          <w:tcPr>
            <w:tcW w:w="1275" w:type="dxa"/>
          </w:tcPr>
          <w:p w14:paraId="206C5ED8"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97,032</w:t>
            </w:r>
          </w:p>
        </w:tc>
        <w:tc>
          <w:tcPr>
            <w:tcW w:w="993" w:type="dxa"/>
            <w:shd w:val="clear" w:color="auto" w:fill="92D050"/>
          </w:tcPr>
          <w:p w14:paraId="787F58FC" w14:textId="77777777" w:rsidR="00A86127" w:rsidRPr="00B935DB" w:rsidRDefault="00A86127" w:rsidP="00A86127">
            <w:pPr>
              <w:spacing w:after="0" w:line="240" w:lineRule="auto"/>
              <w:rPr>
                <w:rFonts w:ascii="Arial" w:hAnsi="Arial"/>
                <w:sz w:val="18"/>
                <w:szCs w:val="18"/>
              </w:rPr>
            </w:pPr>
          </w:p>
        </w:tc>
      </w:tr>
      <w:tr w:rsidR="00A86127" w:rsidRPr="00B935DB" w14:paraId="500A9840" w14:textId="77777777" w:rsidTr="00F332D1">
        <w:tc>
          <w:tcPr>
            <w:tcW w:w="4390" w:type="dxa"/>
          </w:tcPr>
          <w:p w14:paraId="4CDF8DBD"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NI-14: Emergency readmissions to hospital within 28 days of discharge (rate per 1,000 discharges)</w:t>
            </w:r>
          </w:p>
        </w:tc>
        <w:tc>
          <w:tcPr>
            <w:tcW w:w="992" w:type="dxa"/>
          </w:tcPr>
          <w:p w14:paraId="374D6C9E"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103</w:t>
            </w:r>
          </w:p>
        </w:tc>
        <w:tc>
          <w:tcPr>
            <w:tcW w:w="1276" w:type="dxa"/>
          </w:tcPr>
          <w:p w14:paraId="304CC4E3"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117</w:t>
            </w:r>
          </w:p>
        </w:tc>
        <w:tc>
          <w:tcPr>
            <w:tcW w:w="1275" w:type="dxa"/>
          </w:tcPr>
          <w:p w14:paraId="0C2A09FE"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126</w:t>
            </w:r>
          </w:p>
        </w:tc>
        <w:tc>
          <w:tcPr>
            <w:tcW w:w="993" w:type="dxa"/>
            <w:shd w:val="clear" w:color="auto" w:fill="FFC000"/>
          </w:tcPr>
          <w:p w14:paraId="43CDFA5D" w14:textId="77777777" w:rsidR="00A86127" w:rsidRPr="00B935DB" w:rsidRDefault="00A86127" w:rsidP="00A86127">
            <w:pPr>
              <w:spacing w:after="0" w:line="240" w:lineRule="auto"/>
              <w:rPr>
                <w:rFonts w:ascii="Arial" w:hAnsi="Arial"/>
                <w:sz w:val="18"/>
                <w:szCs w:val="18"/>
              </w:rPr>
            </w:pPr>
          </w:p>
        </w:tc>
      </w:tr>
      <w:tr w:rsidR="00A86127" w:rsidRPr="00B935DB" w14:paraId="52C873EB" w14:textId="77777777" w:rsidTr="00F332D1">
        <w:tc>
          <w:tcPr>
            <w:tcW w:w="4390" w:type="dxa"/>
          </w:tcPr>
          <w:p w14:paraId="417FC09E"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NI-19: Number of days people spend in hospital when they are ready to be discharged (per 1,000 population)</w:t>
            </w:r>
          </w:p>
        </w:tc>
        <w:tc>
          <w:tcPr>
            <w:tcW w:w="992" w:type="dxa"/>
          </w:tcPr>
          <w:p w14:paraId="5D0D406B"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952</w:t>
            </w:r>
          </w:p>
        </w:tc>
        <w:tc>
          <w:tcPr>
            <w:tcW w:w="1276" w:type="dxa"/>
          </w:tcPr>
          <w:p w14:paraId="606D2C99"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655</w:t>
            </w:r>
          </w:p>
        </w:tc>
        <w:tc>
          <w:tcPr>
            <w:tcW w:w="1275" w:type="dxa"/>
          </w:tcPr>
          <w:p w14:paraId="5754E0B8"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207</w:t>
            </w:r>
          </w:p>
        </w:tc>
        <w:tc>
          <w:tcPr>
            <w:tcW w:w="993" w:type="dxa"/>
            <w:shd w:val="clear" w:color="auto" w:fill="FFC000"/>
          </w:tcPr>
          <w:p w14:paraId="6E3DC556" w14:textId="77777777" w:rsidR="00A86127" w:rsidRPr="00B935DB" w:rsidRDefault="00A86127" w:rsidP="00A86127">
            <w:pPr>
              <w:spacing w:after="0" w:line="240" w:lineRule="auto"/>
              <w:rPr>
                <w:rFonts w:ascii="Arial" w:hAnsi="Arial"/>
                <w:sz w:val="18"/>
                <w:szCs w:val="18"/>
              </w:rPr>
            </w:pPr>
          </w:p>
        </w:tc>
      </w:tr>
      <w:tr w:rsidR="00A86127" w:rsidRPr="00B935DB" w14:paraId="204466B4" w14:textId="77777777" w:rsidTr="00F332D1">
        <w:tc>
          <w:tcPr>
            <w:tcW w:w="4390" w:type="dxa"/>
          </w:tcPr>
          <w:p w14:paraId="6F13EBFD"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MSG1b. - Percentage admitted from A&amp;E all ages (average for year)</w:t>
            </w:r>
          </w:p>
        </w:tc>
        <w:tc>
          <w:tcPr>
            <w:tcW w:w="992" w:type="dxa"/>
            <w:shd w:val="clear" w:color="auto" w:fill="BFBFBF"/>
          </w:tcPr>
          <w:p w14:paraId="6A513F25"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49F0608F"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23</w:t>
            </w:r>
          </w:p>
        </w:tc>
        <w:tc>
          <w:tcPr>
            <w:tcW w:w="1275" w:type="dxa"/>
          </w:tcPr>
          <w:p w14:paraId="25B519EE"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23</w:t>
            </w:r>
          </w:p>
        </w:tc>
        <w:tc>
          <w:tcPr>
            <w:tcW w:w="993" w:type="dxa"/>
            <w:shd w:val="clear" w:color="auto" w:fill="FFC000"/>
          </w:tcPr>
          <w:p w14:paraId="2FB079FB" w14:textId="77777777" w:rsidR="00A86127" w:rsidRPr="00B935DB" w:rsidRDefault="00A86127" w:rsidP="00A86127">
            <w:pPr>
              <w:spacing w:after="0" w:line="240" w:lineRule="auto"/>
              <w:rPr>
                <w:rFonts w:ascii="Arial" w:hAnsi="Arial"/>
                <w:sz w:val="18"/>
                <w:szCs w:val="18"/>
              </w:rPr>
            </w:pPr>
          </w:p>
        </w:tc>
      </w:tr>
      <w:tr w:rsidR="00A86127" w:rsidRPr="00B935DB" w14:paraId="353BCA46" w14:textId="77777777" w:rsidTr="00F332D1">
        <w:tc>
          <w:tcPr>
            <w:tcW w:w="4390" w:type="dxa"/>
          </w:tcPr>
          <w:p w14:paraId="7B24DD08"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MSG2a. – Unscheduled bed days, acute specialities</w:t>
            </w:r>
          </w:p>
        </w:tc>
        <w:tc>
          <w:tcPr>
            <w:tcW w:w="992" w:type="dxa"/>
            <w:shd w:val="clear" w:color="auto" w:fill="BFBFBF"/>
          </w:tcPr>
          <w:p w14:paraId="50406D59"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52AFC978"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107,404</w:t>
            </w:r>
          </w:p>
        </w:tc>
        <w:tc>
          <w:tcPr>
            <w:tcW w:w="1275" w:type="dxa"/>
          </w:tcPr>
          <w:p w14:paraId="3CD0EE24"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130,236</w:t>
            </w:r>
          </w:p>
        </w:tc>
        <w:tc>
          <w:tcPr>
            <w:tcW w:w="993" w:type="dxa"/>
            <w:shd w:val="clear" w:color="auto" w:fill="92D050"/>
          </w:tcPr>
          <w:p w14:paraId="364CA3FC" w14:textId="77777777" w:rsidR="00A86127" w:rsidRPr="00B935DB" w:rsidRDefault="00A86127" w:rsidP="00A86127">
            <w:pPr>
              <w:spacing w:after="0" w:line="240" w:lineRule="auto"/>
              <w:rPr>
                <w:rFonts w:ascii="Arial" w:hAnsi="Arial"/>
                <w:sz w:val="18"/>
                <w:szCs w:val="18"/>
              </w:rPr>
            </w:pPr>
          </w:p>
        </w:tc>
      </w:tr>
      <w:tr w:rsidR="00A86127" w:rsidRPr="00B935DB" w14:paraId="4EB8E110" w14:textId="77777777" w:rsidTr="00F332D1">
        <w:tc>
          <w:tcPr>
            <w:tcW w:w="4390" w:type="dxa"/>
          </w:tcPr>
          <w:p w14:paraId="51CB9D18"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MSG2b. – Unscheduled bed days- Geriatric long stay</w:t>
            </w:r>
          </w:p>
        </w:tc>
        <w:tc>
          <w:tcPr>
            <w:tcW w:w="992" w:type="dxa"/>
            <w:shd w:val="clear" w:color="auto" w:fill="BFBFBF"/>
          </w:tcPr>
          <w:p w14:paraId="0B568E5E"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12A06E2A"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5,138</w:t>
            </w:r>
          </w:p>
        </w:tc>
        <w:tc>
          <w:tcPr>
            <w:tcW w:w="1275" w:type="dxa"/>
          </w:tcPr>
          <w:p w14:paraId="2FAEF5B5"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7,036</w:t>
            </w:r>
          </w:p>
        </w:tc>
        <w:tc>
          <w:tcPr>
            <w:tcW w:w="993" w:type="dxa"/>
            <w:shd w:val="clear" w:color="auto" w:fill="92D050"/>
          </w:tcPr>
          <w:p w14:paraId="66150049" w14:textId="77777777" w:rsidR="00A86127" w:rsidRPr="00B935DB" w:rsidRDefault="00A86127" w:rsidP="00A86127">
            <w:pPr>
              <w:spacing w:after="0" w:line="240" w:lineRule="auto"/>
              <w:rPr>
                <w:rFonts w:ascii="Arial" w:hAnsi="Arial"/>
                <w:sz w:val="18"/>
                <w:szCs w:val="18"/>
              </w:rPr>
            </w:pPr>
          </w:p>
        </w:tc>
      </w:tr>
      <w:tr w:rsidR="00A86127" w:rsidRPr="00B935DB" w14:paraId="1FA4FA08" w14:textId="77777777" w:rsidTr="00F332D1">
        <w:tc>
          <w:tcPr>
            <w:tcW w:w="4390" w:type="dxa"/>
          </w:tcPr>
          <w:p w14:paraId="259EF5E9"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MSG2c. – Unscheduled bed days, Mental Health</w:t>
            </w:r>
          </w:p>
        </w:tc>
        <w:tc>
          <w:tcPr>
            <w:tcW w:w="992" w:type="dxa"/>
            <w:shd w:val="clear" w:color="auto" w:fill="BFBFBF"/>
          </w:tcPr>
          <w:p w14:paraId="5E4CAFFA"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3F07FCD6"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51,535</w:t>
            </w:r>
          </w:p>
        </w:tc>
        <w:tc>
          <w:tcPr>
            <w:tcW w:w="1275" w:type="dxa"/>
          </w:tcPr>
          <w:p w14:paraId="307B709D"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51,687</w:t>
            </w:r>
          </w:p>
        </w:tc>
        <w:tc>
          <w:tcPr>
            <w:tcW w:w="993" w:type="dxa"/>
            <w:shd w:val="clear" w:color="auto" w:fill="92D050"/>
          </w:tcPr>
          <w:p w14:paraId="0A9C0CD5" w14:textId="77777777" w:rsidR="00A86127" w:rsidRPr="00B935DB" w:rsidRDefault="00A86127" w:rsidP="00A86127">
            <w:pPr>
              <w:spacing w:after="0" w:line="240" w:lineRule="auto"/>
              <w:rPr>
                <w:rFonts w:ascii="Arial" w:hAnsi="Arial"/>
                <w:sz w:val="18"/>
                <w:szCs w:val="18"/>
              </w:rPr>
            </w:pPr>
          </w:p>
        </w:tc>
      </w:tr>
      <w:tr w:rsidR="00A86127" w:rsidRPr="00B935DB" w14:paraId="5CA435EF" w14:textId="77777777" w:rsidTr="00F332D1">
        <w:tc>
          <w:tcPr>
            <w:tcW w:w="4390" w:type="dxa"/>
          </w:tcPr>
          <w:p w14:paraId="1718D6A8"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MSG3a. – A&amp;E attendances</w:t>
            </w:r>
          </w:p>
        </w:tc>
        <w:tc>
          <w:tcPr>
            <w:tcW w:w="992" w:type="dxa"/>
            <w:shd w:val="clear" w:color="auto" w:fill="BFBFBF"/>
          </w:tcPr>
          <w:p w14:paraId="2EEFA507"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3A9AC7A6"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42,179</w:t>
            </w:r>
          </w:p>
        </w:tc>
        <w:tc>
          <w:tcPr>
            <w:tcW w:w="1275" w:type="dxa"/>
          </w:tcPr>
          <w:p w14:paraId="5EE9F76E"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42,163</w:t>
            </w:r>
          </w:p>
        </w:tc>
        <w:tc>
          <w:tcPr>
            <w:tcW w:w="993" w:type="dxa"/>
            <w:shd w:val="clear" w:color="auto" w:fill="FFC000"/>
          </w:tcPr>
          <w:p w14:paraId="50C625C7" w14:textId="77777777" w:rsidR="00A86127" w:rsidRPr="00B935DB" w:rsidRDefault="00A86127" w:rsidP="00A86127">
            <w:pPr>
              <w:spacing w:after="0" w:line="240" w:lineRule="auto"/>
              <w:rPr>
                <w:rFonts w:ascii="Arial" w:hAnsi="Arial"/>
                <w:sz w:val="18"/>
                <w:szCs w:val="18"/>
              </w:rPr>
            </w:pPr>
          </w:p>
        </w:tc>
      </w:tr>
      <w:tr w:rsidR="00A86127" w:rsidRPr="00B935DB" w14:paraId="6E03F3B0" w14:textId="77777777" w:rsidTr="00F332D1">
        <w:tc>
          <w:tcPr>
            <w:tcW w:w="4390" w:type="dxa"/>
          </w:tcPr>
          <w:p w14:paraId="22B5E838"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lastRenderedPageBreak/>
              <w:t>MSG3b. – Percentage seen in A&amp;E within 4 hours all ages (average for year)</w:t>
            </w:r>
          </w:p>
        </w:tc>
        <w:tc>
          <w:tcPr>
            <w:tcW w:w="992" w:type="dxa"/>
            <w:shd w:val="clear" w:color="auto" w:fill="BFBFBF"/>
          </w:tcPr>
          <w:p w14:paraId="379A7061"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3AD61061"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57</w:t>
            </w:r>
          </w:p>
        </w:tc>
        <w:tc>
          <w:tcPr>
            <w:tcW w:w="1275" w:type="dxa"/>
          </w:tcPr>
          <w:p w14:paraId="413F3C98"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57</w:t>
            </w:r>
          </w:p>
        </w:tc>
        <w:tc>
          <w:tcPr>
            <w:tcW w:w="993" w:type="dxa"/>
            <w:shd w:val="clear" w:color="auto" w:fill="FFC000"/>
          </w:tcPr>
          <w:p w14:paraId="32046784" w14:textId="77777777" w:rsidR="00A86127" w:rsidRPr="00B935DB" w:rsidRDefault="00A86127" w:rsidP="00A86127">
            <w:pPr>
              <w:spacing w:after="0" w:line="240" w:lineRule="auto"/>
              <w:rPr>
                <w:rFonts w:ascii="Arial" w:hAnsi="Arial"/>
                <w:sz w:val="18"/>
                <w:szCs w:val="18"/>
              </w:rPr>
            </w:pPr>
          </w:p>
        </w:tc>
      </w:tr>
      <w:tr w:rsidR="00A86127" w:rsidRPr="00B935DB" w14:paraId="148D9BB3" w14:textId="77777777" w:rsidTr="00F332D1">
        <w:tc>
          <w:tcPr>
            <w:tcW w:w="4390" w:type="dxa"/>
          </w:tcPr>
          <w:p w14:paraId="28A8A4BE"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MSG4. – Delayed Discharge bed days (age 18+)</w:t>
            </w:r>
          </w:p>
        </w:tc>
        <w:tc>
          <w:tcPr>
            <w:tcW w:w="992" w:type="dxa"/>
            <w:shd w:val="clear" w:color="auto" w:fill="BFBFBF"/>
          </w:tcPr>
          <w:p w14:paraId="68C4E5F6" w14:textId="77777777" w:rsidR="00A86127" w:rsidRPr="00B935DB" w:rsidRDefault="00A86127" w:rsidP="00B935DB">
            <w:pPr>
              <w:spacing w:after="0" w:line="240" w:lineRule="auto"/>
              <w:jc w:val="center"/>
              <w:rPr>
                <w:rFonts w:ascii="Arial" w:hAnsi="Arial"/>
                <w:sz w:val="18"/>
                <w:szCs w:val="18"/>
                <w:highlight w:val="lightGray"/>
              </w:rPr>
            </w:pPr>
          </w:p>
        </w:tc>
        <w:tc>
          <w:tcPr>
            <w:tcW w:w="1276" w:type="dxa"/>
          </w:tcPr>
          <w:p w14:paraId="64B6FF82"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18,066</w:t>
            </w:r>
          </w:p>
        </w:tc>
        <w:tc>
          <w:tcPr>
            <w:tcW w:w="1275" w:type="dxa"/>
          </w:tcPr>
          <w:p w14:paraId="5B7502B4" w14:textId="77777777" w:rsidR="00A86127" w:rsidRPr="00B935DB" w:rsidRDefault="00A86127" w:rsidP="00B935DB">
            <w:pPr>
              <w:spacing w:after="0" w:line="240" w:lineRule="auto"/>
              <w:jc w:val="center"/>
              <w:rPr>
                <w:rFonts w:ascii="Arial" w:hAnsi="Arial"/>
                <w:sz w:val="18"/>
                <w:szCs w:val="18"/>
              </w:rPr>
            </w:pPr>
            <w:r w:rsidRPr="00B935DB">
              <w:rPr>
                <w:rFonts w:ascii="Arial" w:hAnsi="Arial"/>
                <w:sz w:val="18"/>
                <w:szCs w:val="18"/>
              </w:rPr>
              <w:t>7,016</w:t>
            </w:r>
          </w:p>
        </w:tc>
        <w:tc>
          <w:tcPr>
            <w:tcW w:w="993" w:type="dxa"/>
            <w:shd w:val="clear" w:color="auto" w:fill="EE0000"/>
          </w:tcPr>
          <w:p w14:paraId="32F5A37C" w14:textId="77777777" w:rsidR="00A86127" w:rsidRPr="00B935DB" w:rsidRDefault="00A86127" w:rsidP="00A86127">
            <w:pPr>
              <w:spacing w:after="0" w:line="240" w:lineRule="auto"/>
              <w:rPr>
                <w:rFonts w:ascii="Arial" w:hAnsi="Arial"/>
                <w:sz w:val="18"/>
                <w:szCs w:val="18"/>
              </w:rPr>
            </w:pPr>
          </w:p>
        </w:tc>
      </w:tr>
      <w:tr w:rsidR="00A86127" w:rsidRPr="00B935DB" w14:paraId="2C459AA4" w14:textId="77777777" w:rsidTr="00482DF6">
        <w:tc>
          <w:tcPr>
            <w:tcW w:w="4390" w:type="dxa"/>
          </w:tcPr>
          <w:p w14:paraId="2BEBF87D"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Delayed Discharges – Standard Delays</w:t>
            </w:r>
          </w:p>
        </w:tc>
        <w:tc>
          <w:tcPr>
            <w:tcW w:w="992" w:type="dxa"/>
            <w:shd w:val="clear" w:color="auto" w:fill="FFFFFF"/>
          </w:tcPr>
          <w:p w14:paraId="16A88BAF" w14:textId="40772DF1" w:rsidR="00A86127" w:rsidRPr="00B935DB" w:rsidRDefault="00482DF6" w:rsidP="00482DF6">
            <w:pPr>
              <w:spacing w:after="0" w:line="240" w:lineRule="auto"/>
              <w:jc w:val="center"/>
              <w:rPr>
                <w:rFonts w:ascii="Arial" w:hAnsi="Arial"/>
                <w:sz w:val="18"/>
                <w:szCs w:val="18"/>
              </w:rPr>
            </w:pPr>
            <w:r>
              <w:rPr>
                <w:rFonts w:ascii="Arial" w:hAnsi="Arial"/>
                <w:sz w:val="18"/>
                <w:szCs w:val="18"/>
              </w:rPr>
              <w:t>72%</w:t>
            </w:r>
          </w:p>
        </w:tc>
        <w:tc>
          <w:tcPr>
            <w:tcW w:w="1276" w:type="dxa"/>
          </w:tcPr>
          <w:p w14:paraId="5B037BDC" w14:textId="65E233C6" w:rsidR="00A86127" w:rsidRPr="00B935DB" w:rsidRDefault="00482DF6" w:rsidP="00482DF6">
            <w:pPr>
              <w:spacing w:after="0" w:line="240" w:lineRule="auto"/>
              <w:jc w:val="center"/>
              <w:rPr>
                <w:rFonts w:ascii="Arial" w:hAnsi="Arial"/>
                <w:sz w:val="18"/>
                <w:szCs w:val="18"/>
              </w:rPr>
            </w:pPr>
            <w:r>
              <w:rPr>
                <w:rFonts w:ascii="Arial" w:hAnsi="Arial"/>
                <w:sz w:val="18"/>
                <w:szCs w:val="18"/>
              </w:rPr>
              <w:t>91%</w:t>
            </w:r>
          </w:p>
        </w:tc>
        <w:tc>
          <w:tcPr>
            <w:tcW w:w="1275" w:type="dxa"/>
          </w:tcPr>
          <w:p w14:paraId="2FB3851C" w14:textId="0923D142" w:rsidR="00A86127" w:rsidRPr="00B935DB" w:rsidRDefault="00482DF6" w:rsidP="00482DF6">
            <w:pPr>
              <w:spacing w:after="0" w:line="240" w:lineRule="auto"/>
              <w:jc w:val="center"/>
              <w:rPr>
                <w:rFonts w:ascii="Arial" w:hAnsi="Arial"/>
                <w:sz w:val="18"/>
                <w:szCs w:val="18"/>
              </w:rPr>
            </w:pPr>
            <w:r>
              <w:rPr>
                <w:rFonts w:ascii="Arial" w:hAnsi="Arial"/>
                <w:sz w:val="18"/>
                <w:szCs w:val="18"/>
              </w:rPr>
              <w:t>91%</w:t>
            </w:r>
          </w:p>
        </w:tc>
        <w:tc>
          <w:tcPr>
            <w:tcW w:w="993" w:type="dxa"/>
            <w:shd w:val="clear" w:color="auto" w:fill="FFC000"/>
          </w:tcPr>
          <w:p w14:paraId="15064304" w14:textId="77777777" w:rsidR="00A86127" w:rsidRPr="00B935DB" w:rsidRDefault="00A86127" w:rsidP="00482DF6">
            <w:pPr>
              <w:spacing w:after="0" w:line="240" w:lineRule="auto"/>
              <w:jc w:val="center"/>
              <w:rPr>
                <w:rFonts w:ascii="Arial" w:hAnsi="Arial"/>
                <w:sz w:val="18"/>
                <w:szCs w:val="18"/>
              </w:rPr>
            </w:pPr>
          </w:p>
        </w:tc>
      </w:tr>
      <w:tr w:rsidR="00A86127" w:rsidRPr="00B935DB" w14:paraId="486A5756" w14:textId="77777777" w:rsidTr="00561C02">
        <w:tc>
          <w:tcPr>
            <w:tcW w:w="4390" w:type="dxa"/>
          </w:tcPr>
          <w:p w14:paraId="054A432C"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Delayed Discharges – Adults with Incapacity</w:t>
            </w:r>
          </w:p>
        </w:tc>
        <w:tc>
          <w:tcPr>
            <w:tcW w:w="992" w:type="dxa"/>
            <w:shd w:val="clear" w:color="auto" w:fill="FFFFFF"/>
          </w:tcPr>
          <w:p w14:paraId="0CFFAE4D" w14:textId="6892F255" w:rsidR="00A86127" w:rsidRPr="00B935DB" w:rsidRDefault="00482DF6" w:rsidP="00482DF6">
            <w:pPr>
              <w:spacing w:after="0" w:line="240" w:lineRule="auto"/>
              <w:jc w:val="center"/>
              <w:rPr>
                <w:rFonts w:ascii="Arial" w:hAnsi="Arial"/>
                <w:sz w:val="18"/>
                <w:szCs w:val="18"/>
              </w:rPr>
            </w:pPr>
            <w:r>
              <w:rPr>
                <w:rFonts w:ascii="Arial" w:hAnsi="Arial"/>
                <w:sz w:val="18"/>
                <w:szCs w:val="18"/>
              </w:rPr>
              <w:t>21%</w:t>
            </w:r>
          </w:p>
        </w:tc>
        <w:tc>
          <w:tcPr>
            <w:tcW w:w="1276" w:type="dxa"/>
          </w:tcPr>
          <w:p w14:paraId="47CE861B" w14:textId="6F927C42" w:rsidR="00A86127" w:rsidRPr="00B935DB" w:rsidRDefault="00482DF6" w:rsidP="00482DF6">
            <w:pPr>
              <w:spacing w:after="0" w:line="240" w:lineRule="auto"/>
              <w:jc w:val="center"/>
              <w:rPr>
                <w:rFonts w:ascii="Arial" w:hAnsi="Arial"/>
                <w:sz w:val="18"/>
                <w:szCs w:val="18"/>
              </w:rPr>
            </w:pPr>
            <w:r>
              <w:rPr>
                <w:rFonts w:ascii="Arial" w:hAnsi="Arial"/>
                <w:sz w:val="18"/>
                <w:szCs w:val="18"/>
              </w:rPr>
              <w:t>11%</w:t>
            </w:r>
          </w:p>
        </w:tc>
        <w:tc>
          <w:tcPr>
            <w:tcW w:w="1275" w:type="dxa"/>
          </w:tcPr>
          <w:p w14:paraId="58FB943F" w14:textId="770C8433" w:rsidR="00A86127" w:rsidRPr="00B935DB" w:rsidRDefault="00482DF6" w:rsidP="00482DF6">
            <w:pPr>
              <w:spacing w:after="0" w:line="240" w:lineRule="auto"/>
              <w:jc w:val="center"/>
              <w:rPr>
                <w:rFonts w:ascii="Arial" w:hAnsi="Arial"/>
                <w:sz w:val="18"/>
                <w:szCs w:val="18"/>
              </w:rPr>
            </w:pPr>
            <w:r>
              <w:rPr>
                <w:rFonts w:ascii="Arial" w:hAnsi="Arial"/>
                <w:sz w:val="18"/>
                <w:szCs w:val="18"/>
              </w:rPr>
              <w:t>23%</w:t>
            </w:r>
          </w:p>
        </w:tc>
        <w:tc>
          <w:tcPr>
            <w:tcW w:w="993" w:type="dxa"/>
            <w:shd w:val="clear" w:color="auto" w:fill="92D050"/>
          </w:tcPr>
          <w:p w14:paraId="467317F1" w14:textId="77777777" w:rsidR="00A86127" w:rsidRPr="00B935DB" w:rsidRDefault="00A86127" w:rsidP="00482DF6">
            <w:pPr>
              <w:spacing w:after="0" w:line="240" w:lineRule="auto"/>
              <w:jc w:val="center"/>
              <w:rPr>
                <w:rFonts w:ascii="Arial" w:hAnsi="Arial"/>
                <w:sz w:val="18"/>
                <w:szCs w:val="18"/>
              </w:rPr>
            </w:pPr>
          </w:p>
        </w:tc>
      </w:tr>
      <w:tr w:rsidR="00A86127" w:rsidRPr="00B935DB" w14:paraId="5A73DE34" w14:textId="77777777" w:rsidTr="00561C02">
        <w:tc>
          <w:tcPr>
            <w:tcW w:w="4390" w:type="dxa"/>
          </w:tcPr>
          <w:p w14:paraId="32A54F77" w14:textId="77777777" w:rsidR="00A86127" w:rsidRPr="00B935DB" w:rsidRDefault="00A86127" w:rsidP="00A86127">
            <w:pPr>
              <w:spacing w:after="0" w:line="240" w:lineRule="auto"/>
              <w:rPr>
                <w:rFonts w:ascii="Arial" w:hAnsi="Arial"/>
                <w:sz w:val="18"/>
                <w:szCs w:val="18"/>
              </w:rPr>
            </w:pPr>
            <w:r w:rsidRPr="00B935DB">
              <w:rPr>
                <w:rFonts w:ascii="Arial" w:hAnsi="Arial"/>
                <w:sz w:val="18"/>
                <w:szCs w:val="18"/>
              </w:rPr>
              <w:t xml:space="preserve">Delayed Discharges – Complex/Other </w:t>
            </w:r>
          </w:p>
        </w:tc>
        <w:tc>
          <w:tcPr>
            <w:tcW w:w="992" w:type="dxa"/>
            <w:shd w:val="clear" w:color="auto" w:fill="FFFFFF"/>
          </w:tcPr>
          <w:p w14:paraId="0AE65E2D" w14:textId="3408D287" w:rsidR="00A86127" w:rsidRPr="00B935DB" w:rsidRDefault="00482DF6" w:rsidP="00482DF6">
            <w:pPr>
              <w:spacing w:after="0" w:line="240" w:lineRule="auto"/>
              <w:jc w:val="center"/>
              <w:rPr>
                <w:rFonts w:ascii="Arial" w:hAnsi="Arial"/>
                <w:sz w:val="18"/>
                <w:szCs w:val="18"/>
              </w:rPr>
            </w:pPr>
            <w:r>
              <w:rPr>
                <w:rFonts w:ascii="Arial" w:hAnsi="Arial"/>
                <w:sz w:val="18"/>
                <w:szCs w:val="18"/>
              </w:rPr>
              <w:t>7%</w:t>
            </w:r>
          </w:p>
        </w:tc>
        <w:tc>
          <w:tcPr>
            <w:tcW w:w="1276" w:type="dxa"/>
          </w:tcPr>
          <w:p w14:paraId="42B7A4F0" w14:textId="6872D4AE" w:rsidR="00A86127" w:rsidRPr="00B935DB" w:rsidRDefault="00482DF6" w:rsidP="00482DF6">
            <w:pPr>
              <w:spacing w:after="0" w:line="240" w:lineRule="auto"/>
              <w:jc w:val="center"/>
              <w:rPr>
                <w:rFonts w:ascii="Arial" w:hAnsi="Arial"/>
                <w:sz w:val="18"/>
                <w:szCs w:val="18"/>
              </w:rPr>
            </w:pPr>
            <w:r>
              <w:rPr>
                <w:rFonts w:ascii="Arial" w:hAnsi="Arial"/>
                <w:sz w:val="18"/>
                <w:szCs w:val="18"/>
              </w:rPr>
              <w:t>6%</w:t>
            </w:r>
          </w:p>
        </w:tc>
        <w:tc>
          <w:tcPr>
            <w:tcW w:w="1275" w:type="dxa"/>
          </w:tcPr>
          <w:p w14:paraId="1A3F54B2" w14:textId="37DBC58E" w:rsidR="00A86127" w:rsidRPr="00B935DB" w:rsidRDefault="00482DF6" w:rsidP="00482DF6">
            <w:pPr>
              <w:spacing w:after="0" w:line="240" w:lineRule="auto"/>
              <w:jc w:val="center"/>
              <w:rPr>
                <w:rFonts w:ascii="Arial" w:hAnsi="Arial"/>
                <w:sz w:val="18"/>
                <w:szCs w:val="18"/>
              </w:rPr>
            </w:pPr>
            <w:r>
              <w:rPr>
                <w:rFonts w:ascii="Arial" w:hAnsi="Arial"/>
                <w:sz w:val="18"/>
                <w:szCs w:val="18"/>
              </w:rPr>
              <w:t>8%</w:t>
            </w:r>
          </w:p>
        </w:tc>
        <w:tc>
          <w:tcPr>
            <w:tcW w:w="993" w:type="dxa"/>
            <w:shd w:val="clear" w:color="auto" w:fill="92D050"/>
          </w:tcPr>
          <w:p w14:paraId="0AA0EB69" w14:textId="77777777" w:rsidR="00A86127" w:rsidRPr="00B935DB" w:rsidRDefault="00A86127" w:rsidP="00482DF6">
            <w:pPr>
              <w:spacing w:after="0" w:line="240" w:lineRule="auto"/>
              <w:jc w:val="center"/>
              <w:rPr>
                <w:rFonts w:ascii="Arial" w:hAnsi="Arial"/>
                <w:sz w:val="18"/>
                <w:szCs w:val="18"/>
              </w:rPr>
            </w:pPr>
          </w:p>
        </w:tc>
      </w:tr>
      <w:tr w:rsidR="00A86127" w:rsidRPr="00B935DB" w14:paraId="7F10F441" w14:textId="77777777" w:rsidTr="00F332D1">
        <w:tc>
          <w:tcPr>
            <w:tcW w:w="8926" w:type="dxa"/>
            <w:gridSpan w:val="5"/>
          </w:tcPr>
          <w:p w14:paraId="2A206089" w14:textId="77777777" w:rsidR="00A86127" w:rsidRPr="00561C02" w:rsidRDefault="00A86127" w:rsidP="00A86127">
            <w:pPr>
              <w:spacing w:after="0" w:line="240" w:lineRule="auto"/>
              <w:rPr>
                <w:rFonts w:ascii="Arial" w:hAnsi="Arial"/>
                <w:b/>
                <w:sz w:val="18"/>
                <w:szCs w:val="18"/>
              </w:rPr>
            </w:pPr>
            <w:r w:rsidRPr="00561C02">
              <w:rPr>
                <w:rFonts w:ascii="Arial" w:hAnsi="Arial"/>
                <w:b/>
                <w:sz w:val="18"/>
                <w:szCs w:val="18"/>
              </w:rPr>
              <w:t>Overall Assessment of Performance</w:t>
            </w:r>
          </w:p>
          <w:p w14:paraId="6FE2F5F3" w14:textId="77777777" w:rsidR="00A86127" w:rsidRPr="00B43495" w:rsidRDefault="00A86127" w:rsidP="00B43495">
            <w:pPr>
              <w:spacing w:after="0" w:line="240" w:lineRule="auto"/>
              <w:rPr>
                <w:rFonts w:ascii="Arial" w:hAnsi="Arial"/>
                <w:sz w:val="18"/>
                <w:szCs w:val="18"/>
              </w:rPr>
            </w:pPr>
            <w:r w:rsidRPr="00B935DB">
              <w:rPr>
                <w:rFonts w:ascii="Arial" w:hAnsi="Arial"/>
                <w:sz w:val="18"/>
                <w:szCs w:val="18"/>
              </w:rPr>
              <w:t xml:space="preserve">The majority of the ‘Improving System Flow’ indicators are Green and Amber and this is as a result of our focus on unscheduled care and the introduction of new initiatives such as Discharge without Delay and Discharge to Assess as well as our Hospital at Home and Social Work Teams focus on Admission Avoidance.     </w:t>
            </w:r>
            <w:r w:rsidRPr="00B43495">
              <w:rPr>
                <w:rFonts w:ascii="Arial" w:hAnsi="Arial"/>
                <w:sz w:val="18"/>
                <w:szCs w:val="18"/>
              </w:rPr>
              <w:t xml:space="preserve">Delayed Discharges </w:t>
            </w:r>
            <w:r w:rsidR="00E3345E" w:rsidRPr="00B43495">
              <w:rPr>
                <w:rFonts w:ascii="Arial" w:hAnsi="Arial"/>
                <w:sz w:val="18"/>
                <w:szCs w:val="18"/>
              </w:rPr>
              <w:t xml:space="preserve">for adults with incapacity and complex and other reasons </w:t>
            </w:r>
            <w:r w:rsidR="004C0B40" w:rsidRPr="00B43495">
              <w:rPr>
                <w:rFonts w:ascii="Arial" w:hAnsi="Arial"/>
                <w:sz w:val="18"/>
                <w:szCs w:val="18"/>
              </w:rPr>
              <w:t xml:space="preserve">have reduced </w:t>
            </w:r>
            <w:r w:rsidR="00D6464B" w:rsidRPr="00B43495">
              <w:rPr>
                <w:rFonts w:ascii="Arial" w:hAnsi="Arial"/>
                <w:sz w:val="18"/>
                <w:szCs w:val="18"/>
              </w:rPr>
              <w:t>from previously and are lower than the Scottish average</w:t>
            </w:r>
            <w:r w:rsidRPr="00B43495">
              <w:rPr>
                <w:rFonts w:ascii="Arial" w:hAnsi="Arial"/>
                <w:sz w:val="18"/>
                <w:szCs w:val="18"/>
              </w:rPr>
              <w:t>.</w:t>
            </w:r>
            <w:r w:rsidR="00D6464B" w:rsidRPr="00B43495">
              <w:rPr>
                <w:rFonts w:ascii="Arial" w:hAnsi="Arial"/>
                <w:sz w:val="18"/>
                <w:szCs w:val="18"/>
              </w:rPr>
              <w:t xml:space="preserve">   In the case of adults with incapacity </w:t>
            </w:r>
            <w:r w:rsidR="00C31BAB" w:rsidRPr="00B43495">
              <w:rPr>
                <w:rFonts w:ascii="Arial" w:hAnsi="Arial"/>
                <w:sz w:val="18"/>
                <w:szCs w:val="18"/>
              </w:rPr>
              <w:t xml:space="preserve">the rate of </w:t>
            </w:r>
            <w:r w:rsidR="00D6464B" w:rsidRPr="00B43495">
              <w:rPr>
                <w:rFonts w:ascii="Arial" w:hAnsi="Arial"/>
                <w:sz w:val="18"/>
                <w:szCs w:val="18"/>
              </w:rPr>
              <w:t xml:space="preserve">delayed discharges </w:t>
            </w:r>
            <w:r w:rsidR="00C31BAB" w:rsidRPr="00B43495">
              <w:rPr>
                <w:rFonts w:ascii="Arial" w:hAnsi="Arial"/>
                <w:sz w:val="18"/>
                <w:szCs w:val="18"/>
              </w:rPr>
              <w:t xml:space="preserve">has more than halved from the previous period and </w:t>
            </w:r>
            <w:r w:rsidR="002D5FBC" w:rsidRPr="00B43495">
              <w:rPr>
                <w:rFonts w:ascii="Arial" w:hAnsi="Arial"/>
                <w:sz w:val="18"/>
                <w:szCs w:val="18"/>
              </w:rPr>
              <w:t xml:space="preserve">are </w:t>
            </w:r>
            <w:r w:rsidR="00D6464B" w:rsidRPr="00B43495">
              <w:rPr>
                <w:rFonts w:ascii="Arial" w:hAnsi="Arial"/>
                <w:sz w:val="18"/>
                <w:szCs w:val="18"/>
              </w:rPr>
              <w:t xml:space="preserve">significantly </w:t>
            </w:r>
            <w:r w:rsidR="00B43495" w:rsidRPr="00B43495">
              <w:rPr>
                <w:rFonts w:ascii="Arial" w:hAnsi="Arial"/>
                <w:sz w:val="18"/>
                <w:szCs w:val="18"/>
              </w:rPr>
              <w:t>less than the Scottish average.</w:t>
            </w:r>
          </w:p>
          <w:p w14:paraId="02EAA6E3" w14:textId="2C36736B" w:rsidR="00A86127" w:rsidRPr="00B935DB" w:rsidRDefault="00A86127" w:rsidP="00A86127">
            <w:pPr>
              <w:spacing w:after="0" w:line="240" w:lineRule="auto"/>
              <w:rPr>
                <w:rFonts w:ascii="Arial" w:hAnsi="Arial"/>
                <w:sz w:val="18"/>
                <w:szCs w:val="18"/>
              </w:rPr>
            </w:pPr>
          </w:p>
        </w:tc>
      </w:tr>
    </w:tbl>
    <w:p w14:paraId="0A3B6732" w14:textId="77777777" w:rsidR="00880B0B" w:rsidRPr="00880B0B" w:rsidRDefault="00880B0B" w:rsidP="009F73D1">
      <w:pPr>
        <w:spacing w:after="0" w:line="259" w:lineRule="auto"/>
        <w:rPr>
          <w:rFonts w:ascii="Aptos" w:eastAsia="Aptos" w:hAnsi="Aptos" w:cs="Arial"/>
          <w:kern w:val="2"/>
          <w14:ligatures w14:val="standardContextual"/>
        </w:rPr>
      </w:pPr>
    </w:p>
    <w:tbl>
      <w:tblPr>
        <w:tblStyle w:val="TableGrid9"/>
        <w:tblW w:w="0" w:type="auto"/>
        <w:tblLook w:val="04A0" w:firstRow="1" w:lastRow="0" w:firstColumn="1" w:lastColumn="0" w:noHBand="0" w:noVBand="1"/>
      </w:tblPr>
      <w:tblGrid>
        <w:gridCol w:w="4390"/>
        <w:gridCol w:w="992"/>
        <w:gridCol w:w="1276"/>
        <w:gridCol w:w="1275"/>
        <w:gridCol w:w="993"/>
      </w:tblGrid>
      <w:tr w:rsidR="00453EA2" w:rsidRPr="00A40A99" w14:paraId="49FD6882" w14:textId="77777777" w:rsidTr="00F332D1">
        <w:tc>
          <w:tcPr>
            <w:tcW w:w="8926" w:type="dxa"/>
            <w:gridSpan w:val="5"/>
          </w:tcPr>
          <w:p w14:paraId="62D2BF2F" w14:textId="77777777" w:rsidR="00453EA2" w:rsidRPr="00BF65DA" w:rsidRDefault="00453EA2" w:rsidP="00453EA2">
            <w:pPr>
              <w:spacing w:after="0" w:line="240" w:lineRule="auto"/>
              <w:rPr>
                <w:rFonts w:ascii="Arial" w:hAnsi="Arial"/>
                <w:b/>
                <w:sz w:val="18"/>
                <w:szCs w:val="18"/>
              </w:rPr>
            </w:pPr>
            <w:r w:rsidRPr="00BF65DA">
              <w:rPr>
                <w:rFonts w:ascii="Arial" w:hAnsi="Arial"/>
                <w:b/>
                <w:sz w:val="18"/>
                <w:szCs w:val="18"/>
              </w:rPr>
              <w:t>Principle 4: Care Closer to Home</w:t>
            </w:r>
          </w:p>
        </w:tc>
      </w:tr>
      <w:tr w:rsidR="00453EA2" w:rsidRPr="00A40A99" w14:paraId="11445B4E" w14:textId="77777777" w:rsidTr="00F332D1">
        <w:tc>
          <w:tcPr>
            <w:tcW w:w="4390" w:type="dxa"/>
          </w:tcPr>
          <w:p w14:paraId="199F156D" w14:textId="77777777" w:rsidR="00453EA2" w:rsidRPr="00A40A99" w:rsidRDefault="00453EA2" w:rsidP="00453EA2">
            <w:pPr>
              <w:spacing w:after="0" w:line="240" w:lineRule="auto"/>
              <w:rPr>
                <w:rFonts w:ascii="Arial" w:hAnsi="Arial"/>
                <w:sz w:val="18"/>
                <w:szCs w:val="18"/>
              </w:rPr>
            </w:pPr>
            <w:r w:rsidRPr="00A40A99">
              <w:rPr>
                <w:rFonts w:ascii="Arial" w:hAnsi="Arial"/>
                <w:bCs/>
                <w:sz w:val="18"/>
                <w:szCs w:val="18"/>
              </w:rPr>
              <w:t>Measure</w:t>
            </w:r>
          </w:p>
        </w:tc>
        <w:tc>
          <w:tcPr>
            <w:tcW w:w="992" w:type="dxa"/>
          </w:tcPr>
          <w:p w14:paraId="0705B40B" w14:textId="77777777" w:rsidR="00453EA2" w:rsidRPr="00A40A99" w:rsidRDefault="00453EA2" w:rsidP="00A40A99">
            <w:pPr>
              <w:spacing w:after="0" w:line="240" w:lineRule="auto"/>
              <w:jc w:val="center"/>
              <w:rPr>
                <w:rFonts w:ascii="Arial" w:hAnsi="Arial"/>
                <w:bCs/>
                <w:sz w:val="18"/>
                <w:szCs w:val="18"/>
              </w:rPr>
            </w:pPr>
            <w:r w:rsidRPr="00A40A99">
              <w:rPr>
                <w:rFonts w:ascii="Arial" w:hAnsi="Arial"/>
                <w:bCs/>
                <w:sz w:val="18"/>
                <w:szCs w:val="18"/>
              </w:rPr>
              <w:t>Scottish Average</w:t>
            </w:r>
          </w:p>
        </w:tc>
        <w:tc>
          <w:tcPr>
            <w:tcW w:w="1276" w:type="dxa"/>
          </w:tcPr>
          <w:p w14:paraId="00D8BB61" w14:textId="77777777" w:rsidR="00453EA2" w:rsidRPr="00A40A99" w:rsidRDefault="00453EA2" w:rsidP="00A40A99">
            <w:pPr>
              <w:spacing w:after="0" w:line="240" w:lineRule="auto"/>
              <w:jc w:val="center"/>
              <w:rPr>
                <w:rFonts w:ascii="Arial" w:hAnsi="Arial"/>
                <w:sz w:val="18"/>
                <w:szCs w:val="18"/>
              </w:rPr>
            </w:pPr>
            <w:r w:rsidRPr="00A40A99">
              <w:rPr>
                <w:rFonts w:ascii="Arial" w:hAnsi="Arial"/>
                <w:bCs/>
                <w:sz w:val="18"/>
                <w:szCs w:val="18"/>
              </w:rPr>
              <w:t>Current Performance</w:t>
            </w:r>
          </w:p>
        </w:tc>
        <w:tc>
          <w:tcPr>
            <w:tcW w:w="1275" w:type="dxa"/>
          </w:tcPr>
          <w:p w14:paraId="15992041" w14:textId="77777777" w:rsidR="00453EA2" w:rsidRPr="00A40A99" w:rsidRDefault="00453EA2" w:rsidP="00A40A99">
            <w:pPr>
              <w:spacing w:after="0" w:line="240" w:lineRule="auto"/>
              <w:jc w:val="center"/>
              <w:rPr>
                <w:rFonts w:ascii="Arial" w:hAnsi="Arial"/>
                <w:sz w:val="18"/>
                <w:szCs w:val="18"/>
              </w:rPr>
            </w:pPr>
            <w:r w:rsidRPr="00A40A99">
              <w:rPr>
                <w:rFonts w:ascii="Arial" w:hAnsi="Arial"/>
                <w:bCs/>
                <w:sz w:val="18"/>
                <w:szCs w:val="18"/>
              </w:rPr>
              <w:t>Previous Performance</w:t>
            </w:r>
          </w:p>
        </w:tc>
        <w:tc>
          <w:tcPr>
            <w:tcW w:w="993" w:type="dxa"/>
          </w:tcPr>
          <w:p w14:paraId="2E7710F1" w14:textId="77777777" w:rsidR="00453EA2" w:rsidRPr="00A40A99" w:rsidRDefault="00453EA2" w:rsidP="00453EA2">
            <w:pPr>
              <w:spacing w:after="0" w:line="240" w:lineRule="auto"/>
              <w:rPr>
                <w:rFonts w:ascii="Arial" w:hAnsi="Arial"/>
                <w:bCs/>
                <w:sz w:val="18"/>
                <w:szCs w:val="18"/>
              </w:rPr>
            </w:pPr>
            <w:r w:rsidRPr="00A40A99">
              <w:rPr>
                <w:rFonts w:ascii="Arial" w:hAnsi="Arial"/>
                <w:bCs/>
                <w:sz w:val="18"/>
                <w:szCs w:val="18"/>
              </w:rPr>
              <w:t>RAG</w:t>
            </w:r>
          </w:p>
          <w:p w14:paraId="28D1BCCA" w14:textId="77777777" w:rsidR="00453EA2" w:rsidRPr="00A40A99" w:rsidRDefault="00453EA2" w:rsidP="00453EA2">
            <w:pPr>
              <w:spacing w:after="0" w:line="240" w:lineRule="auto"/>
              <w:rPr>
                <w:rFonts w:ascii="Arial" w:hAnsi="Arial"/>
                <w:sz w:val="18"/>
                <w:szCs w:val="18"/>
              </w:rPr>
            </w:pPr>
            <w:r w:rsidRPr="00A40A99">
              <w:rPr>
                <w:rFonts w:ascii="Arial" w:hAnsi="Arial"/>
                <w:bCs/>
                <w:sz w:val="18"/>
                <w:szCs w:val="18"/>
              </w:rPr>
              <w:t>Status</w:t>
            </w:r>
          </w:p>
        </w:tc>
      </w:tr>
      <w:tr w:rsidR="00453EA2" w:rsidRPr="00A40A99" w14:paraId="1FA684F0" w14:textId="77777777" w:rsidTr="00F332D1">
        <w:tc>
          <w:tcPr>
            <w:tcW w:w="4390" w:type="dxa"/>
          </w:tcPr>
          <w:p w14:paraId="066F66DD" w14:textId="77777777" w:rsidR="00453EA2" w:rsidRPr="00A40A99" w:rsidRDefault="00453EA2" w:rsidP="00453EA2">
            <w:pPr>
              <w:spacing w:after="0" w:line="240" w:lineRule="auto"/>
              <w:rPr>
                <w:rFonts w:ascii="Arial" w:hAnsi="Arial"/>
                <w:sz w:val="18"/>
                <w:szCs w:val="18"/>
              </w:rPr>
            </w:pPr>
            <w:r w:rsidRPr="00A40A99">
              <w:rPr>
                <w:rFonts w:ascii="Arial" w:hAnsi="Arial"/>
                <w:sz w:val="18"/>
                <w:szCs w:val="18"/>
              </w:rPr>
              <w:t>NI-15: Proportion of last 6 months of life spent at home or in a community setting</w:t>
            </w:r>
          </w:p>
        </w:tc>
        <w:tc>
          <w:tcPr>
            <w:tcW w:w="992" w:type="dxa"/>
          </w:tcPr>
          <w:p w14:paraId="7AC9EBDC"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89.2%</w:t>
            </w:r>
          </w:p>
        </w:tc>
        <w:tc>
          <w:tcPr>
            <w:tcW w:w="1276" w:type="dxa"/>
          </w:tcPr>
          <w:p w14:paraId="2F6A48A0"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91.6%</w:t>
            </w:r>
          </w:p>
        </w:tc>
        <w:tc>
          <w:tcPr>
            <w:tcW w:w="1275" w:type="dxa"/>
          </w:tcPr>
          <w:p w14:paraId="1B71015D"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90.0%</w:t>
            </w:r>
          </w:p>
        </w:tc>
        <w:tc>
          <w:tcPr>
            <w:tcW w:w="993" w:type="dxa"/>
            <w:shd w:val="clear" w:color="auto" w:fill="92D050"/>
          </w:tcPr>
          <w:p w14:paraId="594DFB17" w14:textId="77777777" w:rsidR="00453EA2" w:rsidRPr="00A40A99" w:rsidRDefault="00453EA2" w:rsidP="00453EA2">
            <w:pPr>
              <w:spacing w:after="0" w:line="240" w:lineRule="auto"/>
              <w:rPr>
                <w:rFonts w:ascii="Arial" w:hAnsi="Arial"/>
                <w:sz w:val="18"/>
                <w:szCs w:val="18"/>
              </w:rPr>
            </w:pPr>
          </w:p>
        </w:tc>
      </w:tr>
      <w:tr w:rsidR="00453EA2" w:rsidRPr="00A40A99" w14:paraId="3D3E1824" w14:textId="77777777" w:rsidTr="00F332D1">
        <w:tc>
          <w:tcPr>
            <w:tcW w:w="4390" w:type="dxa"/>
          </w:tcPr>
          <w:p w14:paraId="5246AE06" w14:textId="77777777" w:rsidR="00453EA2" w:rsidRPr="00A40A99" w:rsidRDefault="00453EA2" w:rsidP="00453EA2">
            <w:pPr>
              <w:spacing w:after="0" w:line="240" w:lineRule="auto"/>
              <w:rPr>
                <w:rFonts w:ascii="Arial" w:hAnsi="Arial"/>
                <w:sz w:val="18"/>
                <w:szCs w:val="18"/>
              </w:rPr>
            </w:pPr>
            <w:r w:rsidRPr="00A40A99">
              <w:rPr>
                <w:rFonts w:ascii="Arial" w:hAnsi="Arial"/>
                <w:sz w:val="18"/>
                <w:szCs w:val="18"/>
              </w:rPr>
              <w:t>NI-18: Percentage of adults with intensive care needs receiving care at home</w:t>
            </w:r>
          </w:p>
        </w:tc>
        <w:tc>
          <w:tcPr>
            <w:tcW w:w="992" w:type="dxa"/>
          </w:tcPr>
          <w:p w14:paraId="7C8EF6EA"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64.7%</w:t>
            </w:r>
          </w:p>
        </w:tc>
        <w:tc>
          <w:tcPr>
            <w:tcW w:w="1276" w:type="dxa"/>
          </w:tcPr>
          <w:p w14:paraId="13A36DF0"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56.5%</w:t>
            </w:r>
          </w:p>
        </w:tc>
        <w:tc>
          <w:tcPr>
            <w:tcW w:w="1275" w:type="dxa"/>
          </w:tcPr>
          <w:p w14:paraId="7FBD5EA2"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54.6%</w:t>
            </w:r>
          </w:p>
        </w:tc>
        <w:tc>
          <w:tcPr>
            <w:tcW w:w="993" w:type="dxa"/>
            <w:shd w:val="clear" w:color="auto" w:fill="FFC000"/>
          </w:tcPr>
          <w:p w14:paraId="1EE473E0" w14:textId="77777777" w:rsidR="00453EA2" w:rsidRPr="00A40A99" w:rsidRDefault="00453EA2" w:rsidP="00453EA2">
            <w:pPr>
              <w:spacing w:after="0" w:line="240" w:lineRule="auto"/>
              <w:rPr>
                <w:rFonts w:ascii="Arial" w:hAnsi="Arial"/>
                <w:sz w:val="18"/>
                <w:szCs w:val="18"/>
              </w:rPr>
            </w:pPr>
          </w:p>
        </w:tc>
      </w:tr>
      <w:tr w:rsidR="00453EA2" w:rsidRPr="00A40A99" w14:paraId="4A1069DE" w14:textId="77777777" w:rsidTr="00F332D1">
        <w:tc>
          <w:tcPr>
            <w:tcW w:w="4390" w:type="dxa"/>
          </w:tcPr>
          <w:p w14:paraId="1230E6A9" w14:textId="77777777" w:rsidR="00453EA2" w:rsidRPr="00A40A99" w:rsidRDefault="00453EA2" w:rsidP="00453EA2">
            <w:pPr>
              <w:spacing w:after="0" w:line="240" w:lineRule="auto"/>
              <w:rPr>
                <w:rFonts w:ascii="Arial" w:hAnsi="Arial"/>
                <w:sz w:val="18"/>
                <w:szCs w:val="18"/>
              </w:rPr>
            </w:pPr>
            <w:r w:rsidRPr="00A40A99">
              <w:rPr>
                <w:rFonts w:ascii="Arial" w:hAnsi="Arial"/>
                <w:sz w:val="18"/>
                <w:szCs w:val="18"/>
              </w:rPr>
              <w:t>MSG5. - End of life care (% in community all ages)</w:t>
            </w:r>
          </w:p>
        </w:tc>
        <w:tc>
          <w:tcPr>
            <w:tcW w:w="992" w:type="dxa"/>
            <w:shd w:val="clear" w:color="auto" w:fill="BFBFBF"/>
          </w:tcPr>
          <w:p w14:paraId="790DA31A" w14:textId="77777777" w:rsidR="00453EA2" w:rsidRPr="00A40A99" w:rsidRDefault="00453EA2" w:rsidP="00A40A99">
            <w:pPr>
              <w:spacing w:after="0" w:line="240" w:lineRule="auto"/>
              <w:jc w:val="center"/>
              <w:rPr>
                <w:rFonts w:ascii="Arial" w:hAnsi="Arial"/>
                <w:sz w:val="18"/>
                <w:szCs w:val="18"/>
              </w:rPr>
            </w:pPr>
          </w:p>
        </w:tc>
        <w:tc>
          <w:tcPr>
            <w:tcW w:w="1276" w:type="dxa"/>
          </w:tcPr>
          <w:p w14:paraId="1B37281D"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90.0%</w:t>
            </w:r>
          </w:p>
        </w:tc>
        <w:tc>
          <w:tcPr>
            <w:tcW w:w="1275" w:type="dxa"/>
          </w:tcPr>
          <w:p w14:paraId="2E0AAA31" w14:textId="77777777" w:rsidR="00453EA2" w:rsidRPr="00A40A99" w:rsidRDefault="00453EA2" w:rsidP="00A40A99">
            <w:pPr>
              <w:spacing w:after="0" w:line="240" w:lineRule="auto"/>
              <w:jc w:val="center"/>
              <w:rPr>
                <w:rFonts w:ascii="Arial" w:hAnsi="Arial"/>
                <w:sz w:val="18"/>
                <w:szCs w:val="18"/>
              </w:rPr>
            </w:pPr>
            <w:r w:rsidRPr="00A40A99">
              <w:rPr>
                <w:rFonts w:ascii="Arial" w:hAnsi="Arial"/>
                <w:sz w:val="18"/>
                <w:szCs w:val="18"/>
              </w:rPr>
              <w:t>90.2%</w:t>
            </w:r>
          </w:p>
        </w:tc>
        <w:tc>
          <w:tcPr>
            <w:tcW w:w="993" w:type="dxa"/>
            <w:shd w:val="clear" w:color="auto" w:fill="FFC000"/>
          </w:tcPr>
          <w:p w14:paraId="6A2FE27B" w14:textId="77777777" w:rsidR="00453EA2" w:rsidRPr="00A40A99" w:rsidRDefault="00453EA2" w:rsidP="00453EA2">
            <w:pPr>
              <w:spacing w:after="0" w:line="240" w:lineRule="auto"/>
              <w:rPr>
                <w:rFonts w:ascii="Arial" w:hAnsi="Arial"/>
                <w:sz w:val="18"/>
                <w:szCs w:val="18"/>
              </w:rPr>
            </w:pPr>
          </w:p>
        </w:tc>
      </w:tr>
      <w:tr w:rsidR="00453EA2" w:rsidRPr="00A40A99" w14:paraId="3E9BD090" w14:textId="77777777" w:rsidTr="00F332D1">
        <w:tc>
          <w:tcPr>
            <w:tcW w:w="4390" w:type="dxa"/>
          </w:tcPr>
          <w:p w14:paraId="72BA33AD" w14:textId="77777777" w:rsidR="00453EA2" w:rsidRPr="00A40A99" w:rsidRDefault="00453EA2" w:rsidP="00453EA2">
            <w:pPr>
              <w:spacing w:after="0" w:line="240" w:lineRule="auto"/>
              <w:rPr>
                <w:rFonts w:ascii="Arial" w:hAnsi="Arial"/>
                <w:sz w:val="18"/>
                <w:szCs w:val="18"/>
              </w:rPr>
            </w:pPr>
            <w:r w:rsidRPr="00A40A99">
              <w:rPr>
                <w:rFonts w:ascii="Arial" w:hAnsi="Arial"/>
                <w:sz w:val="18"/>
                <w:szCs w:val="18"/>
              </w:rPr>
              <w:t>MSG6. - Balance of Care- %65+ living at home (supported and unsupported)</w:t>
            </w:r>
          </w:p>
        </w:tc>
        <w:tc>
          <w:tcPr>
            <w:tcW w:w="992" w:type="dxa"/>
            <w:shd w:val="clear" w:color="auto" w:fill="BFBFBF"/>
          </w:tcPr>
          <w:p w14:paraId="6C5D5F5E" w14:textId="77777777" w:rsidR="00453EA2" w:rsidRPr="00A40A99" w:rsidRDefault="00453EA2" w:rsidP="00453EA2">
            <w:pPr>
              <w:spacing w:after="0" w:line="240" w:lineRule="auto"/>
              <w:rPr>
                <w:rFonts w:ascii="Arial" w:hAnsi="Arial"/>
                <w:sz w:val="18"/>
                <w:szCs w:val="18"/>
              </w:rPr>
            </w:pPr>
          </w:p>
        </w:tc>
        <w:tc>
          <w:tcPr>
            <w:tcW w:w="1276" w:type="dxa"/>
          </w:tcPr>
          <w:p w14:paraId="55208C2A" w14:textId="77777777" w:rsidR="00453EA2" w:rsidRPr="00A40A99" w:rsidRDefault="00453EA2" w:rsidP="00B43495">
            <w:pPr>
              <w:spacing w:after="0" w:line="240" w:lineRule="auto"/>
              <w:jc w:val="center"/>
              <w:rPr>
                <w:rFonts w:ascii="Arial" w:hAnsi="Arial"/>
                <w:sz w:val="18"/>
                <w:szCs w:val="18"/>
              </w:rPr>
            </w:pPr>
            <w:r w:rsidRPr="00A40A99">
              <w:rPr>
                <w:rFonts w:ascii="Arial" w:hAnsi="Arial"/>
                <w:sz w:val="18"/>
                <w:szCs w:val="18"/>
              </w:rPr>
              <w:t>95.9%</w:t>
            </w:r>
          </w:p>
        </w:tc>
        <w:tc>
          <w:tcPr>
            <w:tcW w:w="1275" w:type="dxa"/>
          </w:tcPr>
          <w:p w14:paraId="5CADFA34" w14:textId="77777777" w:rsidR="00453EA2" w:rsidRPr="00A40A99" w:rsidRDefault="00453EA2" w:rsidP="00B43495">
            <w:pPr>
              <w:spacing w:after="0" w:line="240" w:lineRule="auto"/>
              <w:jc w:val="center"/>
              <w:rPr>
                <w:rFonts w:ascii="Arial" w:hAnsi="Arial"/>
                <w:sz w:val="18"/>
                <w:szCs w:val="18"/>
              </w:rPr>
            </w:pPr>
            <w:r w:rsidRPr="00A40A99">
              <w:rPr>
                <w:rFonts w:ascii="Arial" w:hAnsi="Arial"/>
                <w:sz w:val="18"/>
                <w:szCs w:val="18"/>
              </w:rPr>
              <w:t>95.9%</w:t>
            </w:r>
          </w:p>
        </w:tc>
        <w:tc>
          <w:tcPr>
            <w:tcW w:w="993" w:type="dxa"/>
            <w:shd w:val="clear" w:color="auto" w:fill="FFC000"/>
          </w:tcPr>
          <w:p w14:paraId="196479A8" w14:textId="77777777" w:rsidR="00453EA2" w:rsidRPr="00A40A99" w:rsidRDefault="00453EA2" w:rsidP="00453EA2">
            <w:pPr>
              <w:spacing w:after="0" w:line="240" w:lineRule="auto"/>
              <w:rPr>
                <w:rFonts w:ascii="Arial" w:hAnsi="Arial"/>
                <w:sz w:val="18"/>
                <w:szCs w:val="18"/>
              </w:rPr>
            </w:pPr>
          </w:p>
        </w:tc>
      </w:tr>
      <w:tr w:rsidR="00453EA2" w:rsidRPr="00A40A99" w14:paraId="2147B1D8" w14:textId="77777777" w:rsidTr="00875850">
        <w:tc>
          <w:tcPr>
            <w:tcW w:w="4390" w:type="dxa"/>
          </w:tcPr>
          <w:p w14:paraId="7A9CF66E" w14:textId="7B0F75A7" w:rsidR="00453EA2" w:rsidRPr="00A40A99" w:rsidRDefault="00453EA2" w:rsidP="00453EA2">
            <w:pPr>
              <w:spacing w:after="0" w:line="240" w:lineRule="auto"/>
              <w:rPr>
                <w:rFonts w:ascii="Arial" w:hAnsi="Arial"/>
                <w:sz w:val="18"/>
                <w:szCs w:val="18"/>
              </w:rPr>
            </w:pPr>
            <w:r w:rsidRPr="00A40A99">
              <w:rPr>
                <w:rFonts w:ascii="Arial" w:hAnsi="Arial"/>
                <w:sz w:val="18"/>
                <w:szCs w:val="18"/>
              </w:rPr>
              <w:t>Number of Care Home Placements</w:t>
            </w:r>
            <w:r w:rsidR="00821555">
              <w:rPr>
                <w:rFonts w:ascii="Arial" w:hAnsi="Arial"/>
                <w:sz w:val="18"/>
                <w:szCs w:val="18"/>
              </w:rPr>
              <w:t xml:space="preserve"> (per 1,000 pop</w:t>
            </w:r>
            <w:r w:rsidR="00CA2A7E">
              <w:rPr>
                <w:rFonts w:ascii="Arial" w:hAnsi="Arial"/>
                <w:sz w:val="18"/>
                <w:szCs w:val="18"/>
              </w:rPr>
              <w:t>ulation</w:t>
            </w:r>
            <w:r w:rsidR="00821555">
              <w:rPr>
                <w:rFonts w:ascii="Arial" w:hAnsi="Arial"/>
                <w:sz w:val="18"/>
                <w:szCs w:val="18"/>
              </w:rPr>
              <w:t>)</w:t>
            </w:r>
          </w:p>
        </w:tc>
        <w:tc>
          <w:tcPr>
            <w:tcW w:w="992" w:type="dxa"/>
            <w:shd w:val="clear" w:color="auto" w:fill="BFBFBF" w:themeFill="background1" w:themeFillShade="BF"/>
          </w:tcPr>
          <w:p w14:paraId="72A6DD28" w14:textId="01842E0F" w:rsidR="00453EA2" w:rsidRPr="00A40A99" w:rsidRDefault="00453EA2" w:rsidP="00B43495">
            <w:pPr>
              <w:spacing w:after="0" w:line="240" w:lineRule="auto"/>
              <w:jc w:val="center"/>
              <w:rPr>
                <w:rFonts w:ascii="Arial" w:hAnsi="Arial"/>
                <w:sz w:val="18"/>
                <w:szCs w:val="18"/>
              </w:rPr>
            </w:pPr>
          </w:p>
        </w:tc>
        <w:tc>
          <w:tcPr>
            <w:tcW w:w="1276" w:type="dxa"/>
          </w:tcPr>
          <w:p w14:paraId="067F49D6" w14:textId="1AA03492" w:rsidR="00453EA2" w:rsidRPr="00A40A99" w:rsidRDefault="00FC6ACD" w:rsidP="00B43495">
            <w:pPr>
              <w:spacing w:after="0" w:line="240" w:lineRule="auto"/>
              <w:jc w:val="center"/>
              <w:rPr>
                <w:rFonts w:ascii="Arial" w:hAnsi="Arial"/>
                <w:sz w:val="18"/>
                <w:szCs w:val="18"/>
              </w:rPr>
            </w:pPr>
            <w:r>
              <w:rPr>
                <w:rFonts w:ascii="Arial" w:hAnsi="Arial"/>
                <w:sz w:val="18"/>
                <w:szCs w:val="18"/>
              </w:rPr>
              <w:t>9</w:t>
            </w:r>
          </w:p>
        </w:tc>
        <w:tc>
          <w:tcPr>
            <w:tcW w:w="1275" w:type="dxa"/>
          </w:tcPr>
          <w:p w14:paraId="5C40456C" w14:textId="4CAD0B85" w:rsidR="00453EA2" w:rsidRPr="00A40A99" w:rsidRDefault="00FC6ACD" w:rsidP="00B43495">
            <w:pPr>
              <w:spacing w:after="0" w:line="240" w:lineRule="auto"/>
              <w:jc w:val="center"/>
              <w:rPr>
                <w:rFonts w:ascii="Arial" w:hAnsi="Arial"/>
                <w:sz w:val="18"/>
                <w:szCs w:val="18"/>
              </w:rPr>
            </w:pPr>
            <w:r>
              <w:rPr>
                <w:rFonts w:ascii="Arial" w:hAnsi="Arial"/>
                <w:sz w:val="18"/>
                <w:szCs w:val="18"/>
              </w:rPr>
              <w:t>9.5</w:t>
            </w:r>
          </w:p>
        </w:tc>
        <w:tc>
          <w:tcPr>
            <w:tcW w:w="993" w:type="dxa"/>
            <w:shd w:val="clear" w:color="auto" w:fill="92D050"/>
          </w:tcPr>
          <w:p w14:paraId="28B4204B" w14:textId="697C6B4D" w:rsidR="00453EA2" w:rsidRPr="00A40A99" w:rsidRDefault="00453EA2" w:rsidP="00B43495">
            <w:pPr>
              <w:spacing w:after="0" w:line="240" w:lineRule="auto"/>
              <w:jc w:val="center"/>
              <w:rPr>
                <w:rFonts w:ascii="Arial" w:hAnsi="Arial"/>
                <w:sz w:val="18"/>
                <w:szCs w:val="18"/>
              </w:rPr>
            </w:pPr>
          </w:p>
        </w:tc>
      </w:tr>
      <w:tr w:rsidR="00453EA2" w:rsidRPr="00A40A99" w14:paraId="2F573E95" w14:textId="77777777" w:rsidTr="004D023B">
        <w:tc>
          <w:tcPr>
            <w:tcW w:w="4390" w:type="dxa"/>
          </w:tcPr>
          <w:p w14:paraId="567E61B7" w14:textId="73D4A0D7" w:rsidR="00453EA2" w:rsidRPr="00A40A99" w:rsidRDefault="00453EA2" w:rsidP="00453EA2">
            <w:pPr>
              <w:spacing w:after="0" w:line="240" w:lineRule="auto"/>
              <w:rPr>
                <w:rFonts w:ascii="Arial" w:hAnsi="Arial"/>
                <w:sz w:val="18"/>
                <w:szCs w:val="18"/>
              </w:rPr>
            </w:pPr>
            <w:r w:rsidRPr="00A40A99">
              <w:rPr>
                <w:rFonts w:ascii="Arial" w:hAnsi="Arial"/>
                <w:sz w:val="18"/>
                <w:szCs w:val="18"/>
              </w:rPr>
              <w:t>Number of Care at home Hours delivered</w:t>
            </w:r>
            <w:r w:rsidR="00CA2A7E">
              <w:rPr>
                <w:rFonts w:ascii="Arial" w:hAnsi="Arial"/>
                <w:sz w:val="18"/>
                <w:szCs w:val="18"/>
              </w:rPr>
              <w:t xml:space="preserve"> (per 1,000 population)</w:t>
            </w:r>
          </w:p>
        </w:tc>
        <w:tc>
          <w:tcPr>
            <w:tcW w:w="992" w:type="dxa"/>
          </w:tcPr>
          <w:p w14:paraId="497796CD" w14:textId="32332ACB" w:rsidR="00453EA2" w:rsidRPr="00A40A99" w:rsidRDefault="00FC6ACD" w:rsidP="00B43495">
            <w:pPr>
              <w:spacing w:after="0" w:line="240" w:lineRule="auto"/>
              <w:jc w:val="center"/>
              <w:rPr>
                <w:rFonts w:ascii="Arial" w:hAnsi="Arial"/>
                <w:sz w:val="18"/>
                <w:szCs w:val="18"/>
              </w:rPr>
            </w:pPr>
            <w:r>
              <w:rPr>
                <w:rFonts w:ascii="Arial" w:hAnsi="Arial"/>
                <w:sz w:val="18"/>
                <w:szCs w:val="18"/>
              </w:rPr>
              <w:t>17.8</w:t>
            </w:r>
          </w:p>
        </w:tc>
        <w:tc>
          <w:tcPr>
            <w:tcW w:w="1276" w:type="dxa"/>
          </w:tcPr>
          <w:p w14:paraId="0BE110D7" w14:textId="22AC1567" w:rsidR="00453EA2" w:rsidRPr="00A40A99" w:rsidRDefault="00FC6ACD" w:rsidP="00B43495">
            <w:pPr>
              <w:spacing w:after="0" w:line="240" w:lineRule="auto"/>
              <w:jc w:val="center"/>
              <w:rPr>
                <w:rFonts w:ascii="Arial" w:hAnsi="Arial"/>
                <w:sz w:val="18"/>
                <w:szCs w:val="18"/>
              </w:rPr>
            </w:pPr>
            <w:r>
              <w:rPr>
                <w:rFonts w:ascii="Arial" w:hAnsi="Arial"/>
                <w:sz w:val="18"/>
                <w:szCs w:val="18"/>
              </w:rPr>
              <w:t>23.3</w:t>
            </w:r>
          </w:p>
        </w:tc>
        <w:tc>
          <w:tcPr>
            <w:tcW w:w="1275" w:type="dxa"/>
          </w:tcPr>
          <w:p w14:paraId="544FBDD4" w14:textId="0C3A765C" w:rsidR="00453EA2" w:rsidRPr="00A40A99" w:rsidRDefault="00FC6ACD" w:rsidP="00B43495">
            <w:pPr>
              <w:spacing w:after="0" w:line="240" w:lineRule="auto"/>
              <w:jc w:val="center"/>
              <w:rPr>
                <w:rFonts w:ascii="Arial" w:hAnsi="Arial"/>
                <w:sz w:val="18"/>
                <w:szCs w:val="18"/>
              </w:rPr>
            </w:pPr>
            <w:r>
              <w:rPr>
                <w:rFonts w:ascii="Arial" w:hAnsi="Arial"/>
                <w:sz w:val="18"/>
                <w:szCs w:val="18"/>
              </w:rPr>
              <w:t>12.7</w:t>
            </w:r>
          </w:p>
        </w:tc>
        <w:tc>
          <w:tcPr>
            <w:tcW w:w="993" w:type="dxa"/>
            <w:shd w:val="clear" w:color="auto" w:fill="92D050"/>
          </w:tcPr>
          <w:p w14:paraId="123250ED" w14:textId="77777777" w:rsidR="00453EA2" w:rsidRPr="00A40A99" w:rsidRDefault="00453EA2" w:rsidP="00B43495">
            <w:pPr>
              <w:spacing w:after="0" w:line="240" w:lineRule="auto"/>
              <w:jc w:val="center"/>
              <w:rPr>
                <w:rFonts w:ascii="Arial" w:hAnsi="Arial"/>
                <w:sz w:val="18"/>
                <w:szCs w:val="18"/>
              </w:rPr>
            </w:pPr>
          </w:p>
        </w:tc>
      </w:tr>
      <w:tr w:rsidR="00453EA2" w:rsidRPr="00A40A99" w14:paraId="57256311" w14:textId="77777777" w:rsidTr="00F332D1">
        <w:tc>
          <w:tcPr>
            <w:tcW w:w="8926" w:type="dxa"/>
            <w:gridSpan w:val="5"/>
          </w:tcPr>
          <w:p w14:paraId="4108B398" w14:textId="77777777" w:rsidR="00453EA2" w:rsidRPr="004D023B" w:rsidRDefault="00453EA2" w:rsidP="00453EA2">
            <w:pPr>
              <w:spacing w:after="0" w:line="240" w:lineRule="auto"/>
              <w:rPr>
                <w:rFonts w:ascii="Arial" w:hAnsi="Arial"/>
                <w:b/>
                <w:sz w:val="18"/>
                <w:szCs w:val="18"/>
              </w:rPr>
            </w:pPr>
            <w:r w:rsidRPr="004D023B">
              <w:rPr>
                <w:rFonts w:ascii="Arial" w:hAnsi="Arial"/>
                <w:b/>
                <w:sz w:val="18"/>
                <w:szCs w:val="18"/>
              </w:rPr>
              <w:t>Overall Assessment of Performance</w:t>
            </w:r>
          </w:p>
          <w:p w14:paraId="52B3CF52" w14:textId="4625AB56" w:rsidR="00453EA2" w:rsidRPr="00A40A99" w:rsidRDefault="008D2C63" w:rsidP="00F332D1">
            <w:pPr>
              <w:spacing w:after="0" w:line="240" w:lineRule="auto"/>
              <w:rPr>
                <w:rFonts w:ascii="Arial" w:hAnsi="Arial"/>
                <w:sz w:val="18"/>
                <w:szCs w:val="18"/>
              </w:rPr>
            </w:pPr>
            <w:r>
              <w:rPr>
                <w:rFonts w:ascii="Arial" w:hAnsi="Arial"/>
                <w:sz w:val="18"/>
                <w:szCs w:val="18"/>
              </w:rPr>
              <w:t>Most of the</w:t>
            </w:r>
            <w:r w:rsidR="00453EA2" w:rsidRPr="00A40A99">
              <w:rPr>
                <w:rFonts w:ascii="Arial" w:hAnsi="Arial"/>
                <w:sz w:val="18"/>
                <w:szCs w:val="18"/>
              </w:rPr>
              <w:t xml:space="preserve"> ‘Care Closer to Home’ indicators are relatively stable with an improvement in the proportion of the last 6 months of life spent at home</w:t>
            </w:r>
            <w:r w:rsidR="000D0EBB">
              <w:rPr>
                <w:rFonts w:ascii="Arial" w:hAnsi="Arial"/>
                <w:sz w:val="18"/>
                <w:szCs w:val="18"/>
              </w:rPr>
              <w:t xml:space="preserve"> and a significant improvement </w:t>
            </w:r>
            <w:r w:rsidR="00453EA2" w:rsidRPr="00A40A99">
              <w:rPr>
                <w:rFonts w:ascii="Arial" w:hAnsi="Arial"/>
                <w:sz w:val="18"/>
                <w:szCs w:val="18"/>
              </w:rPr>
              <w:t>.   Again</w:t>
            </w:r>
            <w:r w:rsidR="00624239" w:rsidRPr="00A40A99">
              <w:rPr>
                <w:rFonts w:ascii="Arial" w:hAnsi="Arial"/>
                <w:sz w:val="18"/>
                <w:szCs w:val="18"/>
              </w:rPr>
              <w:t>,</w:t>
            </w:r>
            <w:r w:rsidR="00453EA2" w:rsidRPr="00A40A99">
              <w:rPr>
                <w:rFonts w:ascii="Arial" w:hAnsi="Arial"/>
                <w:sz w:val="18"/>
                <w:szCs w:val="18"/>
              </w:rPr>
              <w:t xml:space="preserve"> this stable position is reflective of the amount of work undertaken in an environment where demand is growing and care needs are more complex.</w:t>
            </w:r>
          </w:p>
        </w:tc>
      </w:tr>
    </w:tbl>
    <w:p w14:paraId="4FC50A0C" w14:textId="77777777" w:rsidR="00880B0B" w:rsidRDefault="00880B0B" w:rsidP="00271DBE">
      <w:pPr>
        <w:spacing w:after="0"/>
      </w:pPr>
    </w:p>
    <w:tbl>
      <w:tblPr>
        <w:tblStyle w:val="TableGrid9"/>
        <w:tblW w:w="0" w:type="auto"/>
        <w:tblLook w:val="04A0" w:firstRow="1" w:lastRow="0" w:firstColumn="1" w:lastColumn="0" w:noHBand="0" w:noVBand="1"/>
      </w:tblPr>
      <w:tblGrid>
        <w:gridCol w:w="4248"/>
        <w:gridCol w:w="1134"/>
        <w:gridCol w:w="1276"/>
        <w:gridCol w:w="1275"/>
        <w:gridCol w:w="993"/>
      </w:tblGrid>
      <w:tr w:rsidR="00453EA2" w:rsidRPr="00BF65DA" w14:paraId="1BE21823" w14:textId="77777777" w:rsidTr="00F332D1">
        <w:tc>
          <w:tcPr>
            <w:tcW w:w="8926" w:type="dxa"/>
            <w:gridSpan w:val="5"/>
          </w:tcPr>
          <w:p w14:paraId="50565AB1" w14:textId="77777777" w:rsidR="00453EA2" w:rsidRPr="00BF65DA" w:rsidRDefault="00453EA2" w:rsidP="00453EA2">
            <w:pPr>
              <w:spacing w:after="0" w:line="240" w:lineRule="auto"/>
              <w:rPr>
                <w:rFonts w:ascii="Arial" w:hAnsi="Arial"/>
                <w:b/>
                <w:sz w:val="18"/>
                <w:szCs w:val="18"/>
              </w:rPr>
            </w:pPr>
            <w:r w:rsidRPr="00BF65DA">
              <w:rPr>
                <w:rFonts w:ascii="Arial" w:hAnsi="Arial"/>
                <w:b/>
                <w:sz w:val="18"/>
                <w:szCs w:val="18"/>
              </w:rPr>
              <w:t>Principle 5: Strength Based Approach</w:t>
            </w:r>
          </w:p>
        </w:tc>
      </w:tr>
      <w:tr w:rsidR="00453EA2" w:rsidRPr="00BF65DA" w14:paraId="31FAD035" w14:textId="77777777" w:rsidTr="00F332D1">
        <w:tc>
          <w:tcPr>
            <w:tcW w:w="4248" w:type="dxa"/>
          </w:tcPr>
          <w:p w14:paraId="4BC4B667" w14:textId="77777777" w:rsidR="00453EA2" w:rsidRPr="00BF65DA" w:rsidRDefault="00453EA2" w:rsidP="00453EA2">
            <w:pPr>
              <w:spacing w:after="0" w:line="240" w:lineRule="auto"/>
              <w:rPr>
                <w:rFonts w:ascii="Arial" w:hAnsi="Arial"/>
                <w:sz w:val="18"/>
                <w:szCs w:val="18"/>
              </w:rPr>
            </w:pPr>
            <w:r w:rsidRPr="00BF65DA">
              <w:rPr>
                <w:rFonts w:ascii="Arial" w:hAnsi="Arial"/>
                <w:bCs/>
                <w:sz w:val="18"/>
                <w:szCs w:val="18"/>
              </w:rPr>
              <w:t>Measure</w:t>
            </w:r>
          </w:p>
        </w:tc>
        <w:tc>
          <w:tcPr>
            <w:tcW w:w="1134" w:type="dxa"/>
          </w:tcPr>
          <w:p w14:paraId="54967664" w14:textId="77777777" w:rsidR="00453EA2" w:rsidRPr="00BF65DA" w:rsidRDefault="00453EA2" w:rsidP="00BF65DA">
            <w:pPr>
              <w:spacing w:after="0" w:line="240" w:lineRule="auto"/>
              <w:jc w:val="center"/>
              <w:rPr>
                <w:rFonts w:ascii="Arial" w:hAnsi="Arial"/>
                <w:bCs/>
                <w:sz w:val="18"/>
                <w:szCs w:val="18"/>
              </w:rPr>
            </w:pPr>
            <w:r w:rsidRPr="00BF65DA">
              <w:rPr>
                <w:rFonts w:ascii="Arial" w:hAnsi="Arial"/>
                <w:bCs/>
                <w:sz w:val="18"/>
                <w:szCs w:val="18"/>
              </w:rPr>
              <w:t>Scottish Average</w:t>
            </w:r>
          </w:p>
        </w:tc>
        <w:tc>
          <w:tcPr>
            <w:tcW w:w="1276" w:type="dxa"/>
          </w:tcPr>
          <w:p w14:paraId="2B48C687" w14:textId="77777777" w:rsidR="00453EA2" w:rsidRPr="00BF65DA" w:rsidRDefault="00453EA2" w:rsidP="00BF65DA">
            <w:pPr>
              <w:spacing w:after="0" w:line="240" w:lineRule="auto"/>
              <w:jc w:val="center"/>
              <w:rPr>
                <w:rFonts w:ascii="Arial" w:hAnsi="Arial"/>
                <w:sz w:val="18"/>
                <w:szCs w:val="18"/>
              </w:rPr>
            </w:pPr>
            <w:r w:rsidRPr="00BF65DA">
              <w:rPr>
                <w:rFonts w:ascii="Arial" w:hAnsi="Arial"/>
                <w:bCs/>
                <w:sz w:val="18"/>
                <w:szCs w:val="18"/>
              </w:rPr>
              <w:t>Current Performance</w:t>
            </w:r>
          </w:p>
        </w:tc>
        <w:tc>
          <w:tcPr>
            <w:tcW w:w="1275" w:type="dxa"/>
          </w:tcPr>
          <w:p w14:paraId="21F4E79C" w14:textId="77777777" w:rsidR="00453EA2" w:rsidRPr="00BF65DA" w:rsidRDefault="00453EA2" w:rsidP="00BF65DA">
            <w:pPr>
              <w:spacing w:after="0" w:line="240" w:lineRule="auto"/>
              <w:jc w:val="center"/>
              <w:rPr>
                <w:rFonts w:ascii="Arial" w:hAnsi="Arial"/>
                <w:sz w:val="18"/>
                <w:szCs w:val="18"/>
              </w:rPr>
            </w:pPr>
            <w:r w:rsidRPr="00BF65DA">
              <w:rPr>
                <w:rFonts w:ascii="Arial" w:hAnsi="Arial"/>
                <w:bCs/>
                <w:sz w:val="18"/>
                <w:szCs w:val="18"/>
              </w:rPr>
              <w:t>Previous Performance</w:t>
            </w:r>
          </w:p>
        </w:tc>
        <w:tc>
          <w:tcPr>
            <w:tcW w:w="993" w:type="dxa"/>
          </w:tcPr>
          <w:p w14:paraId="4B6618D9" w14:textId="77777777" w:rsidR="00453EA2" w:rsidRPr="00BF65DA" w:rsidRDefault="00453EA2" w:rsidP="00453EA2">
            <w:pPr>
              <w:spacing w:after="0" w:line="240" w:lineRule="auto"/>
              <w:rPr>
                <w:rFonts w:ascii="Arial" w:hAnsi="Arial"/>
                <w:bCs/>
                <w:sz w:val="18"/>
                <w:szCs w:val="18"/>
              </w:rPr>
            </w:pPr>
            <w:r w:rsidRPr="00BF65DA">
              <w:rPr>
                <w:rFonts w:ascii="Arial" w:hAnsi="Arial"/>
                <w:bCs/>
                <w:sz w:val="18"/>
                <w:szCs w:val="18"/>
              </w:rPr>
              <w:t>RAG</w:t>
            </w:r>
          </w:p>
          <w:p w14:paraId="26D41A1F" w14:textId="77777777" w:rsidR="00453EA2" w:rsidRPr="00BF65DA" w:rsidRDefault="00453EA2" w:rsidP="00453EA2">
            <w:pPr>
              <w:spacing w:after="0" w:line="240" w:lineRule="auto"/>
              <w:rPr>
                <w:rFonts w:ascii="Arial" w:hAnsi="Arial"/>
                <w:sz w:val="18"/>
                <w:szCs w:val="18"/>
              </w:rPr>
            </w:pPr>
            <w:r w:rsidRPr="00BF65DA">
              <w:rPr>
                <w:rFonts w:ascii="Arial" w:hAnsi="Arial"/>
                <w:bCs/>
                <w:sz w:val="18"/>
                <w:szCs w:val="18"/>
              </w:rPr>
              <w:t>Status</w:t>
            </w:r>
          </w:p>
        </w:tc>
      </w:tr>
      <w:tr w:rsidR="00453EA2" w:rsidRPr="00BF65DA" w14:paraId="61BED062" w14:textId="77777777" w:rsidTr="007634E5">
        <w:tc>
          <w:tcPr>
            <w:tcW w:w="4248" w:type="dxa"/>
          </w:tcPr>
          <w:p w14:paraId="7E125CE3" w14:textId="77777777" w:rsidR="00453EA2" w:rsidRPr="00BF65DA" w:rsidRDefault="00453EA2" w:rsidP="00453EA2">
            <w:pPr>
              <w:spacing w:after="0" w:line="240" w:lineRule="auto"/>
              <w:rPr>
                <w:rFonts w:ascii="Arial" w:hAnsi="Arial"/>
                <w:sz w:val="18"/>
                <w:szCs w:val="18"/>
              </w:rPr>
            </w:pPr>
            <w:r w:rsidRPr="00BF65DA">
              <w:rPr>
                <w:rFonts w:ascii="Arial" w:hAnsi="Arial"/>
                <w:sz w:val="18"/>
                <w:szCs w:val="18"/>
              </w:rPr>
              <w:t>NI-2: Percentage of adults supported at home who agree that they are supported to live as independently as possible</w:t>
            </w:r>
          </w:p>
        </w:tc>
        <w:tc>
          <w:tcPr>
            <w:tcW w:w="1134" w:type="dxa"/>
          </w:tcPr>
          <w:p w14:paraId="2182764A" w14:textId="77777777" w:rsidR="00453EA2" w:rsidRPr="00BF65DA" w:rsidRDefault="00453EA2" w:rsidP="00BF65DA">
            <w:pPr>
              <w:spacing w:after="0" w:line="240" w:lineRule="auto"/>
              <w:jc w:val="center"/>
              <w:rPr>
                <w:rFonts w:ascii="Arial" w:hAnsi="Arial"/>
                <w:sz w:val="18"/>
                <w:szCs w:val="18"/>
              </w:rPr>
            </w:pPr>
            <w:r w:rsidRPr="00BF65DA">
              <w:rPr>
                <w:rFonts w:ascii="Arial" w:hAnsi="Arial"/>
                <w:sz w:val="18"/>
                <w:szCs w:val="18"/>
              </w:rPr>
              <w:t>72.4%</w:t>
            </w:r>
          </w:p>
        </w:tc>
        <w:tc>
          <w:tcPr>
            <w:tcW w:w="1276" w:type="dxa"/>
          </w:tcPr>
          <w:p w14:paraId="2500B83F" w14:textId="77777777" w:rsidR="00453EA2" w:rsidRPr="00BF65DA" w:rsidRDefault="00453EA2" w:rsidP="00BF65DA">
            <w:pPr>
              <w:spacing w:after="0" w:line="240" w:lineRule="auto"/>
              <w:jc w:val="center"/>
              <w:rPr>
                <w:rFonts w:ascii="Arial" w:hAnsi="Arial"/>
                <w:sz w:val="18"/>
                <w:szCs w:val="18"/>
              </w:rPr>
            </w:pPr>
            <w:r w:rsidRPr="00BF65DA">
              <w:rPr>
                <w:rFonts w:ascii="Arial" w:hAnsi="Arial"/>
                <w:sz w:val="18"/>
                <w:szCs w:val="18"/>
              </w:rPr>
              <w:t>76.8%</w:t>
            </w:r>
          </w:p>
        </w:tc>
        <w:tc>
          <w:tcPr>
            <w:tcW w:w="1275" w:type="dxa"/>
            <w:shd w:val="clear" w:color="auto" w:fill="FFFFFF"/>
          </w:tcPr>
          <w:p w14:paraId="27A907AE" w14:textId="77777777" w:rsidR="00453EA2" w:rsidRPr="00BF65DA" w:rsidRDefault="00453EA2" w:rsidP="00BF65DA">
            <w:pPr>
              <w:spacing w:after="0" w:line="240" w:lineRule="auto"/>
              <w:jc w:val="center"/>
              <w:rPr>
                <w:rFonts w:ascii="Arial" w:hAnsi="Arial"/>
                <w:sz w:val="18"/>
                <w:szCs w:val="18"/>
              </w:rPr>
            </w:pPr>
            <w:r w:rsidRPr="00BF65DA">
              <w:rPr>
                <w:rFonts w:ascii="Arial" w:hAnsi="Arial"/>
                <w:sz w:val="18"/>
                <w:szCs w:val="18"/>
              </w:rPr>
              <w:t>78%</w:t>
            </w:r>
          </w:p>
        </w:tc>
        <w:tc>
          <w:tcPr>
            <w:tcW w:w="993" w:type="dxa"/>
            <w:shd w:val="clear" w:color="auto" w:fill="FFC000"/>
          </w:tcPr>
          <w:p w14:paraId="1A9859EE" w14:textId="77777777" w:rsidR="00453EA2" w:rsidRPr="007634E5" w:rsidRDefault="00453EA2" w:rsidP="00453EA2">
            <w:pPr>
              <w:spacing w:after="0" w:line="240" w:lineRule="auto"/>
              <w:rPr>
                <w:rFonts w:ascii="Arial" w:hAnsi="Arial"/>
                <w:color w:val="FFC000"/>
                <w:sz w:val="18"/>
                <w:szCs w:val="18"/>
              </w:rPr>
            </w:pPr>
          </w:p>
        </w:tc>
      </w:tr>
      <w:tr w:rsidR="00453EA2" w:rsidRPr="00BF65DA" w14:paraId="59D2CA57" w14:textId="77777777" w:rsidTr="00F332D1">
        <w:tc>
          <w:tcPr>
            <w:tcW w:w="8926" w:type="dxa"/>
            <w:gridSpan w:val="5"/>
          </w:tcPr>
          <w:p w14:paraId="704D2008" w14:textId="77777777" w:rsidR="00453EA2" w:rsidRPr="00BF65DA" w:rsidRDefault="00453EA2" w:rsidP="00453EA2">
            <w:pPr>
              <w:spacing w:after="0" w:line="240" w:lineRule="auto"/>
              <w:rPr>
                <w:rFonts w:ascii="Arial" w:hAnsi="Arial"/>
                <w:sz w:val="18"/>
                <w:szCs w:val="18"/>
              </w:rPr>
            </w:pPr>
            <w:r w:rsidRPr="00BF65DA">
              <w:rPr>
                <w:rFonts w:ascii="Arial" w:hAnsi="Arial"/>
                <w:sz w:val="18"/>
                <w:szCs w:val="18"/>
              </w:rPr>
              <w:t xml:space="preserve">Equipment and Adaptation Stats Under development </w:t>
            </w:r>
          </w:p>
        </w:tc>
      </w:tr>
      <w:tr w:rsidR="00453EA2" w:rsidRPr="00BF65DA" w14:paraId="681F109C" w14:textId="77777777" w:rsidTr="00F332D1">
        <w:tc>
          <w:tcPr>
            <w:tcW w:w="8926" w:type="dxa"/>
            <w:gridSpan w:val="5"/>
          </w:tcPr>
          <w:p w14:paraId="06A95A21" w14:textId="77777777" w:rsidR="00453EA2" w:rsidRPr="00FC287D" w:rsidRDefault="00453EA2" w:rsidP="00453EA2">
            <w:pPr>
              <w:spacing w:after="0" w:line="240" w:lineRule="auto"/>
              <w:rPr>
                <w:rFonts w:ascii="Arial" w:hAnsi="Arial"/>
                <w:b/>
                <w:sz w:val="18"/>
                <w:szCs w:val="18"/>
              </w:rPr>
            </w:pPr>
            <w:r w:rsidRPr="00FC287D">
              <w:rPr>
                <w:rFonts w:ascii="Arial" w:hAnsi="Arial"/>
                <w:b/>
                <w:sz w:val="18"/>
                <w:szCs w:val="18"/>
              </w:rPr>
              <w:t>Overall Assessment of Performance</w:t>
            </w:r>
          </w:p>
          <w:p w14:paraId="58F91ECA" w14:textId="6E50660E" w:rsidR="00453EA2" w:rsidRPr="00BF65DA" w:rsidRDefault="00453EA2" w:rsidP="00453EA2">
            <w:pPr>
              <w:spacing w:after="0" w:line="240" w:lineRule="auto"/>
              <w:rPr>
                <w:rFonts w:ascii="Arial" w:hAnsi="Arial"/>
                <w:sz w:val="18"/>
                <w:szCs w:val="18"/>
              </w:rPr>
            </w:pPr>
            <w:r w:rsidRPr="00BF65DA">
              <w:rPr>
                <w:rFonts w:ascii="Arial" w:hAnsi="Arial"/>
                <w:sz w:val="18"/>
                <w:szCs w:val="18"/>
              </w:rPr>
              <w:t xml:space="preserve">The percentage of adults supported at home who agree that they are supported to live as independently as possible has reduced from the previous reporting </w:t>
            </w:r>
            <w:r w:rsidR="00A56131" w:rsidRPr="00BF65DA">
              <w:rPr>
                <w:rFonts w:ascii="Arial" w:hAnsi="Arial"/>
                <w:sz w:val="18"/>
                <w:szCs w:val="18"/>
              </w:rPr>
              <w:t>period,</w:t>
            </w:r>
            <w:r w:rsidRPr="00BF65DA">
              <w:rPr>
                <w:rFonts w:ascii="Arial" w:hAnsi="Arial"/>
                <w:sz w:val="18"/>
                <w:szCs w:val="18"/>
              </w:rPr>
              <w:t xml:space="preserve"> </w:t>
            </w:r>
            <w:r w:rsidR="007634E5">
              <w:rPr>
                <w:rFonts w:ascii="Arial" w:hAnsi="Arial"/>
                <w:sz w:val="18"/>
                <w:szCs w:val="18"/>
              </w:rPr>
              <w:t>but</w:t>
            </w:r>
            <w:r w:rsidR="000C2ED1">
              <w:rPr>
                <w:rFonts w:ascii="Arial" w:hAnsi="Arial"/>
                <w:sz w:val="18"/>
                <w:szCs w:val="18"/>
              </w:rPr>
              <w:t xml:space="preserve"> it</w:t>
            </w:r>
            <w:r w:rsidRPr="00BF65DA">
              <w:rPr>
                <w:rFonts w:ascii="Arial" w:hAnsi="Arial"/>
                <w:sz w:val="18"/>
                <w:szCs w:val="18"/>
              </w:rPr>
              <w:t xml:space="preserve"> is higher than the national average.   This is again reflective of growing workloads and increasing complexity of need.</w:t>
            </w:r>
          </w:p>
        </w:tc>
      </w:tr>
    </w:tbl>
    <w:p w14:paraId="7ACC25EB" w14:textId="77777777" w:rsidR="00A86127" w:rsidRDefault="00A86127" w:rsidP="009A64B9">
      <w:pPr>
        <w:spacing w:after="0" w:line="259" w:lineRule="auto"/>
        <w:rPr>
          <w:rFonts w:ascii="Aptos" w:eastAsia="Aptos" w:hAnsi="Aptos" w:cs="Arial"/>
          <w:kern w:val="2"/>
          <w14:ligatures w14:val="standardContextual"/>
        </w:rPr>
      </w:pPr>
    </w:p>
    <w:tbl>
      <w:tblPr>
        <w:tblStyle w:val="TableGrid11"/>
        <w:tblW w:w="0" w:type="auto"/>
        <w:tblLayout w:type="fixed"/>
        <w:tblLook w:val="04A0" w:firstRow="1" w:lastRow="0" w:firstColumn="1" w:lastColumn="0" w:noHBand="0" w:noVBand="1"/>
      </w:tblPr>
      <w:tblGrid>
        <w:gridCol w:w="4248"/>
        <w:gridCol w:w="1134"/>
        <w:gridCol w:w="1276"/>
        <w:gridCol w:w="1275"/>
        <w:gridCol w:w="993"/>
      </w:tblGrid>
      <w:tr w:rsidR="001D0C12" w:rsidRPr="007D3752" w14:paraId="01E67AD4" w14:textId="77777777" w:rsidTr="00F332D1">
        <w:tc>
          <w:tcPr>
            <w:tcW w:w="8926" w:type="dxa"/>
            <w:gridSpan w:val="5"/>
          </w:tcPr>
          <w:p w14:paraId="542A9D6F" w14:textId="77777777" w:rsidR="001D0C12" w:rsidRPr="007D3752" w:rsidRDefault="001D0C12" w:rsidP="001D0C12">
            <w:pPr>
              <w:spacing w:after="0" w:line="240" w:lineRule="auto"/>
              <w:rPr>
                <w:rFonts w:ascii="Arial" w:hAnsi="Arial"/>
                <w:b/>
                <w:sz w:val="18"/>
                <w:szCs w:val="18"/>
              </w:rPr>
            </w:pPr>
            <w:r w:rsidRPr="007D3752">
              <w:rPr>
                <w:rFonts w:ascii="Arial" w:hAnsi="Arial"/>
                <w:b/>
                <w:sz w:val="18"/>
                <w:szCs w:val="18"/>
              </w:rPr>
              <w:t>Principle 6: Assessment and Review</w:t>
            </w:r>
          </w:p>
        </w:tc>
      </w:tr>
      <w:tr w:rsidR="001D0C12" w:rsidRPr="007D3752" w14:paraId="0757C240" w14:textId="77777777" w:rsidTr="00F332D1">
        <w:tc>
          <w:tcPr>
            <w:tcW w:w="4248" w:type="dxa"/>
          </w:tcPr>
          <w:p w14:paraId="0202BFC8" w14:textId="77777777" w:rsidR="001D0C12" w:rsidRPr="007D3752" w:rsidRDefault="001D0C12" w:rsidP="001D0C12">
            <w:pPr>
              <w:spacing w:after="0" w:line="240" w:lineRule="auto"/>
              <w:rPr>
                <w:rFonts w:ascii="Arial" w:hAnsi="Arial"/>
                <w:sz w:val="18"/>
                <w:szCs w:val="18"/>
              </w:rPr>
            </w:pPr>
            <w:r w:rsidRPr="007D3752">
              <w:rPr>
                <w:rFonts w:ascii="Arial" w:hAnsi="Arial"/>
                <w:bCs/>
                <w:sz w:val="18"/>
                <w:szCs w:val="18"/>
              </w:rPr>
              <w:t>Measure</w:t>
            </w:r>
          </w:p>
        </w:tc>
        <w:tc>
          <w:tcPr>
            <w:tcW w:w="1134" w:type="dxa"/>
          </w:tcPr>
          <w:p w14:paraId="3E8407F1" w14:textId="77777777" w:rsidR="001D0C12" w:rsidRPr="007D3752" w:rsidRDefault="001D0C12" w:rsidP="007D3752">
            <w:pPr>
              <w:spacing w:after="0" w:line="240" w:lineRule="auto"/>
              <w:jc w:val="center"/>
              <w:rPr>
                <w:rFonts w:ascii="Arial" w:hAnsi="Arial"/>
                <w:bCs/>
                <w:sz w:val="18"/>
                <w:szCs w:val="18"/>
              </w:rPr>
            </w:pPr>
            <w:r w:rsidRPr="007D3752">
              <w:rPr>
                <w:rFonts w:ascii="Arial" w:hAnsi="Arial"/>
                <w:bCs/>
                <w:sz w:val="18"/>
                <w:szCs w:val="18"/>
              </w:rPr>
              <w:t>Scottish Average</w:t>
            </w:r>
          </w:p>
        </w:tc>
        <w:tc>
          <w:tcPr>
            <w:tcW w:w="1276" w:type="dxa"/>
          </w:tcPr>
          <w:p w14:paraId="6A31806F" w14:textId="77777777" w:rsidR="001D0C12" w:rsidRPr="007D3752" w:rsidRDefault="001D0C12" w:rsidP="007D3752">
            <w:pPr>
              <w:spacing w:after="0" w:line="240" w:lineRule="auto"/>
              <w:jc w:val="center"/>
              <w:rPr>
                <w:rFonts w:ascii="Arial" w:hAnsi="Arial"/>
                <w:sz w:val="18"/>
                <w:szCs w:val="18"/>
              </w:rPr>
            </w:pPr>
            <w:r w:rsidRPr="007D3752">
              <w:rPr>
                <w:rFonts w:ascii="Arial" w:hAnsi="Arial"/>
                <w:bCs/>
                <w:sz w:val="18"/>
                <w:szCs w:val="18"/>
              </w:rPr>
              <w:t>Current Performance</w:t>
            </w:r>
          </w:p>
        </w:tc>
        <w:tc>
          <w:tcPr>
            <w:tcW w:w="1275" w:type="dxa"/>
          </w:tcPr>
          <w:p w14:paraId="08191D5C" w14:textId="77777777" w:rsidR="001D0C12" w:rsidRPr="007D3752" w:rsidRDefault="001D0C12" w:rsidP="007D3752">
            <w:pPr>
              <w:spacing w:after="0" w:line="240" w:lineRule="auto"/>
              <w:jc w:val="center"/>
              <w:rPr>
                <w:rFonts w:ascii="Arial" w:hAnsi="Arial"/>
                <w:sz w:val="18"/>
                <w:szCs w:val="18"/>
              </w:rPr>
            </w:pPr>
            <w:r w:rsidRPr="007D3752">
              <w:rPr>
                <w:rFonts w:ascii="Arial" w:hAnsi="Arial"/>
                <w:bCs/>
                <w:sz w:val="18"/>
                <w:szCs w:val="18"/>
              </w:rPr>
              <w:t>Previous Performance</w:t>
            </w:r>
          </w:p>
        </w:tc>
        <w:tc>
          <w:tcPr>
            <w:tcW w:w="993" w:type="dxa"/>
          </w:tcPr>
          <w:p w14:paraId="46880FA3" w14:textId="77777777" w:rsidR="001D0C12" w:rsidRPr="007D3752" w:rsidRDefault="001D0C12" w:rsidP="001D0C12">
            <w:pPr>
              <w:spacing w:after="0" w:line="240" w:lineRule="auto"/>
              <w:rPr>
                <w:rFonts w:ascii="Arial" w:hAnsi="Arial"/>
                <w:bCs/>
                <w:sz w:val="18"/>
                <w:szCs w:val="18"/>
              </w:rPr>
            </w:pPr>
            <w:r w:rsidRPr="007D3752">
              <w:rPr>
                <w:rFonts w:ascii="Arial" w:hAnsi="Arial"/>
                <w:bCs/>
                <w:sz w:val="18"/>
                <w:szCs w:val="18"/>
              </w:rPr>
              <w:t>RAG</w:t>
            </w:r>
          </w:p>
          <w:p w14:paraId="6CCCC969" w14:textId="77777777" w:rsidR="001D0C12" w:rsidRPr="007D3752" w:rsidRDefault="001D0C12" w:rsidP="001D0C12">
            <w:pPr>
              <w:spacing w:after="0" w:line="240" w:lineRule="auto"/>
              <w:rPr>
                <w:rFonts w:ascii="Arial" w:hAnsi="Arial"/>
                <w:sz w:val="18"/>
                <w:szCs w:val="18"/>
              </w:rPr>
            </w:pPr>
            <w:r w:rsidRPr="007D3752">
              <w:rPr>
                <w:rFonts w:ascii="Arial" w:hAnsi="Arial"/>
                <w:bCs/>
                <w:sz w:val="18"/>
                <w:szCs w:val="18"/>
              </w:rPr>
              <w:t>Status</w:t>
            </w:r>
          </w:p>
        </w:tc>
      </w:tr>
      <w:tr w:rsidR="001D0C12" w:rsidRPr="007D3752" w14:paraId="6736D567" w14:textId="77777777" w:rsidTr="00575ED1">
        <w:tc>
          <w:tcPr>
            <w:tcW w:w="4248" w:type="dxa"/>
          </w:tcPr>
          <w:p w14:paraId="76213BCE" w14:textId="79B1716B" w:rsidR="001D0C12" w:rsidRPr="007D3752" w:rsidRDefault="000F3652" w:rsidP="001D0C12">
            <w:pPr>
              <w:spacing w:after="0" w:line="240" w:lineRule="auto"/>
              <w:rPr>
                <w:rFonts w:ascii="Arial" w:hAnsi="Arial"/>
                <w:sz w:val="18"/>
                <w:szCs w:val="18"/>
              </w:rPr>
            </w:pPr>
            <w:r w:rsidRPr="00974EFE">
              <w:rPr>
                <w:rFonts w:ascii="Arial" w:hAnsi="Arial"/>
                <w:sz w:val="18"/>
                <w:szCs w:val="18"/>
              </w:rPr>
              <w:t xml:space="preserve">Number of people waiting for Social Care Assessment </w:t>
            </w:r>
            <w:r w:rsidR="006875EB">
              <w:rPr>
                <w:rFonts w:ascii="Arial" w:hAnsi="Arial"/>
                <w:sz w:val="18"/>
                <w:szCs w:val="18"/>
              </w:rPr>
              <w:t xml:space="preserve">(as at </w:t>
            </w:r>
            <w:r w:rsidR="00C903AB">
              <w:rPr>
                <w:rFonts w:ascii="Arial" w:hAnsi="Arial"/>
                <w:sz w:val="18"/>
                <w:szCs w:val="18"/>
              </w:rPr>
              <w:t xml:space="preserve">end </w:t>
            </w:r>
            <w:r w:rsidR="006875EB">
              <w:rPr>
                <w:rFonts w:ascii="Arial" w:hAnsi="Arial"/>
                <w:sz w:val="18"/>
                <w:szCs w:val="18"/>
              </w:rPr>
              <w:t>March</w:t>
            </w:r>
            <w:r w:rsidR="00C903AB">
              <w:rPr>
                <w:rFonts w:ascii="Arial" w:hAnsi="Arial"/>
                <w:sz w:val="18"/>
                <w:szCs w:val="18"/>
              </w:rPr>
              <w:t>)</w:t>
            </w:r>
          </w:p>
        </w:tc>
        <w:tc>
          <w:tcPr>
            <w:tcW w:w="1134" w:type="dxa"/>
            <w:shd w:val="clear" w:color="auto" w:fill="BFBFBF" w:themeFill="background1" w:themeFillShade="BF"/>
          </w:tcPr>
          <w:p w14:paraId="740051C8" w14:textId="3B99054C" w:rsidR="001D0C12" w:rsidRPr="007D3752" w:rsidRDefault="001D0C12" w:rsidP="007D3752">
            <w:pPr>
              <w:spacing w:after="0" w:line="240" w:lineRule="auto"/>
              <w:jc w:val="center"/>
              <w:rPr>
                <w:rFonts w:ascii="Arial" w:hAnsi="Arial"/>
                <w:sz w:val="18"/>
                <w:szCs w:val="18"/>
              </w:rPr>
            </w:pPr>
          </w:p>
        </w:tc>
        <w:tc>
          <w:tcPr>
            <w:tcW w:w="1276" w:type="dxa"/>
          </w:tcPr>
          <w:p w14:paraId="4B4E60EA" w14:textId="5112203D" w:rsidR="001D0C12" w:rsidRPr="007D3752" w:rsidRDefault="000F3652" w:rsidP="007D3752">
            <w:pPr>
              <w:spacing w:after="0" w:line="240" w:lineRule="auto"/>
              <w:jc w:val="center"/>
              <w:rPr>
                <w:rFonts w:ascii="Arial" w:hAnsi="Arial"/>
                <w:sz w:val="18"/>
                <w:szCs w:val="18"/>
              </w:rPr>
            </w:pPr>
            <w:r w:rsidRPr="00974EFE">
              <w:rPr>
                <w:rFonts w:ascii="Arial" w:hAnsi="Arial"/>
                <w:sz w:val="18"/>
                <w:szCs w:val="18"/>
              </w:rPr>
              <w:t>175</w:t>
            </w:r>
          </w:p>
        </w:tc>
        <w:tc>
          <w:tcPr>
            <w:tcW w:w="1275" w:type="dxa"/>
          </w:tcPr>
          <w:p w14:paraId="18E8C335" w14:textId="3F6B9515" w:rsidR="001D0C12" w:rsidRPr="007D3752" w:rsidRDefault="000F3652" w:rsidP="007D3752">
            <w:pPr>
              <w:spacing w:after="0" w:line="240" w:lineRule="auto"/>
              <w:jc w:val="center"/>
              <w:rPr>
                <w:rFonts w:ascii="Arial" w:hAnsi="Arial"/>
                <w:sz w:val="18"/>
                <w:szCs w:val="18"/>
              </w:rPr>
            </w:pPr>
            <w:r w:rsidRPr="00974EFE">
              <w:rPr>
                <w:rFonts w:ascii="Arial" w:hAnsi="Arial"/>
                <w:sz w:val="18"/>
                <w:szCs w:val="18"/>
              </w:rPr>
              <w:t>116</w:t>
            </w:r>
          </w:p>
        </w:tc>
        <w:tc>
          <w:tcPr>
            <w:tcW w:w="993" w:type="dxa"/>
            <w:shd w:val="clear" w:color="auto" w:fill="EE0000"/>
          </w:tcPr>
          <w:p w14:paraId="349585B2" w14:textId="77777777" w:rsidR="001D0C12" w:rsidRPr="007D3752" w:rsidRDefault="001D0C12" w:rsidP="001D0C12">
            <w:pPr>
              <w:spacing w:after="0" w:line="240" w:lineRule="auto"/>
              <w:rPr>
                <w:rFonts w:ascii="Arial" w:hAnsi="Arial"/>
                <w:sz w:val="18"/>
                <w:szCs w:val="18"/>
              </w:rPr>
            </w:pPr>
          </w:p>
        </w:tc>
      </w:tr>
      <w:tr w:rsidR="001D0C12" w:rsidRPr="007D3752" w14:paraId="1B06EB05" w14:textId="77777777" w:rsidTr="00C80FEC">
        <w:tc>
          <w:tcPr>
            <w:tcW w:w="4248" w:type="dxa"/>
          </w:tcPr>
          <w:p w14:paraId="3DA5C528" w14:textId="4C354001" w:rsidR="001D0C12" w:rsidRPr="007D3752" w:rsidRDefault="00220567" w:rsidP="001D0C12">
            <w:pPr>
              <w:spacing w:after="0" w:line="240" w:lineRule="auto"/>
              <w:rPr>
                <w:rFonts w:ascii="Arial" w:hAnsi="Arial"/>
                <w:sz w:val="18"/>
                <w:szCs w:val="18"/>
              </w:rPr>
            </w:pPr>
            <w:r w:rsidRPr="00974EFE">
              <w:rPr>
                <w:rFonts w:ascii="Arial" w:hAnsi="Arial"/>
                <w:sz w:val="18"/>
                <w:szCs w:val="18"/>
              </w:rPr>
              <w:t xml:space="preserve">Total number of people assessed and waiting for a care at home package in the community </w:t>
            </w:r>
            <w:r w:rsidR="00C903AB">
              <w:rPr>
                <w:rFonts w:ascii="Arial" w:hAnsi="Arial"/>
                <w:sz w:val="18"/>
                <w:szCs w:val="18"/>
              </w:rPr>
              <w:t>(as at end March)</w:t>
            </w:r>
          </w:p>
        </w:tc>
        <w:tc>
          <w:tcPr>
            <w:tcW w:w="1134" w:type="dxa"/>
            <w:shd w:val="clear" w:color="auto" w:fill="BFBFBF" w:themeFill="background1" w:themeFillShade="BF"/>
          </w:tcPr>
          <w:p w14:paraId="1B896939" w14:textId="786D13B1" w:rsidR="001D0C12" w:rsidRPr="007D3752" w:rsidRDefault="001D0C12" w:rsidP="007D3752">
            <w:pPr>
              <w:spacing w:after="0" w:line="240" w:lineRule="auto"/>
              <w:jc w:val="center"/>
              <w:rPr>
                <w:rFonts w:ascii="Arial" w:hAnsi="Arial"/>
                <w:sz w:val="18"/>
                <w:szCs w:val="18"/>
              </w:rPr>
            </w:pPr>
          </w:p>
        </w:tc>
        <w:tc>
          <w:tcPr>
            <w:tcW w:w="1276" w:type="dxa"/>
          </w:tcPr>
          <w:p w14:paraId="01967372" w14:textId="5657BA45" w:rsidR="001D0C12" w:rsidRPr="007D3752" w:rsidRDefault="00220567" w:rsidP="007D3752">
            <w:pPr>
              <w:spacing w:after="0" w:line="240" w:lineRule="auto"/>
              <w:jc w:val="center"/>
              <w:rPr>
                <w:rFonts w:ascii="Arial" w:hAnsi="Arial"/>
                <w:sz w:val="18"/>
                <w:szCs w:val="18"/>
              </w:rPr>
            </w:pPr>
            <w:r w:rsidRPr="00974EFE">
              <w:rPr>
                <w:rFonts w:ascii="Arial" w:hAnsi="Arial"/>
                <w:sz w:val="18"/>
                <w:szCs w:val="18"/>
              </w:rPr>
              <w:t>23</w:t>
            </w:r>
          </w:p>
        </w:tc>
        <w:tc>
          <w:tcPr>
            <w:tcW w:w="1275" w:type="dxa"/>
          </w:tcPr>
          <w:p w14:paraId="03D797B0" w14:textId="7E91C6E0" w:rsidR="001D0C12" w:rsidRPr="007D3752" w:rsidRDefault="00220567" w:rsidP="007D3752">
            <w:pPr>
              <w:spacing w:after="0" w:line="240" w:lineRule="auto"/>
              <w:jc w:val="center"/>
              <w:rPr>
                <w:rFonts w:ascii="Arial" w:hAnsi="Arial"/>
                <w:sz w:val="18"/>
                <w:szCs w:val="18"/>
              </w:rPr>
            </w:pPr>
            <w:r w:rsidRPr="00974EFE">
              <w:rPr>
                <w:rFonts w:ascii="Arial" w:hAnsi="Arial"/>
                <w:sz w:val="18"/>
                <w:szCs w:val="18"/>
              </w:rPr>
              <w:t>32</w:t>
            </w:r>
          </w:p>
        </w:tc>
        <w:tc>
          <w:tcPr>
            <w:tcW w:w="993" w:type="dxa"/>
            <w:shd w:val="clear" w:color="auto" w:fill="92D050"/>
          </w:tcPr>
          <w:p w14:paraId="00E2E20E" w14:textId="77777777" w:rsidR="001D0C12" w:rsidRPr="007D3752" w:rsidRDefault="001D0C12" w:rsidP="001D0C12">
            <w:pPr>
              <w:spacing w:after="0" w:line="240" w:lineRule="auto"/>
              <w:rPr>
                <w:rFonts w:ascii="Arial" w:hAnsi="Arial"/>
                <w:sz w:val="18"/>
                <w:szCs w:val="18"/>
              </w:rPr>
            </w:pPr>
          </w:p>
        </w:tc>
      </w:tr>
      <w:tr w:rsidR="003368E6" w:rsidRPr="007D3752" w14:paraId="35810567" w14:textId="77777777" w:rsidTr="00C80FEC">
        <w:tc>
          <w:tcPr>
            <w:tcW w:w="4248" w:type="dxa"/>
          </w:tcPr>
          <w:p w14:paraId="4DA00239" w14:textId="432867F7" w:rsidR="003368E6" w:rsidRPr="00974EFE" w:rsidRDefault="003368E6" w:rsidP="003368E6">
            <w:pPr>
              <w:spacing w:after="0" w:line="240" w:lineRule="auto"/>
              <w:rPr>
                <w:rFonts w:ascii="Arial" w:hAnsi="Arial"/>
                <w:sz w:val="18"/>
                <w:szCs w:val="18"/>
              </w:rPr>
            </w:pPr>
            <w:r w:rsidRPr="00974EFE">
              <w:rPr>
                <w:rFonts w:ascii="Arial" w:hAnsi="Arial"/>
                <w:sz w:val="18"/>
                <w:szCs w:val="18"/>
              </w:rPr>
              <w:t xml:space="preserve">Total number of people assessed and waiting for a care at home package in hospital </w:t>
            </w:r>
          </w:p>
        </w:tc>
        <w:tc>
          <w:tcPr>
            <w:tcW w:w="1134" w:type="dxa"/>
            <w:shd w:val="clear" w:color="auto" w:fill="BFBFBF" w:themeFill="background1" w:themeFillShade="BF"/>
          </w:tcPr>
          <w:p w14:paraId="0E822A9D" w14:textId="2733A0EC" w:rsidR="003368E6" w:rsidRPr="00974EFE" w:rsidRDefault="003368E6" w:rsidP="003368E6">
            <w:pPr>
              <w:spacing w:after="0" w:line="240" w:lineRule="auto"/>
              <w:jc w:val="center"/>
              <w:rPr>
                <w:rFonts w:ascii="Arial" w:hAnsi="Arial"/>
                <w:sz w:val="18"/>
                <w:szCs w:val="18"/>
              </w:rPr>
            </w:pPr>
          </w:p>
        </w:tc>
        <w:tc>
          <w:tcPr>
            <w:tcW w:w="1276" w:type="dxa"/>
          </w:tcPr>
          <w:p w14:paraId="32A97DB6" w14:textId="7B41C9DB" w:rsidR="003368E6" w:rsidRPr="00974EFE" w:rsidRDefault="003368E6" w:rsidP="003368E6">
            <w:pPr>
              <w:spacing w:after="0" w:line="240" w:lineRule="auto"/>
              <w:jc w:val="center"/>
              <w:rPr>
                <w:rFonts w:ascii="Arial" w:hAnsi="Arial"/>
                <w:sz w:val="18"/>
                <w:szCs w:val="18"/>
              </w:rPr>
            </w:pPr>
            <w:r w:rsidRPr="00974EFE">
              <w:rPr>
                <w:rFonts w:ascii="Arial" w:hAnsi="Arial"/>
                <w:sz w:val="18"/>
                <w:szCs w:val="18"/>
              </w:rPr>
              <w:t>13</w:t>
            </w:r>
          </w:p>
        </w:tc>
        <w:tc>
          <w:tcPr>
            <w:tcW w:w="1275" w:type="dxa"/>
          </w:tcPr>
          <w:p w14:paraId="2B487D32" w14:textId="25E9BE1D" w:rsidR="003368E6" w:rsidRPr="00974EFE" w:rsidRDefault="003368E6" w:rsidP="003368E6">
            <w:pPr>
              <w:spacing w:after="0" w:line="240" w:lineRule="auto"/>
              <w:jc w:val="center"/>
              <w:rPr>
                <w:rFonts w:ascii="Arial" w:hAnsi="Arial"/>
                <w:sz w:val="18"/>
                <w:szCs w:val="18"/>
              </w:rPr>
            </w:pPr>
            <w:r w:rsidRPr="00974EFE">
              <w:rPr>
                <w:rFonts w:ascii="Arial" w:hAnsi="Arial"/>
                <w:sz w:val="18"/>
                <w:szCs w:val="18"/>
              </w:rPr>
              <w:t>12</w:t>
            </w:r>
          </w:p>
        </w:tc>
        <w:tc>
          <w:tcPr>
            <w:tcW w:w="993" w:type="dxa"/>
            <w:shd w:val="clear" w:color="auto" w:fill="FFC000"/>
          </w:tcPr>
          <w:p w14:paraId="16F7A4FC" w14:textId="77777777" w:rsidR="003368E6" w:rsidRPr="00974EFE" w:rsidRDefault="003368E6" w:rsidP="003368E6">
            <w:pPr>
              <w:spacing w:after="0" w:line="240" w:lineRule="auto"/>
              <w:rPr>
                <w:rFonts w:ascii="Arial" w:hAnsi="Arial"/>
                <w:sz w:val="18"/>
                <w:szCs w:val="18"/>
              </w:rPr>
            </w:pPr>
          </w:p>
        </w:tc>
      </w:tr>
      <w:tr w:rsidR="001D0C12" w:rsidRPr="007D3752" w14:paraId="48E284C4" w14:textId="77777777" w:rsidTr="00F332D1">
        <w:tc>
          <w:tcPr>
            <w:tcW w:w="8926" w:type="dxa"/>
            <w:gridSpan w:val="5"/>
          </w:tcPr>
          <w:p w14:paraId="52C74231" w14:textId="00CD25E7" w:rsidR="001D0C12" w:rsidRPr="00C903AB" w:rsidRDefault="001D0C12" w:rsidP="00F332D1">
            <w:pPr>
              <w:spacing w:after="0" w:line="240" w:lineRule="auto"/>
              <w:rPr>
                <w:rFonts w:ascii="Arial" w:hAnsi="Arial"/>
                <w:b/>
                <w:sz w:val="18"/>
                <w:szCs w:val="18"/>
              </w:rPr>
            </w:pPr>
            <w:r w:rsidRPr="00C903AB">
              <w:rPr>
                <w:rFonts w:ascii="Arial" w:hAnsi="Arial"/>
                <w:b/>
                <w:sz w:val="18"/>
                <w:szCs w:val="18"/>
              </w:rPr>
              <w:t>Overall Assessment of Performance</w:t>
            </w:r>
          </w:p>
          <w:p w14:paraId="20D91942" w14:textId="1EEC662D" w:rsidR="00974EFE" w:rsidRPr="007D3752" w:rsidRDefault="00C80FEC" w:rsidP="0029525E">
            <w:pPr>
              <w:spacing w:after="0" w:line="240" w:lineRule="auto"/>
              <w:rPr>
                <w:rFonts w:ascii="Arial" w:hAnsi="Arial"/>
                <w:sz w:val="18"/>
                <w:szCs w:val="18"/>
              </w:rPr>
            </w:pPr>
            <w:r>
              <w:rPr>
                <w:rFonts w:ascii="Arial" w:hAnsi="Arial"/>
                <w:bCs/>
                <w:sz w:val="18"/>
                <w:szCs w:val="18"/>
              </w:rPr>
              <w:t xml:space="preserve">There is a mixed picture in relation to </w:t>
            </w:r>
            <w:r w:rsidR="006875EB">
              <w:rPr>
                <w:rFonts w:ascii="Arial" w:hAnsi="Arial"/>
                <w:bCs/>
                <w:sz w:val="18"/>
                <w:szCs w:val="18"/>
              </w:rPr>
              <w:t>the assessment and review indicators.   The number of people waiting for a soc</w:t>
            </w:r>
            <w:r w:rsidR="00C903AB">
              <w:rPr>
                <w:rFonts w:ascii="Arial" w:hAnsi="Arial"/>
                <w:bCs/>
                <w:sz w:val="18"/>
                <w:szCs w:val="18"/>
              </w:rPr>
              <w:t>ial car</w:t>
            </w:r>
            <w:r w:rsidR="00DC43DD">
              <w:rPr>
                <w:rFonts w:ascii="Arial" w:hAnsi="Arial"/>
                <w:bCs/>
                <w:sz w:val="18"/>
                <w:szCs w:val="18"/>
              </w:rPr>
              <w:t>e</w:t>
            </w:r>
            <w:r w:rsidR="00C903AB">
              <w:rPr>
                <w:rFonts w:ascii="Arial" w:hAnsi="Arial"/>
                <w:bCs/>
                <w:sz w:val="18"/>
                <w:szCs w:val="18"/>
              </w:rPr>
              <w:t xml:space="preserve"> assessment </w:t>
            </w:r>
            <w:r w:rsidR="00BC21DC">
              <w:rPr>
                <w:rFonts w:ascii="Arial" w:hAnsi="Arial"/>
                <w:bCs/>
                <w:sz w:val="18"/>
                <w:szCs w:val="18"/>
              </w:rPr>
              <w:t xml:space="preserve">has increased indicating the continued increase in demand for social care services.   </w:t>
            </w:r>
            <w:r w:rsidR="00700CA7">
              <w:rPr>
                <w:rFonts w:ascii="Arial" w:hAnsi="Arial"/>
                <w:bCs/>
                <w:sz w:val="18"/>
                <w:szCs w:val="18"/>
              </w:rPr>
              <w:t xml:space="preserve">The total number of people </w:t>
            </w:r>
            <w:r w:rsidR="00DA1A87">
              <w:rPr>
                <w:rFonts w:ascii="Arial" w:hAnsi="Arial"/>
                <w:bCs/>
                <w:sz w:val="18"/>
                <w:szCs w:val="18"/>
              </w:rPr>
              <w:t>assessed and</w:t>
            </w:r>
            <w:r w:rsidR="00DA1A87" w:rsidRPr="00DA1A87">
              <w:rPr>
                <w:rFonts w:ascii="Arial" w:hAnsi="Arial"/>
                <w:bCs/>
                <w:sz w:val="18"/>
                <w:szCs w:val="18"/>
              </w:rPr>
              <w:t xml:space="preserve"> waiting for a care at home package in the community</w:t>
            </w:r>
            <w:r w:rsidR="00DA1A87">
              <w:rPr>
                <w:rFonts w:ascii="Arial" w:hAnsi="Arial"/>
                <w:bCs/>
                <w:sz w:val="18"/>
                <w:szCs w:val="18"/>
              </w:rPr>
              <w:t xml:space="preserve"> </w:t>
            </w:r>
            <w:r w:rsidR="00DA1A87">
              <w:rPr>
                <w:rFonts w:ascii="Arial" w:hAnsi="Arial"/>
                <w:bCs/>
                <w:sz w:val="18"/>
                <w:szCs w:val="18"/>
              </w:rPr>
              <w:lastRenderedPageBreak/>
              <w:t xml:space="preserve">has reduced significantly </w:t>
            </w:r>
            <w:r w:rsidR="00DC43DD">
              <w:rPr>
                <w:rFonts w:ascii="Arial" w:hAnsi="Arial"/>
                <w:bCs/>
                <w:sz w:val="18"/>
                <w:szCs w:val="18"/>
              </w:rPr>
              <w:t xml:space="preserve">by 28% </w:t>
            </w:r>
            <w:r w:rsidR="00B6154F">
              <w:rPr>
                <w:rFonts w:ascii="Arial" w:hAnsi="Arial"/>
                <w:bCs/>
                <w:sz w:val="18"/>
                <w:szCs w:val="18"/>
              </w:rPr>
              <w:t>but those assessed and waiting in hospital has increased very slightly</w:t>
            </w:r>
            <w:r w:rsidR="00FA768A">
              <w:rPr>
                <w:rFonts w:ascii="Arial" w:hAnsi="Arial"/>
                <w:bCs/>
                <w:sz w:val="18"/>
                <w:szCs w:val="18"/>
              </w:rPr>
              <w:t xml:space="preserve"> by one patient</w:t>
            </w:r>
            <w:r w:rsidR="00B6154F">
              <w:rPr>
                <w:rFonts w:ascii="Arial" w:hAnsi="Arial"/>
                <w:bCs/>
                <w:sz w:val="18"/>
                <w:szCs w:val="18"/>
              </w:rPr>
              <w:t xml:space="preserve">.   This demonstrates the continued efforts by the social work teams and </w:t>
            </w:r>
            <w:r w:rsidR="002A0EDB">
              <w:rPr>
                <w:rFonts w:ascii="Arial" w:hAnsi="Arial"/>
                <w:bCs/>
                <w:sz w:val="18"/>
                <w:szCs w:val="18"/>
              </w:rPr>
              <w:t xml:space="preserve">our commissioned social care service providers </w:t>
            </w:r>
            <w:r w:rsidR="00FA768A">
              <w:rPr>
                <w:rFonts w:ascii="Arial" w:hAnsi="Arial"/>
                <w:bCs/>
                <w:sz w:val="18"/>
                <w:szCs w:val="18"/>
              </w:rPr>
              <w:t>to ensure assess</w:t>
            </w:r>
            <w:r w:rsidR="0029525E">
              <w:rPr>
                <w:rFonts w:ascii="Arial" w:hAnsi="Arial"/>
                <w:bCs/>
                <w:sz w:val="18"/>
                <w:szCs w:val="18"/>
              </w:rPr>
              <w:t>ments and reviews are undertaken timeously and that there is capacity in the community to provide the necessary care.</w:t>
            </w:r>
          </w:p>
          <w:p w14:paraId="41432B57" w14:textId="77777777" w:rsidR="001D0C12" w:rsidRPr="007D3752" w:rsidRDefault="001D0C12" w:rsidP="001D0C12">
            <w:pPr>
              <w:spacing w:after="0" w:line="240" w:lineRule="auto"/>
              <w:rPr>
                <w:rFonts w:ascii="Arial" w:hAnsi="Arial"/>
                <w:sz w:val="18"/>
                <w:szCs w:val="18"/>
              </w:rPr>
            </w:pPr>
          </w:p>
        </w:tc>
      </w:tr>
    </w:tbl>
    <w:p w14:paraId="5C01D231" w14:textId="77777777" w:rsidR="00880B0B" w:rsidRPr="00880B0B" w:rsidRDefault="00880B0B" w:rsidP="00271DBE">
      <w:pPr>
        <w:spacing w:after="0" w:line="259" w:lineRule="auto"/>
        <w:rPr>
          <w:rFonts w:ascii="Aptos" w:eastAsia="Aptos" w:hAnsi="Aptos" w:cs="Arial"/>
          <w:kern w:val="2"/>
          <w14:ligatures w14:val="standardContextual"/>
        </w:rPr>
      </w:pPr>
    </w:p>
    <w:tbl>
      <w:tblPr>
        <w:tblStyle w:val="TableGrid12"/>
        <w:tblW w:w="0" w:type="auto"/>
        <w:tblLook w:val="04A0" w:firstRow="1" w:lastRow="0" w:firstColumn="1" w:lastColumn="0" w:noHBand="0" w:noVBand="1"/>
      </w:tblPr>
      <w:tblGrid>
        <w:gridCol w:w="4248"/>
        <w:gridCol w:w="1134"/>
        <w:gridCol w:w="1276"/>
        <w:gridCol w:w="1275"/>
        <w:gridCol w:w="993"/>
      </w:tblGrid>
      <w:tr w:rsidR="00F332D1" w:rsidRPr="007D3752" w14:paraId="16B56BCA" w14:textId="77777777" w:rsidTr="00F332D1">
        <w:tc>
          <w:tcPr>
            <w:tcW w:w="8926" w:type="dxa"/>
            <w:gridSpan w:val="5"/>
          </w:tcPr>
          <w:p w14:paraId="1B2FE01D" w14:textId="77777777" w:rsidR="00F332D1" w:rsidRPr="007D3752" w:rsidRDefault="00F332D1" w:rsidP="00F332D1">
            <w:pPr>
              <w:spacing w:after="0" w:line="240" w:lineRule="auto"/>
              <w:rPr>
                <w:rFonts w:ascii="Arial" w:hAnsi="Arial"/>
                <w:b/>
                <w:sz w:val="18"/>
                <w:szCs w:val="18"/>
              </w:rPr>
            </w:pPr>
            <w:r w:rsidRPr="007D3752">
              <w:rPr>
                <w:rFonts w:ascii="Arial" w:hAnsi="Arial"/>
                <w:b/>
                <w:sz w:val="18"/>
                <w:szCs w:val="18"/>
              </w:rPr>
              <w:t>Principle 7: Focus on Prevention</w:t>
            </w:r>
          </w:p>
        </w:tc>
      </w:tr>
      <w:tr w:rsidR="00F332D1" w:rsidRPr="007D3752" w14:paraId="51C44029" w14:textId="77777777" w:rsidTr="00F332D1">
        <w:tc>
          <w:tcPr>
            <w:tcW w:w="4248" w:type="dxa"/>
          </w:tcPr>
          <w:p w14:paraId="48F4E126" w14:textId="77777777" w:rsidR="00F332D1" w:rsidRPr="007D3752" w:rsidRDefault="00F332D1" w:rsidP="00F332D1">
            <w:pPr>
              <w:spacing w:after="0" w:line="240" w:lineRule="auto"/>
              <w:rPr>
                <w:rFonts w:ascii="Arial" w:hAnsi="Arial"/>
                <w:sz w:val="18"/>
                <w:szCs w:val="18"/>
              </w:rPr>
            </w:pPr>
            <w:r w:rsidRPr="007D3752">
              <w:rPr>
                <w:rFonts w:ascii="Arial" w:hAnsi="Arial"/>
                <w:bCs/>
                <w:sz w:val="18"/>
                <w:szCs w:val="18"/>
              </w:rPr>
              <w:t>Measure</w:t>
            </w:r>
          </w:p>
        </w:tc>
        <w:tc>
          <w:tcPr>
            <w:tcW w:w="1134" w:type="dxa"/>
          </w:tcPr>
          <w:p w14:paraId="756E548E" w14:textId="77777777" w:rsidR="00F332D1" w:rsidRPr="007D3752" w:rsidRDefault="00F332D1" w:rsidP="007D3752">
            <w:pPr>
              <w:spacing w:after="0" w:line="240" w:lineRule="auto"/>
              <w:jc w:val="center"/>
              <w:rPr>
                <w:rFonts w:ascii="Arial" w:hAnsi="Arial"/>
                <w:bCs/>
                <w:sz w:val="18"/>
                <w:szCs w:val="18"/>
              </w:rPr>
            </w:pPr>
            <w:r w:rsidRPr="007D3752">
              <w:rPr>
                <w:rFonts w:ascii="Arial" w:hAnsi="Arial"/>
                <w:bCs/>
                <w:sz w:val="18"/>
                <w:szCs w:val="18"/>
              </w:rPr>
              <w:t>Scottish Average</w:t>
            </w:r>
          </w:p>
        </w:tc>
        <w:tc>
          <w:tcPr>
            <w:tcW w:w="1276" w:type="dxa"/>
          </w:tcPr>
          <w:p w14:paraId="24AEBF0D" w14:textId="77777777" w:rsidR="00F332D1" w:rsidRPr="007D3752" w:rsidRDefault="00F332D1" w:rsidP="007D3752">
            <w:pPr>
              <w:spacing w:after="0" w:line="240" w:lineRule="auto"/>
              <w:jc w:val="center"/>
              <w:rPr>
                <w:rFonts w:ascii="Arial" w:hAnsi="Arial"/>
                <w:sz w:val="18"/>
                <w:szCs w:val="18"/>
              </w:rPr>
            </w:pPr>
            <w:r w:rsidRPr="007D3752">
              <w:rPr>
                <w:rFonts w:ascii="Arial" w:hAnsi="Arial"/>
                <w:bCs/>
                <w:sz w:val="18"/>
                <w:szCs w:val="18"/>
              </w:rPr>
              <w:t>Current Performance</w:t>
            </w:r>
          </w:p>
        </w:tc>
        <w:tc>
          <w:tcPr>
            <w:tcW w:w="1275" w:type="dxa"/>
          </w:tcPr>
          <w:p w14:paraId="5EE42C1D" w14:textId="77777777" w:rsidR="00F332D1" w:rsidRPr="007D3752" w:rsidRDefault="00F332D1" w:rsidP="007D3752">
            <w:pPr>
              <w:spacing w:after="0" w:line="240" w:lineRule="auto"/>
              <w:jc w:val="center"/>
              <w:rPr>
                <w:rFonts w:ascii="Arial" w:hAnsi="Arial"/>
                <w:sz w:val="18"/>
                <w:szCs w:val="18"/>
              </w:rPr>
            </w:pPr>
            <w:r w:rsidRPr="007D3752">
              <w:rPr>
                <w:rFonts w:ascii="Arial" w:hAnsi="Arial"/>
                <w:bCs/>
                <w:sz w:val="18"/>
                <w:szCs w:val="18"/>
              </w:rPr>
              <w:t>Previous Performance</w:t>
            </w:r>
          </w:p>
        </w:tc>
        <w:tc>
          <w:tcPr>
            <w:tcW w:w="993" w:type="dxa"/>
          </w:tcPr>
          <w:p w14:paraId="727D3EEE" w14:textId="77777777" w:rsidR="00F332D1" w:rsidRPr="007D3752" w:rsidRDefault="00F332D1" w:rsidP="00F332D1">
            <w:pPr>
              <w:spacing w:after="0" w:line="240" w:lineRule="auto"/>
              <w:rPr>
                <w:rFonts w:ascii="Arial" w:hAnsi="Arial"/>
                <w:bCs/>
                <w:sz w:val="18"/>
                <w:szCs w:val="18"/>
              </w:rPr>
            </w:pPr>
            <w:r w:rsidRPr="007D3752">
              <w:rPr>
                <w:rFonts w:ascii="Arial" w:hAnsi="Arial"/>
                <w:bCs/>
                <w:sz w:val="18"/>
                <w:szCs w:val="18"/>
              </w:rPr>
              <w:t>RAG</w:t>
            </w:r>
          </w:p>
          <w:p w14:paraId="49E42DF7" w14:textId="77777777" w:rsidR="00F332D1" w:rsidRPr="007D3752" w:rsidRDefault="00F332D1" w:rsidP="00F332D1">
            <w:pPr>
              <w:spacing w:after="0" w:line="240" w:lineRule="auto"/>
              <w:rPr>
                <w:rFonts w:ascii="Arial" w:hAnsi="Arial"/>
                <w:sz w:val="18"/>
                <w:szCs w:val="18"/>
              </w:rPr>
            </w:pPr>
            <w:r w:rsidRPr="007D3752">
              <w:rPr>
                <w:rFonts w:ascii="Arial" w:hAnsi="Arial"/>
                <w:bCs/>
                <w:sz w:val="18"/>
                <w:szCs w:val="18"/>
              </w:rPr>
              <w:t>Status</w:t>
            </w:r>
          </w:p>
        </w:tc>
      </w:tr>
      <w:tr w:rsidR="00F332D1" w:rsidRPr="007D3752" w14:paraId="53D9608D" w14:textId="77777777" w:rsidTr="00F332D1">
        <w:tc>
          <w:tcPr>
            <w:tcW w:w="4248" w:type="dxa"/>
          </w:tcPr>
          <w:p w14:paraId="70DE4028"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NI-11: Premature mortality rate per 100,000 persons</w:t>
            </w:r>
          </w:p>
        </w:tc>
        <w:tc>
          <w:tcPr>
            <w:tcW w:w="1134" w:type="dxa"/>
          </w:tcPr>
          <w:p w14:paraId="19502184" w14:textId="77777777" w:rsidR="00F332D1" w:rsidRPr="007D3752" w:rsidRDefault="00F332D1" w:rsidP="007D3752">
            <w:pPr>
              <w:spacing w:after="0" w:line="240" w:lineRule="auto"/>
              <w:jc w:val="center"/>
              <w:rPr>
                <w:rFonts w:ascii="Arial" w:hAnsi="Arial"/>
                <w:sz w:val="18"/>
                <w:szCs w:val="18"/>
              </w:rPr>
            </w:pPr>
            <w:r w:rsidRPr="007D3752">
              <w:rPr>
                <w:rFonts w:ascii="Arial" w:hAnsi="Arial"/>
                <w:sz w:val="18"/>
                <w:szCs w:val="18"/>
              </w:rPr>
              <w:t>442</w:t>
            </w:r>
          </w:p>
        </w:tc>
        <w:tc>
          <w:tcPr>
            <w:tcW w:w="1276" w:type="dxa"/>
          </w:tcPr>
          <w:p w14:paraId="3222767B" w14:textId="77777777" w:rsidR="00F332D1" w:rsidRPr="007D3752" w:rsidRDefault="00F332D1" w:rsidP="007D3752">
            <w:pPr>
              <w:spacing w:after="0" w:line="240" w:lineRule="auto"/>
              <w:jc w:val="center"/>
              <w:rPr>
                <w:rFonts w:ascii="Arial" w:hAnsi="Arial"/>
                <w:sz w:val="18"/>
                <w:szCs w:val="18"/>
              </w:rPr>
            </w:pPr>
            <w:r w:rsidRPr="007D3752">
              <w:rPr>
                <w:rFonts w:ascii="Arial" w:hAnsi="Arial"/>
                <w:sz w:val="18"/>
                <w:szCs w:val="18"/>
              </w:rPr>
              <w:t>448</w:t>
            </w:r>
          </w:p>
        </w:tc>
        <w:tc>
          <w:tcPr>
            <w:tcW w:w="1275" w:type="dxa"/>
          </w:tcPr>
          <w:p w14:paraId="6F2828FE" w14:textId="77777777" w:rsidR="00F332D1" w:rsidRPr="007D3752" w:rsidRDefault="00F332D1" w:rsidP="007D3752">
            <w:pPr>
              <w:spacing w:after="0" w:line="240" w:lineRule="auto"/>
              <w:jc w:val="center"/>
              <w:rPr>
                <w:rFonts w:ascii="Arial" w:hAnsi="Arial"/>
                <w:sz w:val="18"/>
                <w:szCs w:val="18"/>
              </w:rPr>
            </w:pPr>
            <w:r w:rsidRPr="007D3752">
              <w:rPr>
                <w:rFonts w:ascii="Arial" w:hAnsi="Arial"/>
                <w:sz w:val="18"/>
                <w:szCs w:val="18"/>
              </w:rPr>
              <w:t>Not collected</w:t>
            </w:r>
          </w:p>
        </w:tc>
        <w:tc>
          <w:tcPr>
            <w:tcW w:w="993" w:type="dxa"/>
            <w:shd w:val="clear" w:color="auto" w:fill="FFC000"/>
          </w:tcPr>
          <w:p w14:paraId="72B99015" w14:textId="77777777" w:rsidR="00F332D1" w:rsidRPr="007D3752" w:rsidRDefault="00F332D1" w:rsidP="00F332D1">
            <w:pPr>
              <w:spacing w:after="0" w:line="240" w:lineRule="auto"/>
              <w:rPr>
                <w:rFonts w:ascii="Arial" w:hAnsi="Arial"/>
                <w:sz w:val="18"/>
                <w:szCs w:val="18"/>
              </w:rPr>
            </w:pPr>
          </w:p>
        </w:tc>
      </w:tr>
      <w:tr w:rsidR="00F332D1" w:rsidRPr="007D3752" w14:paraId="2B1D1AFB" w14:textId="77777777" w:rsidTr="00D40F35">
        <w:tc>
          <w:tcPr>
            <w:tcW w:w="4248" w:type="dxa"/>
          </w:tcPr>
          <w:p w14:paraId="5559E2DA"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Suicide Rates per 1,000 population</w:t>
            </w:r>
          </w:p>
        </w:tc>
        <w:tc>
          <w:tcPr>
            <w:tcW w:w="1134" w:type="dxa"/>
          </w:tcPr>
          <w:p w14:paraId="7460B908" w14:textId="115B6C50" w:rsidR="00F332D1" w:rsidRPr="007D3752" w:rsidRDefault="006F0D32" w:rsidP="00F332D1">
            <w:pPr>
              <w:spacing w:after="0" w:line="240" w:lineRule="auto"/>
              <w:jc w:val="center"/>
              <w:rPr>
                <w:rFonts w:ascii="Arial" w:hAnsi="Arial"/>
                <w:sz w:val="18"/>
                <w:szCs w:val="18"/>
              </w:rPr>
            </w:pPr>
            <w:r>
              <w:rPr>
                <w:rFonts w:ascii="Arial" w:hAnsi="Arial"/>
                <w:sz w:val="18"/>
                <w:szCs w:val="18"/>
              </w:rPr>
              <w:t>14.0</w:t>
            </w:r>
          </w:p>
        </w:tc>
        <w:tc>
          <w:tcPr>
            <w:tcW w:w="1276" w:type="dxa"/>
          </w:tcPr>
          <w:p w14:paraId="3DA76111" w14:textId="7B56E711" w:rsidR="00F332D1" w:rsidRPr="007D3752" w:rsidRDefault="006F0D32" w:rsidP="00F332D1">
            <w:pPr>
              <w:spacing w:after="0" w:line="240" w:lineRule="auto"/>
              <w:jc w:val="center"/>
              <w:rPr>
                <w:rFonts w:ascii="Arial" w:hAnsi="Arial"/>
                <w:sz w:val="18"/>
                <w:szCs w:val="18"/>
              </w:rPr>
            </w:pPr>
            <w:r>
              <w:rPr>
                <w:rFonts w:ascii="Arial" w:hAnsi="Arial"/>
                <w:sz w:val="18"/>
                <w:szCs w:val="18"/>
              </w:rPr>
              <w:t>12.1</w:t>
            </w:r>
          </w:p>
        </w:tc>
        <w:tc>
          <w:tcPr>
            <w:tcW w:w="1275" w:type="dxa"/>
          </w:tcPr>
          <w:p w14:paraId="59439813" w14:textId="4FEB653F" w:rsidR="00F332D1" w:rsidRPr="007D3752" w:rsidRDefault="006F0D32" w:rsidP="00F332D1">
            <w:pPr>
              <w:spacing w:after="0" w:line="240" w:lineRule="auto"/>
              <w:jc w:val="center"/>
              <w:rPr>
                <w:rFonts w:ascii="Arial" w:hAnsi="Arial"/>
                <w:sz w:val="18"/>
                <w:szCs w:val="18"/>
              </w:rPr>
            </w:pPr>
            <w:r>
              <w:rPr>
                <w:rFonts w:ascii="Arial" w:hAnsi="Arial"/>
                <w:sz w:val="18"/>
                <w:szCs w:val="18"/>
              </w:rPr>
              <w:t>12.2</w:t>
            </w:r>
          </w:p>
        </w:tc>
        <w:tc>
          <w:tcPr>
            <w:tcW w:w="993" w:type="dxa"/>
            <w:shd w:val="clear" w:color="auto" w:fill="92D050"/>
          </w:tcPr>
          <w:p w14:paraId="112DF502" w14:textId="77777777" w:rsidR="00F332D1" w:rsidRPr="007D3752" w:rsidRDefault="00F332D1" w:rsidP="00F332D1">
            <w:pPr>
              <w:spacing w:after="0" w:line="240" w:lineRule="auto"/>
              <w:rPr>
                <w:rFonts w:ascii="Arial" w:hAnsi="Arial"/>
                <w:sz w:val="18"/>
                <w:szCs w:val="18"/>
              </w:rPr>
            </w:pPr>
          </w:p>
        </w:tc>
      </w:tr>
      <w:tr w:rsidR="00F332D1" w:rsidRPr="007D3752" w14:paraId="66889B74" w14:textId="77777777" w:rsidTr="00886298">
        <w:tc>
          <w:tcPr>
            <w:tcW w:w="4248" w:type="dxa"/>
          </w:tcPr>
          <w:p w14:paraId="16A0CD14"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Suspected Drugs Deaths</w:t>
            </w:r>
          </w:p>
        </w:tc>
        <w:tc>
          <w:tcPr>
            <w:tcW w:w="1134" w:type="dxa"/>
          </w:tcPr>
          <w:p w14:paraId="31E82D17" w14:textId="1497F549" w:rsidR="00F332D1" w:rsidRPr="007D3752" w:rsidRDefault="006F0D32" w:rsidP="00F332D1">
            <w:pPr>
              <w:spacing w:after="0" w:line="240" w:lineRule="auto"/>
              <w:jc w:val="center"/>
              <w:rPr>
                <w:rFonts w:ascii="Arial" w:hAnsi="Arial"/>
                <w:sz w:val="18"/>
                <w:szCs w:val="18"/>
              </w:rPr>
            </w:pPr>
            <w:r>
              <w:rPr>
                <w:rFonts w:ascii="Arial" w:hAnsi="Arial"/>
                <w:sz w:val="18"/>
                <w:szCs w:val="18"/>
              </w:rPr>
              <w:t>22.5</w:t>
            </w:r>
          </w:p>
        </w:tc>
        <w:tc>
          <w:tcPr>
            <w:tcW w:w="1276" w:type="dxa"/>
          </w:tcPr>
          <w:p w14:paraId="3316A75E" w14:textId="24A9AB5E" w:rsidR="00F332D1" w:rsidRPr="007D3752" w:rsidRDefault="006F0D32" w:rsidP="00F332D1">
            <w:pPr>
              <w:spacing w:after="0" w:line="240" w:lineRule="auto"/>
              <w:jc w:val="center"/>
              <w:rPr>
                <w:rFonts w:ascii="Arial" w:hAnsi="Arial"/>
                <w:sz w:val="18"/>
                <w:szCs w:val="18"/>
              </w:rPr>
            </w:pPr>
            <w:r>
              <w:rPr>
                <w:rFonts w:ascii="Arial" w:hAnsi="Arial"/>
                <w:sz w:val="18"/>
                <w:szCs w:val="18"/>
              </w:rPr>
              <w:t>23.3</w:t>
            </w:r>
          </w:p>
        </w:tc>
        <w:tc>
          <w:tcPr>
            <w:tcW w:w="1275" w:type="dxa"/>
          </w:tcPr>
          <w:p w14:paraId="071F9D17" w14:textId="1C1FF152" w:rsidR="00F332D1" w:rsidRPr="007D3752" w:rsidRDefault="006F0D32" w:rsidP="00F332D1">
            <w:pPr>
              <w:spacing w:after="0" w:line="240" w:lineRule="auto"/>
              <w:jc w:val="center"/>
              <w:rPr>
                <w:rFonts w:ascii="Arial" w:hAnsi="Arial"/>
                <w:sz w:val="18"/>
                <w:szCs w:val="18"/>
              </w:rPr>
            </w:pPr>
            <w:r>
              <w:rPr>
                <w:rFonts w:ascii="Arial" w:hAnsi="Arial"/>
                <w:sz w:val="18"/>
                <w:szCs w:val="18"/>
              </w:rPr>
              <w:t>23.7</w:t>
            </w:r>
          </w:p>
        </w:tc>
        <w:tc>
          <w:tcPr>
            <w:tcW w:w="993" w:type="dxa"/>
            <w:shd w:val="clear" w:color="auto" w:fill="FFC000"/>
          </w:tcPr>
          <w:p w14:paraId="62DA29F6" w14:textId="77777777" w:rsidR="00F332D1" w:rsidRPr="007D3752" w:rsidRDefault="00F332D1" w:rsidP="00F332D1">
            <w:pPr>
              <w:spacing w:after="0" w:line="240" w:lineRule="auto"/>
              <w:rPr>
                <w:rFonts w:ascii="Arial" w:hAnsi="Arial"/>
                <w:sz w:val="18"/>
                <w:szCs w:val="18"/>
              </w:rPr>
            </w:pPr>
          </w:p>
        </w:tc>
      </w:tr>
      <w:tr w:rsidR="00F332D1" w:rsidRPr="007D3752" w14:paraId="1F5BABA9" w14:textId="77777777" w:rsidTr="00203543">
        <w:tc>
          <w:tcPr>
            <w:tcW w:w="4248" w:type="dxa"/>
          </w:tcPr>
          <w:p w14:paraId="21C0B039"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Childhood Immunisations</w:t>
            </w:r>
          </w:p>
        </w:tc>
        <w:tc>
          <w:tcPr>
            <w:tcW w:w="1134" w:type="dxa"/>
          </w:tcPr>
          <w:p w14:paraId="78353094" w14:textId="107984CC" w:rsidR="00F332D1" w:rsidRPr="007D3752" w:rsidRDefault="006F0D32" w:rsidP="00F332D1">
            <w:pPr>
              <w:spacing w:after="0" w:line="240" w:lineRule="auto"/>
              <w:jc w:val="center"/>
              <w:rPr>
                <w:rFonts w:ascii="Arial" w:hAnsi="Arial"/>
                <w:sz w:val="18"/>
                <w:szCs w:val="18"/>
              </w:rPr>
            </w:pPr>
            <w:r>
              <w:rPr>
                <w:rFonts w:ascii="Arial" w:hAnsi="Arial"/>
                <w:sz w:val="18"/>
                <w:szCs w:val="18"/>
              </w:rPr>
              <w:t>90.93%</w:t>
            </w:r>
          </w:p>
        </w:tc>
        <w:tc>
          <w:tcPr>
            <w:tcW w:w="1276" w:type="dxa"/>
          </w:tcPr>
          <w:p w14:paraId="2B958E9C" w14:textId="20E84DD1" w:rsidR="00F332D1" w:rsidRPr="007D3752" w:rsidRDefault="006F0D32" w:rsidP="00F332D1">
            <w:pPr>
              <w:spacing w:after="0" w:line="240" w:lineRule="auto"/>
              <w:jc w:val="center"/>
              <w:rPr>
                <w:rFonts w:ascii="Arial" w:hAnsi="Arial"/>
                <w:sz w:val="18"/>
                <w:szCs w:val="18"/>
              </w:rPr>
            </w:pPr>
            <w:r>
              <w:rPr>
                <w:rFonts w:ascii="Arial" w:hAnsi="Arial"/>
                <w:sz w:val="18"/>
                <w:szCs w:val="18"/>
              </w:rPr>
              <w:t>92.79%</w:t>
            </w:r>
          </w:p>
        </w:tc>
        <w:tc>
          <w:tcPr>
            <w:tcW w:w="1275" w:type="dxa"/>
            <w:shd w:val="clear" w:color="auto" w:fill="FFFFFF" w:themeFill="background1"/>
          </w:tcPr>
          <w:p w14:paraId="238CBF6E" w14:textId="014557B7" w:rsidR="00F332D1" w:rsidRPr="007D3752" w:rsidRDefault="0064537E" w:rsidP="00F332D1">
            <w:pPr>
              <w:spacing w:after="0" w:line="240" w:lineRule="auto"/>
              <w:jc w:val="center"/>
              <w:rPr>
                <w:rFonts w:ascii="Arial" w:hAnsi="Arial"/>
                <w:sz w:val="18"/>
                <w:szCs w:val="18"/>
              </w:rPr>
            </w:pPr>
            <w:r>
              <w:rPr>
                <w:rFonts w:ascii="Arial" w:hAnsi="Arial"/>
                <w:sz w:val="18"/>
                <w:szCs w:val="18"/>
              </w:rPr>
              <w:t>89.18%</w:t>
            </w:r>
          </w:p>
        </w:tc>
        <w:tc>
          <w:tcPr>
            <w:tcW w:w="993" w:type="dxa"/>
            <w:shd w:val="clear" w:color="auto" w:fill="92D050"/>
          </w:tcPr>
          <w:p w14:paraId="6998A0BF" w14:textId="77777777" w:rsidR="00F332D1" w:rsidRPr="007D3752" w:rsidRDefault="00F332D1" w:rsidP="00F332D1">
            <w:pPr>
              <w:spacing w:after="0" w:line="240" w:lineRule="auto"/>
              <w:rPr>
                <w:rFonts w:ascii="Arial" w:hAnsi="Arial"/>
                <w:sz w:val="18"/>
                <w:szCs w:val="18"/>
              </w:rPr>
            </w:pPr>
          </w:p>
        </w:tc>
      </w:tr>
      <w:tr w:rsidR="00F332D1" w:rsidRPr="007D3752" w14:paraId="39F47B21" w14:textId="77777777" w:rsidTr="0064537E">
        <w:tc>
          <w:tcPr>
            <w:tcW w:w="4248" w:type="dxa"/>
          </w:tcPr>
          <w:p w14:paraId="58054E76"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School Immunisations</w:t>
            </w:r>
          </w:p>
        </w:tc>
        <w:tc>
          <w:tcPr>
            <w:tcW w:w="1134" w:type="dxa"/>
          </w:tcPr>
          <w:p w14:paraId="5E9FFB41" w14:textId="0AFE1E40" w:rsidR="00F332D1" w:rsidRPr="007D3752" w:rsidRDefault="006F0D32" w:rsidP="00F332D1">
            <w:pPr>
              <w:spacing w:after="0" w:line="240" w:lineRule="auto"/>
              <w:jc w:val="center"/>
              <w:rPr>
                <w:rFonts w:ascii="Arial" w:hAnsi="Arial"/>
                <w:sz w:val="18"/>
                <w:szCs w:val="18"/>
              </w:rPr>
            </w:pPr>
            <w:r>
              <w:rPr>
                <w:rFonts w:ascii="Arial" w:hAnsi="Arial"/>
                <w:sz w:val="18"/>
                <w:szCs w:val="18"/>
              </w:rPr>
              <w:t>74.27%</w:t>
            </w:r>
          </w:p>
        </w:tc>
        <w:tc>
          <w:tcPr>
            <w:tcW w:w="1276" w:type="dxa"/>
          </w:tcPr>
          <w:p w14:paraId="3A76C627" w14:textId="51DB3020" w:rsidR="00F332D1" w:rsidRPr="007D3752" w:rsidRDefault="006F0D32" w:rsidP="00F332D1">
            <w:pPr>
              <w:spacing w:after="0" w:line="240" w:lineRule="auto"/>
              <w:jc w:val="center"/>
              <w:rPr>
                <w:rFonts w:ascii="Arial" w:hAnsi="Arial"/>
                <w:sz w:val="18"/>
                <w:szCs w:val="18"/>
              </w:rPr>
            </w:pPr>
            <w:r>
              <w:rPr>
                <w:rFonts w:ascii="Arial" w:hAnsi="Arial"/>
                <w:sz w:val="18"/>
                <w:szCs w:val="18"/>
              </w:rPr>
              <w:t>72.60%</w:t>
            </w:r>
          </w:p>
        </w:tc>
        <w:tc>
          <w:tcPr>
            <w:tcW w:w="1275" w:type="dxa"/>
            <w:shd w:val="clear" w:color="auto" w:fill="FFFFFF" w:themeFill="background1"/>
          </w:tcPr>
          <w:p w14:paraId="799CA254" w14:textId="3FEA1E8A" w:rsidR="00F332D1" w:rsidRPr="007D3752" w:rsidRDefault="0064537E" w:rsidP="00F332D1">
            <w:pPr>
              <w:spacing w:after="0" w:line="240" w:lineRule="auto"/>
              <w:jc w:val="center"/>
              <w:rPr>
                <w:rFonts w:ascii="Arial" w:hAnsi="Arial"/>
                <w:sz w:val="18"/>
                <w:szCs w:val="18"/>
              </w:rPr>
            </w:pPr>
            <w:r>
              <w:rPr>
                <w:rFonts w:ascii="Arial" w:hAnsi="Arial"/>
                <w:sz w:val="18"/>
                <w:szCs w:val="18"/>
              </w:rPr>
              <w:t>73.2%</w:t>
            </w:r>
          </w:p>
        </w:tc>
        <w:tc>
          <w:tcPr>
            <w:tcW w:w="993" w:type="dxa"/>
            <w:shd w:val="clear" w:color="auto" w:fill="EE0000"/>
          </w:tcPr>
          <w:p w14:paraId="090C5A65" w14:textId="77777777" w:rsidR="00F332D1" w:rsidRPr="007D3752" w:rsidRDefault="00F332D1" w:rsidP="00F332D1">
            <w:pPr>
              <w:spacing w:after="0" w:line="240" w:lineRule="auto"/>
              <w:rPr>
                <w:rFonts w:ascii="Arial" w:hAnsi="Arial"/>
                <w:sz w:val="18"/>
                <w:szCs w:val="18"/>
              </w:rPr>
            </w:pPr>
          </w:p>
        </w:tc>
      </w:tr>
      <w:tr w:rsidR="00F332D1" w:rsidRPr="007D3752" w14:paraId="60DFF9D8" w14:textId="77777777" w:rsidTr="0090373E">
        <w:tc>
          <w:tcPr>
            <w:tcW w:w="4248" w:type="dxa"/>
          </w:tcPr>
          <w:p w14:paraId="732481CB"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COVID Vaccinations</w:t>
            </w:r>
          </w:p>
        </w:tc>
        <w:tc>
          <w:tcPr>
            <w:tcW w:w="1134" w:type="dxa"/>
          </w:tcPr>
          <w:p w14:paraId="5A943CA9" w14:textId="60D22246" w:rsidR="00F332D1" w:rsidRPr="007D3752" w:rsidRDefault="006F0D32" w:rsidP="00F332D1">
            <w:pPr>
              <w:spacing w:after="0" w:line="240" w:lineRule="auto"/>
              <w:jc w:val="center"/>
              <w:rPr>
                <w:rFonts w:ascii="Arial" w:hAnsi="Arial"/>
                <w:sz w:val="18"/>
                <w:szCs w:val="18"/>
              </w:rPr>
            </w:pPr>
            <w:r>
              <w:rPr>
                <w:rFonts w:ascii="Arial" w:hAnsi="Arial"/>
                <w:sz w:val="18"/>
                <w:szCs w:val="18"/>
              </w:rPr>
              <w:t>78.10%</w:t>
            </w:r>
          </w:p>
        </w:tc>
        <w:tc>
          <w:tcPr>
            <w:tcW w:w="1276" w:type="dxa"/>
          </w:tcPr>
          <w:p w14:paraId="03E7F93D" w14:textId="7879D1C9" w:rsidR="00F332D1" w:rsidRPr="007D3752" w:rsidRDefault="006F0D32" w:rsidP="00F332D1">
            <w:pPr>
              <w:spacing w:after="0" w:line="240" w:lineRule="auto"/>
              <w:jc w:val="center"/>
              <w:rPr>
                <w:rFonts w:ascii="Arial" w:hAnsi="Arial"/>
                <w:sz w:val="18"/>
                <w:szCs w:val="18"/>
              </w:rPr>
            </w:pPr>
            <w:r>
              <w:rPr>
                <w:rFonts w:ascii="Arial" w:hAnsi="Arial"/>
                <w:sz w:val="18"/>
                <w:szCs w:val="18"/>
              </w:rPr>
              <w:t>68.2%</w:t>
            </w:r>
          </w:p>
        </w:tc>
        <w:tc>
          <w:tcPr>
            <w:tcW w:w="1275" w:type="dxa"/>
            <w:shd w:val="clear" w:color="auto" w:fill="BFBFBF" w:themeFill="background1" w:themeFillShade="BF"/>
          </w:tcPr>
          <w:p w14:paraId="75514477" w14:textId="77777777" w:rsidR="00F332D1" w:rsidRPr="007D3752" w:rsidRDefault="00F332D1" w:rsidP="00F332D1">
            <w:pPr>
              <w:spacing w:after="0" w:line="240" w:lineRule="auto"/>
              <w:jc w:val="center"/>
              <w:rPr>
                <w:rFonts w:ascii="Arial" w:hAnsi="Arial"/>
                <w:sz w:val="18"/>
                <w:szCs w:val="18"/>
              </w:rPr>
            </w:pPr>
          </w:p>
        </w:tc>
        <w:tc>
          <w:tcPr>
            <w:tcW w:w="993" w:type="dxa"/>
            <w:shd w:val="clear" w:color="auto" w:fill="EE0000"/>
          </w:tcPr>
          <w:p w14:paraId="49BC88FC" w14:textId="77777777" w:rsidR="00F332D1" w:rsidRPr="007D3752" w:rsidRDefault="00F332D1" w:rsidP="00F332D1">
            <w:pPr>
              <w:spacing w:after="0" w:line="240" w:lineRule="auto"/>
              <w:rPr>
                <w:rFonts w:ascii="Arial" w:hAnsi="Arial"/>
                <w:sz w:val="18"/>
                <w:szCs w:val="18"/>
              </w:rPr>
            </w:pPr>
          </w:p>
        </w:tc>
      </w:tr>
      <w:tr w:rsidR="00F332D1" w:rsidRPr="007D3752" w14:paraId="4C076721" w14:textId="77777777" w:rsidTr="0090373E">
        <w:tc>
          <w:tcPr>
            <w:tcW w:w="4248" w:type="dxa"/>
          </w:tcPr>
          <w:p w14:paraId="0B80CC8E"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Flu Vaccinations</w:t>
            </w:r>
          </w:p>
        </w:tc>
        <w:tc>
          <w:tcPr>
            <w:tcW w:w="1134" w:type="dxa"/>
          </w:tcPr>
          <w:p w14:paraId="67342B71" w14:textId="06210A25" w:rsidR="00F332D1" w:rsidRPr="007D3752" w:rsidRDefault="00CF6CA0" w:rsidP="00F332D1">
            <w:pPr>
              <w:spacing w:after="0" w:line="240" w:lineRule="auto"/>
              <w:jc w:val="center"/>
              <w:rPr>
                <w:rFonts w:ascii="Arial" w:hAnsi="Arial"/>
                <w:sz w:val="18"/>
                <w:szCs w:val="18"/>
              </w:rPr>
            </w:pPr>
            <w:r>
              <w:rPr>
                <w:rFonts w:ascii="Arial" w:hAnsi="Arial"/>
                <w:sz w:val="18"/>
                <w:szCs w:val="18"/>
              </w:rPr>
              <w:t>80%</w:t>
            </w:r>
          </w:p>
        </w:tc>
        <w:tc>
          <w:tcPr>
            <w:tcW w:w="1276" w:type="dxa"/>
          </w:tcPr>
          <w:p w14:paraId="57736F4E" w14:textId="3C8EE843" w:rsidR="00F332D1" w:rsidRPr="007D3752" w:rsidRDefault="00CF6CA0" w:rsidP="00F332D1">
            <w:pPr>
              <w:spacing w:after="0" w:line="240" w:lineRule="auto"/>
              <w:jc w:val="center"/>
              <w:rPr>
                <w:rFonts w:ascii="Arial" w:hAnsi="Arial"/>
                <w:sz w:val="18"/>
                <w:szCs w:val="18"/>
              </w:rPr>
            </w:pPr>
            <w:r>
              <w:rPr>
                <w:rFonts w:ascii="Arial" w:hAnsi="Arial"/>
                <w:sz w:val="18"/>
                <w:szCs w:val="18"/>
              </w:rPr>
              <w:t>80%</w:t>
            </w:r>
          </w:p>
        </w:tc>
        <w:tc>
          <w:tcPr>
            <w:tcW w:w="1275" w:type="dxa"/>
            <w:shd w:val="clear" w:color="auto" w:fill="BFBFBF" w:themeFill="background1" w:themeFillShade="BF"/>
          </w:tcPr>
          <w:p w14:paraId="0281FAB3" w14:textId="77777777" w:rsidR="00F332D1" w:rsidRPr="007D3752" w:rsidRDefault="00F332D1" w:rsidP="00F332D1">
            <w:pPr>
              <w:spacing w:after="0" w:line="240" w:lineRule="auto"/>
              <w:jc w:val="center"/>
              <w:rPr>
                <w:rFonts w:ascii="Arial" w:hAnsi="Arial"/>
                <w:sz w:val="18"/>
                <w:szCs w:val="18"/>
              </w:rPr>
            </w:pPr>
          </w:p>
        </w:tc>
        <w:tc>
          <w:tcPr>
            <w:tcW w:w="993" w:type="dxa"/>
            <w:shd w:val="clear" w:color="auto" w:fill="FFC000"/>
          </w:tcPr>
          <w:p w14:paraId="4F7B6611" w14:textId="77777777" w:rsidR="00F332D1" w:rsidRPr="007D3752" w:rsidRDefault="00F332D1" w:rsidP="00F332D1">
            <w:pPr>
              <w:spacing w:after="0" w:line="240" w:lineRule="auto"/>
              <w:rPr>
                <w:rFonts w:ascii="Arial" w:hAnsi="Arial"/>
                <w:sz w:val="18"/>
                <w:szCs w:val="18"/>
              </w:rPr>
            </w:pPr>
          </w:p>
        </w:tc>
      </w:tr>
      <w:tr w:rsidR="00F332D1" w:rsidRPr="007D3752" w14:paraId="3D9B7E17" w14:textId="77777777" w:rsidTr="0090373E">
        <w:tc>
          <w:tcPr>
            <w:tcW w:w="4248" w:type="dxa"/>
          </w:tcPr>
          <w:p w14:paraId="530C3C5F"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Pneumococcal Vaccinations</w:t>
            </w:r>
          </w:p>
        </w:tc>
        <w:tc>
          <w:tcPr>
            <w:tcW w:w="1134" w:type="dxa"/>
          </w:tcPr>
          <w:p w14:paraId="1774EB1F" w14:textId="51711C5E" w:rsidR="00F332D1" w:rsidRPr="007D3752" w:rsidRDefault="00CF6CA0" w:rsidP="00F332D1">
            <w:pPr>
              <w:spacing w:after="0" w:line="240" w:lineRule="auto"/>
              <w:jc w:val="center"/>
              <w:rPr>
                <w:rFonts w:ascii="Arial" w:hAnsi="Arial"/>
                <w:sz w:val="18"/>
                <w:szCs w:val="18"/>
              </w:rPr>
            </w:pPr>
            <w:r>
              <w:rPr>
                <w:rFonts w:ascii="Arial" w:hAnsi="Arial"/>
                <w:sz w:val="18"/>
                <w:szCs w:val="18"/>
              </w:rPr>
              <w:t>24.6%</w:t>
            </w:r>
          </w:p>
        </w:tc>
        <w:tc>
          <w:tcPr>
            <w:tcW w:w="1276" w:type="dxa"/>
          </w:tcPr>
          <w:p w14:paraId="7B6CB93C" w14:textId="7B5A2DAB" w:rsidR="00F332D1" w:rsidRPr="007D3752" w:rsidRDefault="00CF6CA0" w:rsidP="00F332D1">
            <w:pPr>
              <w:spacing w:after="0" w:line="240" w:lineRule="auto"/>
              <w:jc w:val="center"/>
              <w:rPr>
                <w:rFonts w:ascii="Arial" w:hAnsi="Arial"/>
                <w:sz w:val="18"/>
                <w:szCs w:val="18"/>
              </w:rPr>
            </w:pPr>
            <w:r>
              <w:rPr>
                <w:rFonts w:ascii="Arial" w:hAnsi="Arial"/>
                <w:sz w:val="18"/>
                <w:szCs w:val="18"/>
              </w:rPr>
              <w:t>16.1%</w:t>
            </w:r>
          </w:p>
        </w:tc>
        <w:tc>
          <w:tcPr>
            <w:tcW w:w="1275" w:type="dxa"/>
            <w:shd w:val="clear" w:color="auto" w:fill="BFBFBF" w:themeFill="background1" w:themeFillShade="BF"/>
          </w:tcPr>
          <w:p w14:paraId="150B1CC0" w14:textId="77777777" w:rsidR="00F332D1" w:rsidRPr="007D3752" w:rsidRDefault="00F332D1" w:rsidP="00F332D1">
            <w:pPr>
              <w:spacing w:after="0" w:line="240" w:lineRule="auto"/>
              <w:jc w:val="center"/>
              <w:rPr>
                <w:rFonts w:ascii="Arial" w:hAnsi="Arial"/>
                <w:sz w:val="18"/>
                <w:szCs w:val="18"/>
              </w:rPr>
            </w:pPr>
          </w:p>
        </w:tc>
        <w:tc>
          <w:tcPr>
            <w:tcW w:w="993" w:type="dxa"/>
            <w:shd w:val="clear" w:color="auto" w:fill="EE0000"/>
          </w:tcPr>
          <w:p w14:paraId="665A9F3B" w14:textId="77777777" w:rsidR="00F332D1" w:rsidRPr="007D3752" w:rsidRDefault="00F332D1" w:rsidP="00F332D1">
            <w:pPr>
              <w:spacing w:after="0" w:line="240" w:lineRule="auto"/>
              <w:rPr>
                <w:rFonts w:ascii="Arial" w:hAnsi="Arial"/>
                <w:sz w:val="18"/>
                <w:szCs w:val="18"/>
              </w:rPr>
            </w:pPr>
          </w:p>
        </w:tc>
      </w:tr>
      <w:tr w:rsidR="00F332D1" w:rsidRPr="007D3752" w14:paraId="2A769751" w14:textId="77777777" w:rsidTr="0090373E">
        <w:tc>
          <w:tcPr>
            <w:tcW w:w="4248" w:type="dxa"/>
          </w:tcPr>
          <w:p w14:paraId="1141022A"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RSV Vaccinations</w:t>
            </w:r>
          </w:p>
        </w:tc>
        <w:tc>
          <w:tcPr>
            <w:tcW w:w="1134" w:type="dxa"/>
          </w:tcPr>
          <w:p w14:paraId="05FCB584" w14:textId="4D96EC10" w:rsidR="00F332D1" w:rsidRPr="007D3752" w:rsidRDefault="00CF6CA0" w:rsidP="00F332D1">
            <w:pPr>
              <w:spacing w:after="0" w:line="240" w:lineRule="auto"/>
              <w:jc w:val="center"/>
              <w:rPr>
                <w:rFonts w:ascii="Arial" w:hAnsi="Arial"/>
                <w:sz w:val="18"/>
                <w:szCs w:val="18"/>
              </w:rPr>
            </w:pPr>
            <w:r>
              <w:rPr>
                <w:rFonts w:ascii="Arial" w:hAnsi="Arial"/>
                <w:sz w:val="18"/>
                <w:szCs w:val="18"/>
              </w:rPr>
              <w:t>68.1%</w:t>
            </w:r>
          </w:p>
        </w:tc>
        <w:tc>
          <w:tcPr>
            <w:tcW w:w="1276" w:type="dxa"/>
          </w:tcPr>
          <w:p w14:paraId="4ACC3B88" w14:textId="31EAEDDE" w:rsidR="00F332D1" w:rsidRPr="007D3752" w:rsidRDefault="00CF6CA0" w:rsidP="00F332D1">
            <w:pPr>
              <w:spacing w:after="0" w:line="240" w:lineRule="auto"/>
              <w:jc w:val="center"/>
              <w:rPr>
                <w:rFonts w:ascii="Arial" w:hAnsi="Arial"/>
                <w:sz w:val="18"/>
                <w:szCs w:val="18"/>
              </w:rPr>
            </w:pPr>
            <w:r>
              <w:rPr>
                <w:rFonts w:ascii="Arial" w:hAnsi="Arial"/>
                <w:sz w:val="18"/>
                <w:szCs w:val="18"/>
              </w:rPr>
              <w:t>70%</w:t>
            </w:r>
          </w:p>
        </w:tc>
        <w:tc>
          <w:tcPr>
            <w:tcW w:w="1275" w:type="dxa"/>
            <w:shd w:val="clear" w:color="auto" w:fill="BFBFBF" w:themeFill="background1" w:themeFillShade="BF"/>
          </w:tcPr>
          <w:p w14:paraId="18149B30" w14:textId="77777777" w:rsidR="00F332D1" w:rsidRPr="007D3752" w:rsidRDefault="00F332D1" w:rsidP="00F332D1">
            <w:pPr>
              <w:spacing w:after="0" w:line="240" w:lineRule="auto"/>
              <w:jc w:val="center"/>
              <w:rPr>
                <w:rFonts w:ascii="Arial" w:hAnsi="Arial"/>
                <w:sz w:val="18"/>
                <w:szCs w:val="18"/>
              </w:rPr>
            </w:pPr>
          </w:p>
        </w:tc>
        <w:tc>
          <w:tcPr>
            <w:tcW w:w="993" w:type="dxa"/>
            <w:shd w:val="clear" w:color="auto" w:fill="92D050"/>
          </w:tcPr>
          <w:p w14:paraId="69923E8D" w14:textId="77777777" w:rsidR="00F332D1" w:rsidRPr="007D3752" w:rsidRDefault="00F332D1" w:rsidP="00F332D1">
            <w:pPr>
              <w:spacing w:after="0" w:line="240" w:lineRule="auto"/>
              <w:rPr>
                <w:rFonts w:ascii="Arial" w:hAnsi="Arial"/>
                <w:sz w:val="18"/>
                <w:szCs w:val="18"/>
              </w:rPr>
            </w:pPr>
          </w:p>
        </w:tc>
      </w:tr>
      <w:tr w:rsidR="00F332D1" w:rsidRPr="007D3752" w14:paraId="32A590AF" w14:textId="77777777" w:rsidTr="00A0408F">
        <w:tc>
          <w:tcPr>
            <w:tcW w:w="4248" w:type="dxa"/>
          </w:tcPr>
          <w:p w14:paraId="2297CE14"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Shingles Vaccinations</w:t>
            </w:r>
          </w:p>
        </w:tc>
        <w:tc>
          <w:tcPr>
            <w:tcW w:w="1134" w:type="dxa"/>
          </w:tcPr>
          <w:p w14:paraId="34C98BF7" w14:textId="1CB41F23" w:rsidR="00F332D1" w:rsidRPr="007D3752" w:rsidRDefault="00CF6CA0" w:rsidP="00F332D1">
            <w:pPr>
              <w:spacing w:after="0" w:line="240" w:lineRule="auto"/>
              <w:jc w:val="center"/>
              <w:rPr>
                <w:rFonts w:ascii="Arial" w:hAnsi="Arial"/>
                <w:sz w:val="18"/>
                <w:szCs w:val="18"/>
              </w:rPr>
            </w:pPr>
            <w:r>
              <w:rPr>
                <w:rFonts w:ascii="Arial" w:hAnsi="Arial"/>
                <w:sz w:val="18"/>
                <w:szCs w:val="18"/>
              </w:rPr>
              <w:t>76%</w:t>
            </w:r>
          </w:p>
        </w:tc>
        <w:tc>
          <w:tcPr>
            <w:tcW w:w="1276" w:type="dxa"/>
          </w:tcPr>
          <w:p w14:paraId="330B4D23" w14:textId="451B521D" w:rsidR="00F332D1" w:rsidRPr="007D3752" w:rsidRDefault="00CF6CA0" w:rsidP="00F332D1">
            <w:pPr>
              <w:spacing w:after="0" w:line="240" w:lineRule="auto"/>
              <w:jc w:val="center"/>
              <w:rPr>
                <w:rFonts w:ascii="Arial" w:hAnsi="Arial"/>
                <w:sz w:val="18"/>
                <w:szCs w:val="18"/>
              </w:rPr>
            </w:pPr>
            <w:r>
              <w:rPr>
                <w:rFonts w:ascii="Arial" w:hAnsi="Arial"/>
                <w:sz w:val="18"/>
                <w:szCs w:val="18"/>
              </w:rPr>
              <w:t>76.97%</w:t>
            </w:r>
          </w:p>
        </w:tc>
        <w:tc>
          <w:tcPr>
            <w:tcW w:w="1275" w:type="dxa"/>
            <w:shd w:val="clear" w:color="auto" w:fill="BFBFBF" w:themeFill="background1" w:themeFillShade="BF"/>
          </w:tcPr>
          <w:p w14:paraId="539AF95A" w14:textId="77777777" w:rsidR="00F332D1" w:rsidRPr="007D3752" w:rsidRDefault="00F332D1" w:rsidP="00F332D1">
            <w:pPr>
              <w:spacing w:after="0" w:line="240" w:lineRule="auto"/>
              <w:jc w:val="center"/>
              <w:rPr>
                <w:rFonts w:ascii="Arial" w:hAnsi="Arial"/>
                <w:sz w:val="18"/>
                <w:szCs w:val="18"/>
              </w:rPr>
            </w:pPr>
          </w:p>
        </w:tc>
        <w:tc>
          <w:tcPr>
            <w:tcW w:w="993" w:type="dxa"/>
            <w:shd w:val="clear" w:color="auto" w:fill="92D050"/>
          </w:tcPr>
          <w:p w14:paraId="7B5CD007" w14:textId="77777777" w:rsidR="00F332D1" w:rsidRPr="007D3752" w:rsidRDefault="00F332D1" w:rsidP="00F332D1">
            <w:pPr>
              <w:spacing w:after="0" w:line="240" w:lineRule="auto"/>
              <w:rPr>
                <w:rFonts w:ascii="Arial" w:hAnsi="Arial"/>
                <w:sz w:val="18"/>
                <w:szCs w:val="18"/>
              </w:rPr>
            </w:pPr>
          </w:p>
        </w:tc>
      </w:tr>
      <w:tr w:rsidR="00F332D1" w:rsidRPr="007D3752" w14:paraId="795533D7" w14:textId="77777777" w:rsidTr="00A0408F">
        <w:tc>
          <w:tcPr>
            <w:tcW w:w="4248" w:type="dxa"/>
          </w:tcPr>
          <w:p w14:paraId="14AC5208" w14:textId="77777777" w:rsidR="00F332D1" w:rsidRPr="007D3752" w:rsidRDefault="00F332D1" w:rsidP="00F332D1">
            <w:pPr>
              <w:spacing w:after="0" w:line="240" w:lineRule="auto"/>
              <w:rPr>
                <w:rFonts w:ascii="Arial" w:hAnsi="Arial"/>
                <w:sz w:val="18"/>
                <w:szCs w:val="18"/>
              </w:rPr>
            </w:pPr>
            <w:r w:rsidRPr="007D3752">
              <w:rPr>
                <w:rFonts w:ascii="Arial" w:hAnsi="Arial"/>
                <w:sz w:val="18"/>
                <w:szCs w:val="18"/>
              </w:rPr>
              <w:t>Health Visitor Contacts  per age range (eligible children)</w:t>
            </w:r>
          </w:p>
        </w:tc>
        <w:tc>
          <w:tcPr>
            <w:tcW w:w="1134" w:type="dxa"/>
          </w:tcPr>
          <w:p w14:paraId="31D3C92F" w14:textId="4429F88E" w:rsidR="00F332D1" w:rsidRPr="007D3752" w:rsidRDefault="00CF6CA0" w:rsidP="00F332D1">
            <w:pPr>
              <w:spacing w:after="0" w:line="240" w:lineRule="auto"/>
              <w:jc w:val="center"/>
              <w:rPr>
                <w:rFonts w:ascii="Arial" w:hAnsi="Arial"/>
                <w:sz w:val="18"/>
                <w:szCs w:val="18"/>
              </w:rPr>
            </w:pPr>
            <w:r>
              <w:rPr>
                <w:rFonts w:ascii="Arial" w:hAnsi="Arial"/>
                <w:sz w:val="18"/>
                <w:szCs w:val="18"/>
              </w:rPr>
              <w:t>89%</w:t>
            </w:r>
          </w:p>
        </w:tc>
        <w:tc>
          <w:tcPr>
            <w:tcW w:w="1276" w:type="dxa"/>
          </w:tcPr>
          <w:p w14:paraId="24D9E678" w14:textId="19312725" w:rsidR="00F332D1" w:rsidRPr="007D3752" w:rsidRDefault="00CF6CA0" w:rsidP="00F332D1">
            <w:pPr>
              <w:spacing w:after="0" w:line="240" w:lineRule="auto"/>
              <w:jc w:val="center"/>
              <w:rPr>
                <w:rFonts w:ascii="Arial" w:hAnsi="Arial"/>
                <w:sz w:val="18"/>
                <w:szCs w:val="18"/>
              </w:rPr>
            </w:pPr>
            <w:r>
              <w:rPr>
                <w:rFonts w:ascii="Arial" w:hAnsi="Arial"/>
                <w:sz w:val="18"/>
                <w:szCs w:val="18"/>
              </w:rPr>
              <w:t>70%</w:t>
            </w:r>
          </w:p>
        </w:tc>
        <w:tc>
          <w:tcPr>
            <w:tcW w:w="1275" w:type="dxa"/>
          </w:tcPr>
          <w:p w14:paraId="566B4DA1" w14:textId="0DB77BD4" w:rsidR="00F332D1" w:rsidRPr="007D3752" w:rsidRDefault="00CF6CA0" w:rsidP="00F332D1">
            <w:pPr>
              <w:spacing w:after="0" w:line="240" w:lineRule="auto"/>
              <w:jc w:val="center"/>
              <w:rPr>
                <w:rFonts w:ascii="Arial" w:hAnsi="Arial"/>
                <w:sz w:val="18"/>
                <w:szCs w:val="18"/>
              </w:rPr>
            </w:pPr>
            <w:r>
              <w:rPr>
                <w:rFonts w:ascii="Arial" w:hAnsi="Arial"/>
                <w:sz w:val="18"/>
                <w:szCs w:val="18"/>
              </w:rPr>
              <w:t>68%</w:t>
            </w:r>
          </w:p>
        </w:tc>
        <w:tc>
          <w:tcPr>
            <w:tcW w:w="993" w:type="dxa"/>
            <w:shd w:val="clear" w:color="auto" w:fill="FFC000"/>
          </w:tcPr>
          <w:p w14:paraId="6D8DF0A1" w14:textId="77777777" w:rsidR="00F332D1" w:rsidRPr="007D3752" w:rsidRDefault="00F332D1" w:rsidP="00F332D1">
            <w:pPr>
              <w:spacing w:after="0" w:line="240" w:lineRule="auto"/>
              <w:rPr>
                <w:rFonts w:ascii="Arial" w:hAnsi="Arial"/>
                <w:sz w:val="18"/>
                <w:szCs w:val="18"/>
              </w:rPr>
            </w:pPr>
          </w:p>
        </w:tc>
      </w:tr>
      <w:tr w:rsidR="00F332D1" w:rsidRPr="007D3752" w14:paraId="4BE51B3F" w14:textId="77777777" w:rsidTr="0000546B">
        <w:tc>
          <w:tcPr>
            <w:tcW w:w="4248" w:type="dxa"/>
          </w:tcPr>
          <w:p w14:paraId="54B2B9E9" w14:textId="7B06A933" w:rsidR="00F332D1" w:rsidRPr="007D3752" w:rsidRDefault="00F332D1" w:rsidP="00F332D1">
            <w:pPr>
              <w:spacing w:after="0" w:line="240" w:lineRule="auto"/>
              <w:rPr>
                <w:rFonts w:ascii="Arial" w:hAnsi="Arial"/>
                <w:sz w:val="18"/>
                <w:szCs w:val="18"/>
              </w:rPr>
            </w:pPr>
            <w:r w:rsidRPr="007D3752">
              <w:rPr>
                <w:rFonts w:ascii="Arial" w:hAnsi="Arial"/>
                <w:sz w:val="18"/>
                <w:szCs w:val="18"/>
              </w:rPr>
              <w:t>Primary 7 Dental Health</w:t>
            </w:r>
          </w:p>
        </w:tc>
        <w:tc>
          <w:tcPr>
            <w:tcW w:w="1134" w:type="dxa"/>
          </w:tcPr>
          <w:p w14:paraId="679314C1" w14:textId="53162F22" w:rsidR="00F332D1" w:rsidRPr="007D3752" w:rsidRDefault="00CF6CA0" w:rsidP="00F332D1">
            <w:pPr>
              <w:spacing w:after="0" w:line="240" w:lineRule="auto"/>
              <w:jc w:val="center"/>
              <w:rPr>
                <w:rFonts w:ascii="Arial" w:hAnsi="Arial"/>
                <w:sz w:val="18"/>
                <w:szCs w:val="18"/>
              </w:rPr>
            </w:pPr>
            <w:r>
              <w:rPr>
                <w:rFonts w:ascii="Arial" w:hAnsi="Arial"/>
                <w:sz w:val="18"/>
                <w:szCs w:val="18"/>
              </w:rPr>
              <w:t>81.5%</w:t>
            </w:r>
          </w:p>
        </w:tc>
        <w:tc>
          <w:tcPr>
            <w:tcW w:w="1276" w:type="dxa"/>
          </w:tcPr>
          <w:p w14:paraId="10902CA6" w14:textId="151B1142" w:rsidR="00F332D1" w:rsidRPr="007D3752" w:rsidRDefault="00CF6CA0" w:rsidP="00F332D1">
            <w:pPr>
              <w:spacing w:after="0" w:line="240" w:lineRule="auto"/>
              <w:jc w:val="center"/>
              <w:rPr>
                <w:rFonts w:ascii="Arial" w:hAnsi="Arial"/>
                <w:sz w:val="18"/>
                <w:szCs w:val="18"/>
              </w:rPr>
            </w:pPr>
            <w:r>
              <w:rPr>
                <w:rFonts w:ascii="Arial" w:hAnsi="Arial"/>
                <w:sz w:val="18"/>
                <w:szCs w:val="18"/>
              </w:rPr>
              <w:t>85%</w:t>
            </w:r>
          </w:p>
        </w:tc>
        <w:tc>
          <w:tcPr>
            <w:tcW w:w="1275" w:type="dxa"/>
          </w:tcPr>
          <w:p w14:paraId="060D8B70" w14:textId="4A71C5A7" w:rsidR="00F332D1" w:rsidRPr="007D3752" w:rsidRDefault="00CF6CA0" w:rsidP="00F332D1">
            <w:pPr>
              <w:spacing w:after="0" w:line="240" w:lineRule="auto"/>
              <w:jc w:val="center"/>
              <w:rPr>
                <w:rFonts w:ascii="Arial" w:hAnsi="Arial"/>
                <w:sz w:val="18"/>
                <w:szCs w:val="18"/>
              </w:rPr>
            </w:pPr>
            <w:r>
              <w:rPr>
                <w:rFonts w:ascii="Arial" w:hAnsi="Arial"/>
                <w:sz w:val="18"/>
                <w:szCs w:val="18"/>
              </w:rPr>
              <w:t>75.71</w:t>
            </w:r>
          </w:p>
        </w:tc>
        <w:tc>
          <w:tcPr>
            <w:tcW w:w="993" w:type="dxa"/>
            <w:shd w:val="clear" w:color="auto" w:fill="92D050"/>
          </w:tcPr>
          <w:p w14:paraId="50AB04D4" w14:textId="77777777" w:rsidR="00F332D1" w:rsidRPr="007D3752" w:rsidRDefault="00F332D1" w:rsidP="00F332D1">
            <w:pPr>
              <w:spacing w:after="0" w:line="240" w:lineRule="auto"/>
              <w:rPr>
                <w:rFonts w:ascii="Arial" w:hAnsi="Arial"/>
                <w:sz w:val="18"/>
                <w:szCs w:val="18"/>
              </w:rPr>
            </w:pPr>
          </w:p>
        </w:tc>
      </w:tr>
      <w:tr w:rsidR="00F332D1" w:rsidRPr="007D3752" w14:paraId="13DA635D" w14:textId="77777777" w:rsidTr="00F332D1">
        <w:tc>
          <w:tcPr>
            <w:tcW w:w="8926" w:type="dxa"/>
            <w:gridSpan w:val="5"/>
          </w:tcPr>
          <w:p w14:paraId="5E0EE1C1" w14:textId="28ADD4E7" w:rsidR="00F332D1" w:rsidRPr="00AB72B9" w:rsidRDefault="00F332D1" w:rsidP="00F332D1">
            <w:pPr>
              <w:spacing w:after="0" w:line="240" w:lineRule="auto"/>
              <w:rPr>
                <w:rFonts w:ascii="Arial" w:hAnsi="Arial"/>
                <w:b/>
                <w:sz w:val="18"/>
                <w:szCs w:val="18"/>
              </w:rPr>
            </w:pPr>
            <w:r w:rsidRPr="00AB72B9">
              <w:rPr>
                <w:rFonts w:ascii="Arial" w:hAnsi="Arial"/>
                <w:b/>
                <w:sz w:val="18"/>
                <w:szCs w:val="18"/>
              </w:rPr>
              <w:t>Overall Assessment of Performance</w:t>
            </w:r>
          </w:p>
          <w:p w14:paraId="61E8F67E" w14:textId="4996133F" w:rsidR="00F332D1" w:rsidRPr="007D3752" w:rsidRDefault="00C11D86" w:rsidP="00F332D1">
            <w:pPr>
              <w:spacing w:after="0" w:line="240" w:lineRule="auto"/>
              <w:rPr>
                <w:rFonts w:ascii="Arial" w:hAnsi="Arial"/>
                <w:sz w:val="18"/>
                <w:szCs w:val="18"/>
              </w:rPr>
            </w:pPr>
            <w:r>
              <w:rPr>
                <w:rFonts w:ascii="Arial" w:hAnsi="Arial"/>
                <w:sz w:val="18"/>
                <w:szCs w:val="18"/>
              </w:rPr>
              <w:t>Performance against the indicators i</w:t>
            </w:r>
            <w:r w:rsidR="00A13AB9">
              <w:rPr>
                <w:rFonts w:ascii="Arial" w:hAnsi="Arial"/>
                <w:sz w:val="18"/>
                <w:szCs w:val="18"/>
              </w:rPr>
              <w:t>n the Prevention principle is mainly Green and Amber</w:t>
            </w:r>
            <w:r w:rsidR="0040005C">
              <w:rPr>
                <w:rFonts w:ascii="Arial" w:hAnsi="Arial"/>
                <w:sz w:val="18"/>
                <w:szCs w:val="18"/>
              </w:rPr>
              <w:t xml:space="preserve">.   The premature mortality rate in </w:t>
            </w:r>
            <w:r w:rsidR="00C65495">
              <w:rPr>
                <w:rFonts w:ascii="Arial" w:hAnsi="Arial"/>
                <w:sz w:val="18"/>
                <w:szCs w:val="18"/>
              </w:rPr>
              <w:t>Aberdeen</w:t>
            </w:r>
            <w:r w:rsidR="0040005C">
              <w:rPr>
                <w:rFonts w:ascii="Arial" w:hAnsi="Arial"/>
                <w:sz w:val="18"/>
                <w:szCs w:val="18"/>
              </w:rPr>
              <w:t xml:space="preserve"> </w:t>
            </w:r>
            <w:r w:rsidR="00C65495">
              <w:rPr>
                <w:rFonts w:ascii="Arial" w:hAnsi="Arial"/>
                <w:sz w:val="18"/>
                <w:szCs w:val="18"/>
              </w:rPr>
              <w:t>c</w:t>
            </w:r>
            <w:r w:rsidR="0040005C">
              <w:rPr>
                <w:rFonts w:ascii="Arial" w:hAnsi="Arial"/>
                <w:sz w:val="18"/>
                <w:szCs w:val="18"/>
              </w:rPr>
              <w:t xml:space="preserve">ity is </w:t>
            </w:r>
            <w:r w:rsidR="00C65495">
              <w:rPr>
                <w:rFonts w:ascii="Arial" w:hAnsi="Arial"/>
                <w:sz w:val="18"/>
                <w:szCs w:val="18"/>
              </w:rPr>
              <w:t xml:space="preserve">slightly higher than the </w:t>
            </w:r>
            <w:r w:rsidR="00FD71EE">
              <w:rPr>
                <w:rFonts w:ascii="Arial" w:hAnsi="Arial"/>
                <w:sz w:val="18"/>
                <w:szCs w:val="18"/>
              </w:rPr>
              <w:t xml:space="preserve">Scottish average.   The suicide rate has decreased slightly and </w:t>
            </w:r>
            <w:r w:rsidR="0017460E">
              <w:rPr>
                <w:rFonts w:ascii="Arial" w:hAnsi="Arial"/>
                <w:sz w:val="18"/>
                <w:szCs w:val="18"/>
              </w:rPr>
              <w:t xml:space="preserve">is lower than the Scottish average.   Health Visitor </w:t>
            </w:r>
            <w:r w:rsidR="00D27722">
              <w:rPr>
                <w:rFonts w:ascii="Arial" w:hAnsi="Arial"/>
                <w:sz w:val="18"/>
                <w:szCs w:val="18"/>
              </w:rPr>
              <w:t>C</w:t>
            </w:r>
            <w:r w:rsidR="0017460E">
              <w:rPr>
                <w:rFonts w:ascii="Arial" w:hAnsi="Arial"/>
                <w:sz w:val="18"/>
                <w:szCs w:val="18"/>
              </w:rPr>
              <w:t>ontacts</w:t>
            </w:r>
            <w:r w:rsidR="00D27722">
              <w:rPr>
                <w:rFonts w:ascii="Arial" w:hAnsi="Arial"/>
                <w:sz w:val="18"/>
                <w:szCs w:val="18"/>
              </w:rPr>
              <w:t xml:space="preserve"> have increased but are lower than the </w:t>
            </w:r>
            <w:r w:rsidR="00B72DE6">
              <w:rPr>
                <w:rFonts w:ascii="Arial" w:hAnsi="Arial"/>
                <w:sz w:val="18"/>
                <w:szCs w:val="18"/>
              </w:rPr>
              <w:t>Scottish</w:t>
            </w:r>
            <w:r w:rsidR="00D27722">
              <w:rPr>
                <w:rFonts w:ascii="Arial" w:hAnsi="Arial"/>
                <w:sz w:val="18"/>
                <w:szCs w:val="18"/>
              </w:rPr>
              <w:t xml:space="preserve"> average.   </w:t>
            </w:r>
            <w:r w:rsidR="00B72DE6">
              <w:rPr>
                <w:rFonts w:ascii="Arial" w:hAnsi="Arial"/>
                <w:sz w:val="18"/>
                <w:szCs w:val="18"/>
              </w:rPr>
              <w:t xml:space="preserve">The rate of Primary 7 pupils </w:t>
            </w:r>
            <w:r w:rsidR="00DD5CC3">
              <w:rPr>
                <w:rFonts w:ascii="Arial" w:hAnsi="Arial"/>
                <w:sz w:val="18"/>
                <w:szCs w:val="18"/>
              </w:rPr>
              <w:t xml:space="preserve">showing no </w:t>
            </w:r>
            <w:r w:rsidR="00171FF3">
              <w:rPr>
                <w:rFonts w:ascii="Arial" w:hAnsi="Arial"/>
                <w:sz w:val="18"/>
                <w:szCs w:val="18"/>
              </w:rPr>
              <w:t>obvious dental decay</w:t>
            </w:r>
            <w:r w:rsidR="00B72DE6">
              <w:rPr>
                <w:rFonts w:ascii="Arial" w:hAnsi="Arial"/>
                <w:sz w:val="18"/>
                <w:szCs w:val="18"/>
              </w:rPr>
              <w:t xml:space="preserve"> </w:t>
            </w:r>
            <w:r w:rsidR="00F030AC">
              <w:rPr>
                <w:rFonts w:ascii="Arial" w:hAnsi="Arial"/>
                <w:sz w:val="18"/>
                <w:szCs w:val="18"/>
              </w:rPr>
              <w:t xml:space="preserve">has increased significantly and is above the Scottish average.   </w:t>
            </w:r>
            <w:r w:rsidR="00E65D71">
              <w:rPr>
                <w:rFonts w:ascii="Arial" w:hAnsi="Arial"/>
                <w:sz w:val="18"/>
                <w:szCs w:val="18"/>
              </w:rPr>
              <w:t xml:space="preserve">The uptake of </w:t>
            </w:r>
            <w:r w:rsidR="005475CC">
              <w:rPr>
                <w:rFonts w:ascii="Arial" w:hAnsi="Arial"/>
                <w:sz w:val="18"/>
                <w:szCs w:val="18"/>
              </w:rPr>
              <w:t xml:space="preserve">School Immunisations, Covid Vaccinations and </w:t>
            </w:r>
            <w:r w:rsidR="00A92761">
              <w:rPr>
                <w:rFonts w:ascii="Arial" w:hAnsi="Arial"/>
                <w:sz w:val="18"/>
                <w:szCs w:val="18"/>
              </w:rPr>
              <w:t>Pneumococcal Vaccinations are</w:t>
            </w:r>
            <w:r w:rsidR="00E65D71">
              <w:rPr>
                <w:rFonts w:ascii="Arial" w:hAnsi="Arial"/>
                <w:sz w:val="18"/>
                <w:szCs w:val="18"/>
              </w:rPr>
              <w:t xml:space="preserve"> all lower than the Scottish average although </w:t>
            </w:r>
            <w:r w:rsidR="00361EDA">
              <w:rPr>
                <w:rFonts w:ascii="Arial" w:hAnsi="Arial"/>
                <w:sz w:val="18"/>
                <w:szCs w:val="18"/>
              </w:rPr>
              <w:t xml:space="preserve">the School Immunisation rate is only slightly lower.   </w:t>
            </w:r>
            <w:r w:rsidR="00866268">
              <w:rPr>
                <w:rFonts w:ascii="Arial" w:hAnsi="Arial"/>
                <w:sz w:val="18"/>
                <w:szCs w:val="18"/>
              </w:rPr>
              <w:t>We will focus on improving u</w:t>
            </w:r>
            <w:r w:rsidR="00826697">
              <w:rPr>
                <w:rFonts w:ascii="Arial" w:hAnsi="Arial"/>
                <w:sz w:val="18"/>
                <w:szCs w:val="18"/>
              </w:rPr>
              <w:t xml:space="preserve">ptake rates in future years </w:t>
            </w:r>
            <w:r w:rsidR="00866268">
              <w:rPr>
                <w:rFonts w:ascii="Arial" w:hAnsi="Arial"/>
                <w:sz w:val="18"/>
                <w:szCs w:val="18"/>
              </w:rPr>
              <w:t xml:space="preserve">increasing </w:t>
            </w:r>
            <w:r w:rsidR="00A64038">
              <w:rPr>
                <w:rFonts w:ascii="Arial" w:hAnsi="Arial"/>
                <w:sz w:val="18"/>
                <w:szCs w:val="18"/>
              </w:rPr>
              <w:t>awareness of</w:t>
            </w:r>
            <w:r w:rsidR="00866268">
              <w:rPr>
                <w:rFonts w:ascii="Arial" w:hAnsi="Arial"/>
                <w:sz w:val="18"/>
                <w:szCs w:val="18"/>
              </w:rPr>
              <w:t xml:space="preserve"> the benefits </w:t>
            </w:r>
            <w:r w:rsidR="00A64038">
              <w:rPr>
                <w:rFonts w:ascii="Arial" w:hAnsi="Arial"/>
                <w:sz w:val="18"/>
                <w:szCs w:val="18"/>
              </w:rPr>
              <w:t xml:space="preserve">to health and improving access by introducing more </w:t>
            </w:r>
            <w:r w:rsidR="00F33C4D">
              <w:rPr>
                <w:rFonts w:ascii="Arial" w:hAnsi="Arial"/>
                <w:sz w:val="18"/>
                <w:szCs w:val="18"/>
              </w:rPr>
              <w:t>local pop up clinics.</w:t>
            </w:r>
          </w:p>
          <w:p w14:paraId="41451F9B" w14:textId="77777777" w:rsidR="00F332D1" w:rsidRPr="007D3752" w:rsidRDefault="00F332D1" w:rsidP="00F332D1">
            <w:pPr>
              <w:spacing w:after="0" w:line="240" w:lineRule="auto"/>
              <w:rPr>
                <w:rFonts w:ascii="Arial" w:hAnsi="Arial"/>
                <w:sz w:val="18"/>
                <w:szCs w:val="18"/>
              </w:rPr>
            </w:pPr>
          </w:p>
        </w:tc>
      </w:tr>
    </w:tbl>
    <w:p w14:paraId="4EF153FD" w14:textId="77777777" w:rsidR="00F332D1" w:rsidRDefault="00F332D1" w:rsidP="00C557A0">
      <w:pPr>
        <w:spacing w:after="0" w:line="259" w:lineRule="auto"/>
        <w:rPr>
          <w:rFonts w:ascii="Aptos" w:eastAsia="Aptos" w:hAnsi="Aptos" w:cs="Arial"/>
          <w:kern w:val="2"/>
          <w14:ligatures w14:val="standardContextual"/>
        </w:rPr>
      </w:pPr>
    </w:p>
    <w:p w14:paraId="30321A31" w14:textId="0D71D46A" w:rsidR="00C557A0" w:rsidRPr="00A56131" w:rsidRDefault="00C557A0" w:rsidP="00102E7C">
      <w:pPr>
        <w:spacing w:after="0" w:line="240" w:lineRule="auto"/>
        <w:rPr>
          <w:rFonts w:ascii="Arial" w:hAnsi="Arial" w:cs="Arial"/>
          <w:sz w:val="20"/>
          <w:szCs w:val="20"/>
        </w:rPr>
      </w:pPr>
      <w:r w:rsidRPr="00A56131">
        <w:rPr>
          <w:rFonts w:ascii="Arial" w:hAnsi="Arial" w:cs="Arial"/>
          <w:sz w:val="20"/>
          <w:szCs w:val="20"/>
        </w:rPr>
        <w:t xml:space="preserve">Performance against </w:t>
      </w:r>
      <w:r w:rsidR="00F1674C" w:rsidRPr="00A56131">
        <w:rPr>
          <w:rFonts w:ascii="Arial" w:hAnsi="Arial" w:cs="Arial"/>
          <w:sz w:val="20"/>
          <w:szCs w:val="20"/>
        </w:rPr>
        <w:t>six</w:t>
      </w:r>
      <w:r w:rsidRPr="00A56131">
        <w:rPr>
          <w:rFonts w:ascii="Arial" w:hAnsi="Arial" w:cs="Arial"/>
          <w:sz w:val="20"/>
          <w:szCs w:val="20"/>
        </w:rPr>
        <w:t xml:space="preserve"> of the principles is predominantly </w:t>
      </w:r>
      <w:r w:rsidR="00AA6343" w:rsidRPr="00A56131">
        <w:rPr>
          <w:rFonts w:ascii="Arial" w:hAnsi="Arial" w:cs="Arial"/>
          <w:sz w:val="20"/>
          <w:szCs w:val="20"/>
        </w:rPr>
        <w:t xml:space="preserve">Green and Amber </w:t>
      </w:r>
      <w:r w:rsidR="007B30F1" w:rsidRPr="00A56131">
        <w:rPr>
          <w:rFonts w:ascii="Arial" w:hAnsi="Arial" w:cs="Arial"/>
          <w:sz w:val="20"/>
          <w:szCs w:val="20"/>
        </w:rPr>
        <w:t xml:space="preserve">with </w:t>
      </w:r>
      <w:r w:rsidR="00541897" w:rsidRPr="00A56131">
        <w:rPr>
          <w:rFonts w:ascii="Arial" w:hAnsi="Arial" w:cs="Arial"/>
          <w:sz w:val="20"/>
          <w:szCs w:val="20"/>
        </w:rPr>
        <w:t xml:space="preserve">Access reporting </w:t>
      </w:r>
      <w:r w:rsidR="007B30F1" w:rsidRPr="00A56131">
        <w:rPr>
          <w:rFonts w:ascii="Arial" w:hAnsi="Arial" w:cs="Arial"/>
          <w:sz w:val="20"/>
          <w:szCs w:val="20"/>
        </w:rPr>
        <w:t xml:space="preserve">a Red </w:t>
      </w:r>
      <w:r w:rsidR="00BD0841" w:rsidRPr="00A56131">
        <w:rPr>
          <w:rFonts w:ascii="Arial" w:hAnsi="Arial" w:cs="Arial"/>
          <w:sz w:val="20"/>
          <w:szCs w:val="20"/>
        </w:rPr>
        <w:t>s</w:t>
      </w:r>
      <w:r w:rsidR="007B30F1" w:rsidRPr="00A56131">
        <w:rPr>
          <w:rFonts w:ascii="Arial" w:hAnsi="Arial" w:cs="Arial"/>
          <w:sz w:val="20"/>
          <w:szCs w:val="20"/>
        </w:rPr>
        <w:t>tatus.</w:t>
      </w:r>
      <w:r w:rsidR="00964F5F">
        <w:rPr>
          <w:rFonts w:ascii="Arial" w:hAnsi="Arial" w:cs="Arial"/>
          <w:sz w:val="20"/>
          <w:szCs w:val="20"/>
        </w:rPr>
        <w:t xml:space="preserve"> </w:t>
      </w:r>
      <w:r w:rsidR="00541897" w:rsidRPr="00A56131">
        <w:rPr>
          <w:rFonts w:ascii="Arial" w:hAnsi="Arial" w:cs="Arial"/>
          <w:sz w:val="20"/>
          <w:szCs w:val="20"/>
        </w:rPr>
        <w:t xml:space="preserve">This will be an area for </w:t>
      </w:r>
      <w:r w:rsidR="00927EBC" w:rsidRPr="00A56131">
        <w:rPr>
          <w:rFonts w:ascii="Arial" w:hAnsi="Arial" w:cs="Arial"/>
          <w:sz w:val="20"/>
          <w:szCs w:val="20"/>
        </w:rPr>
        <w:t xml:space="preserve">the Aberdeen City IJB to focus on in future years.   </w:t>
      </w:r>
      <w:r w:rsidR="007B30F1" w:rsidRPr="00A56131">
        <w:rPr>
          <w:rFonts w:ascii="Arial" w:hAnsi="Arial" w:cs="Arial"/>
          <w:sz w:val="20"/>
          <w:szCs w:val="20"/>
        </w:rPr>
        <w:t xml:space="preserve"> </w:t>
      </w:r>
      <w:r w:rsidR="00BD0841" w:rsidRPr="00A56131">
        <w:rPr>
          <w:rFonts w:ascii="Arial" w:hAnsi="Arial" w:cs="Arial"/>
          <w:sz w:val="20"/>
          <w:szCs w:val="20"/>
        </w:rPr>
        <w:t xml:space="preserve">There are areas requiring continued focus within some of the other principles and </w:t>
      </w:r>
      <w:r w:rsidR="002D0AE8" w:rsidRPr="00A56131">
        <w:rPr>
          <w:rFonts w:ascii="Arial" w:hAnsi="Arial" w:cs="Arial"/>
          <w:sz w:val="20"/>
          <w:szCs w:val="20"/>
        </w:rPr>
        <w:t xml:space="preserve">these </w:t>
      </w:r>
      <w:r w:rsidR="00B255F0" w:rsidRPr="00A56131">
        <w:rPr>
          <w:rFonts w:ascii="Arial" w:hAnsi="Arial" w:cs="Arial"/>
          <w:sz w:val="20"/>
          <w:szCs w:val="20"/>
        </w:rPr>
        <w:t>include improvement in Care inspectorate Grades for commissioned social care services</w:t>
      </w:r>
      <w:r w:rsidR="00B86B94" w:rsidRPr="00A56131">
        <w:rPr>
          <w:rFonts w:ascii="Arial" w:hAnsi="Arial" w:cs="Arial"/>
          <w:sz w:val="20"/>
          <w:szCs w:val="20"/>
        </w:rPr>
        <w:t xml:space="preserve"> improving quality of service provision; </w:t>
      </w:r>
      <w:r w:rsidR="00535A6F" w:rsidRPr="00A56131">
        <w:rPr>
          <w:rFonts w:ascii="Arial" w:hAnsi="Arial" w:cs="Arial"/>
          <w:sz w:val="20"/>
          <w:szCs w:val="20"/>
        </w:rPr>
        <w:t xml:space="preserve">creating capacity </w:t>
      </w:r>
      <w:r w:rsidR="00410247" w:rsidRPr="00A56131">
        <w:rPr>
          <w:rFonts w:ascii="Arial" w:hAnsi="Arial" w:cs="Arial"/>
          <w:sz w:val="20"/>
          <w:szCs w:val="20"/>
        </w:rPr>
        <w:t xml:space="preserve">within adult social work </w:t>
      </w:r>
      <w:r w:rsidR="00BF140B" w:rsidRPr="00A56131">
        <w:rPr>
          <w:rFonts w:ascii="Arial" w:hAnsi="Arial" w:cs="Arial"/>
          <w:sz w:val="20"/>
          <w:szCs w:val="20"/>
        </w:rPr>
        <w:t xml:space="preserve">through deployment of the Social Work Practitioner App </w:t>
      </w:r>
      <w:r w:rsidR="00B86B94" w:rsidRPr="00A56131">
        <w:rPr>
          <w:rFonts w:ascii="Arial" w:hAnsi="Arial" w:cs="Arial"/>
          <w:sz w:val="20"/>
          <w:szCs w:val="20"/>
        </w:rPr>
        <w:t xml:space="preserve">to </w:t>
      </w:r>
      <w:r w:rsidR="00BF140B" w:rsidRPr="00A56131">
        <w:rPr>
          <w:rFonts w:ascii="Arial" w:hAnsi="Arial" w:cs="Arial"/>
          <w:sz w:val="20"/>
          <w:szCs w:val="20"/>
        </w:rPr>
        <w:t xml:space="preserve">improve </w:t>
      </w:r>
      <w:r w:rsidR="00561765" w:rsidRPr="00A56131">
        <w:rPr>
          <w:rFonts w:ascii="Arial" w:hAnsi="Arial" w:cs="Arial"/>
          <w:sz w:val="20"/>
          <w:szCs w:val="20"/>
        </w:rPr>
        <w:t>assessment times; redesigning service delivery to make more of a shift to community based provision</w:t>
      </w:r>
      <w:r w:rsidR="008F1F82" w:rsidRPr="00A56131">
        <w:rPr>
          <w:rFonts w:ascii="Arial" w:hAnsi="Arial" w:cs="Arial"/>
          <w:sz w:val="20"/>
          <w:szCs w:val="20"/>
        </w:rPr>
        <w:t>; and continued focus on initiatives under Discharge without Delay to further improve performance in relation to Delayed Discharges.</w:t>
      </w:r>
    </w:p>
    <w:p w14:paraId="411B0221" w14:textId="77777777" w:rsidR="00F33C4D" w:rsidRDefault="00F33C4D" w:rsidP="00102E7C">
      <w:pPr>
        <w:spacing w:after="160" w:line="240" w:lineRule="auto"/>
        <w:rPr>
          <w:rFonts w:ascii="Aptos" w:eastAsia="Aptos" w:hAnsi="Aptos" w:cs="Arial"/>
          <w:kern w:val="2"/>
          <w14:ligatures w14:val="standardContextual"/>
        </w:rPr>
      </w:pPr>
    </w:p>
    <w:p w14:paraId="40578250" w14:textId="77777777" w:rsidR="004A2BF7" w:rsidRDefault="004A2BF7" w:rsidP="00102E7C">
      <w:pPr>
        <w:spacing w:after="160" w:line="240" w:lineRule="auto"/>
        <w:rPr>
          <w:rFonts w:ascii="Aptos" w:eastAsia="Aptos" w:hAnsi="Aptos" w:cs="Arial"/>
          <w:kern w:val="2"/>
          <w14:ligatures w14:val="standardContextual"/>
        </w:rPr>
      </w:pPr>
    </w:p>
    <w:p w14:paraId="787CA13A" w14:textId="77777777" w:rsidR="00271DBE" w:rsidRDefault="00271DBE" w:rsidP="00102E7C">
      <w:pPr>
        <w:spacing w:after="160" w:line="240" w:lineRule="auto"/>
        <w:rPr>
          <w:rFonts w:ascii="Aptos" w:eastAsia="Aptos" w:hAnsi="Aptos" w:cs="Arial"/>
          <w:kern w:val="2"/>
          <w14:ligatures w14:val="standardContextual"/>
        </w:rPr>
      </w:pPr>
    </w:p>
    <w:p w14:paraId="62D4092F" w14:textId="77777777" w:rsidR="00271DBE" w:rsidRDefault="00271DBE" w:rsidP="00102E7C">
      <w:pPr>
        <w:spacing w:after="160" w:line="240" w:lineRule="auto"/>
        <w:rPr>
          <w:rFonts w:ascii="Aptos" w:eastAsia="Aptos" w:hAnsi="Aptos" w:cs="Arial"/>
          <w:kern w:val="2"/>
          <w14:ligatures w14:val="standardContextual"/>
        </w:rPr>
      </w:pPr>
    </w:p>
    <w:p w14:paraId="5C71435A" w14:textId="77777777" w:rsidR="00271DBE" w:rsidRDefault="00271DBE" w:rsidP="00102E7C">
      <w:pPr>
        <w:spacing w:after="160" w:line="240" w:lineRule="auto"/>
        <w:rPr>
          <w:rFonts w:ascii="Aptos" w:eastAsia="Aptos" w:hAnsi="Aptos" w:cs="Arial"/>
          <w:kern w:val="2"/>
          <w14:ligatures w14:val="standardContextual"/>
        </w:rPr>
      </w:pPr>
    </w:p>
    <w:p w14:paraId="7AA9365D" w14:textId="77777777" w:rsidR="00271DBE" w:rsidRDefault="00271DBE" w:rsidP="00102E7C">
      <w:pPr>
        <w:spacing w:after="160" w:line="240" w:lineRule="auto"/>
        <w:rPr>
          <w:rFonts w:ascii="Aptos" w:eastAsia="Aptos" w:hAnsi="Aptos" w:cs="Arial"/>
          <w:kern w:val="2"/>
          <w14:ligatures w14:val="standardContextual"/>
        </w:rPr>
      </w:pPr>
    </w:p>
    <w:p w14:paraId="464AF756" w14:textId="77777777" w:rsidR="00271DBE" w:rsidRDefault="00271DBE" w:rsidP="00102E7C">
      <w:pPr>
        <w:spacing w:after="160" w:line="240" w:lineRule="auto"/>
        <w:rPr>
          <w:rFonts w:ascii="Aptos" w:eastAsia="Aptos" w:hAnsi="Aptos" w:cs="Arial"/>
          <w:kern w:val="2"/>
          <w14:ligatures w14:val="standardContextual"/>
        </w:rPr>
      </w:pPr>
    </w:p>
    <w:p w14:paraId="47762CD8" w14:textId="77777777" w:rsidR="00271DBE" w:rsidRDefault="00271DBE" w:rsidP="00102E7C">
      <w:pPr>
        <w:spacing w:after="160" w:line="240" w:lineRule="auto"/>
        <w:rPr>
          <w:rFonts w:ascii="Aptos" w:eastAsia="Aptos" w:hAnsi="Aptos" w:cs="Arial"/>
          <w:kern w:val="2"/>
          <w14:ligatures w14:val="standardContextual"/>
        </w:rPr>
      </w:pPr>
    </w:p>
    <w:p w14:paraId="7C129277" w14:textId="77777777" w:rsidR="00271DBE" w:rsidRDefault="00271DBE" w:rsidP="00102E7C">
      <w:pPr>
        <w:spacing w:after="160" w:line="240" w:lineRule="auto"/>
        <w:rPr>
          <w:rFonts w:ascii="Aptos" w:eastAsia="Aptos" w:hAnsi="Aptos" w:cs="Arial"/>
          <w:kern w:val="2"/>
          <w14:ligatures w14:val="standardContextual"/>
        </w:rPr>
      </w:pPr>
    </w:p>
    <w:p w14:paraId="30B87E1B" w14:textId="77777777" w:rsidR="00271DBE" w:rsidRDefault="00271DBE" w:rsidP="00102E7C">
      <w:pPr>
        <w:spacing w:after="160" w:line="240" w:lineRule="auto"/>
        <w:rPr>
          <w:rFonts w:ascii="Aptos" w:eastAsia="Aptos" w:hAnsi="Aptos" w:cs="Arial"/>
          <w:kern w:val="2"/>
          <w14:ligatures w14:val="standardContextual"/>
        </w:rPr>
      </w:pPr>
    </w:p>
    <w:p w14:paraId="51EDCD3B" w14:textId="667E76EF" w:rsidR="006769AE" w:rsidRPr="00835F1E" w:rsidRDefault="00B8715B" w:rsidP="00835F1E">
      <w:pPr>
        <w:pStyle w:val="Heading2"/>
        <w:jc w:val="left"/>
        <w:rPr>
          <w:rFonts w:ascii="Arial" w:hAnsi="Arial" w:cs="Arial"/>
        </w:rPr>
      </w:pPr>
      <w:bookmarkStart w:id="11" w:name="_Toc232169342"/>
      <w:r w:rsidRPr="00835F1E">
        <w:rPr>
          <w:rFonts w:ascii="Arial" w:hAnsi="Arial" w:cs="Arial"/>
        </w:rPr>
        <w:lastRenderedPageBreak/>
        <w:t xml:space="preserve">1.4 </w:t>
      </w:r>
      <w:r w:rsidR="006769AE" w:rsidRPr="00835F1E">
        <w:rPr>
          <w:rFonts w:ascii="Arial" w:hAnsi="Arial" w:cs="Arial"/>
        </w:rPr>
        <w:t>Financial performance</w:t>
      </w:r>
      <w:bookmarkEnd w:id="11"/>
    </w:p>
    <w:p w14:paraId="02F6FDF7" w14:textId="77777777" w:rsidR="006769AE" w:rsidRPr="00C9207C" w:rsidRDefault="006769AE" w:rsidP="00A51927">
      <w:pPr>
        <w:spacing w:after="0" w:line="240" w:lineRule="auto"/>
        <w:rPr>
          <w:rFonts w:ascii="Arial" w:eastAsia="Times New Roman" w:hAnsi="Arial" w:cs="Arial"/>
          <w:bCs/>
          <w:sz w:val="20"/>
          <w:szCs w:val="20"/>
          <w:highlight w:val="yellow"/>
        </w:rPr>
      </w:pPr>
    </w:p>
    <w:p w14:paraId="186F7B47" w14:textId="77777777" w:rsidR="006E1C6C" w:rsidRDefault="006E1C6C">
      <w:pPr>
        <w:spacing w:after="0" w:line="240" w:lineRule="auto"/>
        <w:rPr>
          <w:rFonts w:ascii="Arial" w:hAnsi="Arial" w:cs="Arial"/>
          <w:b/>
          <w:bCs/>
          <w:sz w:val="20"/>
          <w:szCs w:val="20"/>
        </w:rPr>
      </w:pPr>
      <w:r w:rsidRPr="00C9207C">
        <w:rPr>
          <w:rFonts w:ascii="Arial" w:hAnsi="Arial" w:cs="Arial"/>
          <w:b/>
          <w:bCs/>
          <w:sz w:val="20"/>
          <w:szCs w:val="20"/>
        </w:rPr>
        <w:t>2025/26 Financial Overview</w:t>
      </w:r>
    </w:p>
    <w:p w14:paraId="16596743" w14:textId="77777777" w:rsidR="00612D01" w:rsidRPr="00C9207C" w:rsidRDefault="00612D01">
      <w:pPr>
        <w:spacing w:after="0" w:line="240" w:lineRule="auto"/>
        <w:rPr>
          <w:rFonts w:ascii="Arial" w:hAnsi="Arial" w:cs="Arial"/>
          <w:kern w:val="2"/>
          <w:sz w:val="20"/>
          <w:szCs w:val="20"/>
          <w14:ligatures w14:val="standardContextual"/>
        </w:rPr>
      </w:pPr>
    </w:p>
    <w:p w14:paraId="642D2906" w14:textId="77777777" w:rsidR="00283DD9" w:rsidRDefault="006E1C6C">
      <w:pPr>
        <w:spacing w:after="0" w:line="240" w:lineRule="auto"/>
        <w:rPr>
          <w:rFonts w:ascii="Arial" w:hAnsi="Arial" w:cs="Arial"/>
          <w:sz w:val="20"/>
          <w:szCs w:val="20"/>
        </w:rPr>
      </w:pPr>
      <w:r w:rsidRPr="00C9207C">
        <w:rPr>
          <w:rFonts w:ascii="Arial" w:hAnsi="Arial" w:cs="Arial"/>
          <w:b/>
          <w:bCs/>
          <w:sz w:val="20"/>
          <w:szCs w:val="20"/>
        </w:rPr>
        <w:t>Annual accounts</w:t>
      </w:r>
      <w:r w:rsidRPr="00C9207C">
        <w:rPr>
          <w:rFonts w:ascii="Arial" w:hAnsi="Arial" w:cs="Arial"/>
          <w:sz w:val="20"/>
          <w:szCs w:val="20"/>
        </w:rPr>
        <w:t xml:space="preserve"> </w:t>
      </w:r>
    </w:p>
    <w:p w14:paraId="143D0954" w14:textId="77777777" w:rsidR="00283DD9" w:rsidRDefault="00283DD9">
      <w:pPr>
        <w:spacing w:after="0" w:line="240" w:lineRule="auto"/>
        <w:rPr>
          <w:rFonts w:ascii="Arial" w:hAnsi="Arial" w:cs="Arial"/>
          <w:sz w:val="20"/>
          <w:szCs w:val="20"/>
        </w:rPr>
      </w:pPr>
    </w:p>
    <w:p w14:paraId="054B7CEF" w14:textId="338BC623" w:rsidR="006E1C6C" w:rsidRPr="00F404B8" w:rsidRDefault="006E1C6C">
      <w:pPr>
        <w:spacing w:after="0" w:line="240" w:lineRule="auto"/>
        <w:rPr>
          <w:rFonts w:ascii="Arial" w:hAnsi="Arial" w:cs="Arial"/>
          <w:sz w:val="20"/>
          <w:szCs w:val="20"/>
        </w:rPr>
      </w:pPr>
      <w:r w:rsidRPr="00C9207C">
        <w:rPr>
          <w:rFonts w:ascii="Arial" w:hAnsi="Arial" w:cs="Arial"/>
          <w:sz w:val="20"/>
          <w:szCs w:val="20"/>
        </w:rPr>
        <w:t>The annual accounts report the financial performance of Aberdeen City Integration Joint Board (IJB). Their main purpose is to demonstrate the stewardship of the public funds that have been entrusted to us for the delivery of our vision and strategic priorities. The requirements governing the format and content of IJBs’ annual accounts are contained in The Code of Practice on Local Authority Accounting in the United Kingdom (the Code). These annual accounts have been prepared in accordance with the Code.</w:t>
      </w:r>
    </w:p>
    <w:p w14:paraId="61B4D652" w14:textId="77777777" w:rsidR="00283DD9" w:rsidRDefault="00283DD9">
      <w:pPr>
        <w:spacing w:after="0" w:line="240" w:lineRule="auto"/>
        <w:rPr>
          <w:rFonts w:ascii="Arial" w:hAnsi="Arial" w:cs="Arial"/>
          <w:b/>
          <w:bCs/>
          <w:sz w:val="20"/>
          <w:szCs w:val="20"/>
        </w:rPr>
      </w:pPr>
    </w:p>
    <w:p w14:paraId="35093C4D" w14:textId="77777777" w:rsidR="004943B0" w:rsidRDefault="006E1C6C">
      <w:pPr>
        <w:spacing w:after="0" w:line="240" w:lineRule="auto"/>
        <w:rPr>
          <w:rFonts w:ascii="Arial" w:hAnsi="Arial" w:cs="Arial"/>
          <w:sz w:val="20"/>
          <w:szCs w:val="20"/>
        </w:rPr>
      </w:pPr>
      <w:r w:rsidRPr="00C9207C">
        <w:rPr>
          <w:rFonts w:ascii="Arial" w:hAnsi="Arial" w:cs="Arial"/>
          <w:b/>
          <w:bCs/>
          <w:sz w:val="20"/>
          <w:szCs w:val="20"/>
        </w:rPr>
        <w:t>2025/26 financial plan</w:t>
      </w:r>
      <w:r w:rsidRPr="00C9207C">
        <w:rPr>
          <w:rFonts w:ascii="Arial" w:hAnsi="Arial" w:cs="Arial"/>
          <w:sz w:val="20"/>
          <w:szCs w:val="20"/>
        </w:rPr>
        <w:t xml:space="preserve"> </w:t>
      </w:r>
    </w:p>
    <w:p w14:paraId="4B90CCDF" w14:textId="77777777" w:rsidR="004943B0" w:rsidRDefault="004943B0">
      <w:pPr>
        <w:spacing w:after="0" w:line="240" w:lineRule="auto"/>
        <w:rPr>
          <w:rFonts w:ascii="Arial" w:hAnsi="Arial" w:cs="Arial"/>
          <w:sz w:val="20"/>
          <w:szCs w:val="20"/>
        </w:rPr>
      </w:pPr>
    </w:p>
    <w:p w14:paraId="33346543" w14:textId="5F5A99A7" w:rsidR="006E1C6C" w:rsidRPr="00F404B8" w:rsidRDefault="006E1C6C">
      <w:pPr>
        <w:spacing w:after="0" w:line="240" w:lineRule="auto"/>
        <w:rPr>
          <w:rFonts w:ascii="Arial" w:hAnsi="Arial" w:cs="Arial"/>
          <w:sz w:val="20"/>
          <w:szCs w:val="20"/>
        </w:rPr>
      </w:pPr>
      <w:r w:rsidRPr="00C9207C">
        <w:rPr>
          <w:rFonts w:ascii="Arial" w:hAnsi="Arial" w:cs="Arial"/>
          <w:sz w:val="20"/>
          <w:szCs w:val="20"/>
        </w:rPr>
        <w:t xml:space="preserve">Each year we update our Medium-Term Financial Framework (MTFF) and agree our budget for the following financial year. The MTFF quantifies the projected financial gap over a multi-year period and sets out how we will target resources to maximise contribution to our strategic aims. For 2025/26, the IJB set a balanced budget for the year </w:t>
      </w:r>
      <w:r w:rsidR="007C737D">
        <w:rPr>
          <w:rFonts w:ascii="Arial" w:hAnsi="Arial" w:cs="Arial"/>
          <w:sz w:val="20"/>
          <w:szCs w:val="20"/>
        </w:rPr>
        <w:t xml:space="preserve">of £439m </w:t>
      </w:r>
      <w:r w:rsidR="000C62C4">
        <w:rPr>
          <w:rFonts w:ascii="Arial" w:hAnsi="Arial" w:cs="Arial"/>
          <w:sz w:val="20"/>
          <w:szCs w:val="20"/>
        </w:rPr>
        <w:t>with £14.</w:t>
      </w:r>
      <w:r w:rsidR="004876ED">
        <w:rPr>
          <w:rFonts w:ascii="Arial" w:hAnsi="Arial" w:cs="Arial"/>
          <w:sz w:val="20"/>
          <w:szCs w:val="20"/>
        </w:rPr>
        <w:t xml:space="preserve">354m savings </w:t>
      </w:r>
      <w:r w:rsidR="00A01553">
        <w:rPr>
          <w:rFonts w:ascii="Arial" w:hAnsi="Arial" w:cs="Arial"/>
          <w:sz w:val="20"/>
          <w:szCs w:val="20"/>
        </w:rPr>
        <w:t xml:space="preserve">options embedded </w:t>
      </w:r>
      <w:r w:rsidR="004F61F8">
        <w:rPr>
          <w:rFonts w:ascii="Arial" w:hAnsi="Arial" w:cs="Arial"/>
          <w:sz w:val="20"/>
          <w:szCs w:val="20"/>
        </w:rPr>
        <w:t xml:space="preserve">and </w:t>
      </w:r>
      <w:r w:rsidRPr="00C9207C">
        <w:rPr>
          <w:rFonts w:ascii="Arial" w:hAnsi="Arial" w:cs="Arial"/>
          <w:sz w:val="20"/>
          <w:szCs w:val="20"/>
        </w:rPr>
        <w:t>was supported by one-off in-year partner funding of £10.909m (Aberdeen City Council £4.200m; NHS Grampian £6.709m), provided to enable the IJB to deliver a balanced budget position and to manage volatility and emerging pressures across the portfolio.</w:t>
      </w:r>
    </w:p>
    <w:p w14:paraId="11C8EB49" w14:textId="77777777" w:rsidR="00283DD9" w:rsidRDefault="00283DD9">
      <w:pPr>
        <w:spacing w:after="0" w:line="240" w:lineRule="auto"/>
        <w:rPr>
          <w:rFonts w:ascii="Arial" w:hAnsi="Arial" w:cs="Arial"/>
          <w:b/>
          <w:bCs/>
          <w:sz w:val="20"/>
          <w:szCs w:val="20"/>
        </w:rPr>
      </w:pPr>
    </w:p>
    <w:p w14:paraId="497FCFEF" w14:textId="77777777" w:rsidR="004943B0" w:rsidRDefault="006E1C6C">
      <w:pPr>
        <w:spacing w:after="0" w:line="240" w:lineRule="auto"/>
        <w:rPr>
          <w:rFonts w:ascii="Arial" w:hAnsi="Arial" w:cs="Arial"/>
          <w:sz w:val="20"/>
          <w:szCs w:val="20"/>
        </w:rPr>
      </w:pPr>
      <w:r w:rsidRPr="00C9207C">
        <w:rPr>
          <w:rFonts w:ascii="Arial" w:hAnsi="Arial" w:cs="Arial"/>
          <w:b/>
          <w:bCs/>
          <w:sz w:val="20"/>
          <w:szCs w:val="20"/>
        </w:rPr>
        <w:t>Financial performance</w:t>
      </w:r>
      <w:r w:rsidRPr="00C9207C">
        <w:rPr>
          <w:rFonts w:ascii="Arial" w:hAnsi="Arial" w:cs="Arial"/>
          <w:sz w:val="20"/>
          <w:szCs w:val="20"/>
        </w:rPr>
        <w:t xml:space="preserve"> </w:t>
      </w:r>
    </w:p>
    <w:p w14:paraId="38A6C423" w14:textId="77777777" w:rsidR="004943B0" w:rsidRDefault="004943B0">
      <w:pPr>
        <w:spacing w:after="0" w:line="240" w:lineRule="auto"/>
        <w:rPr>
          <w:rFonts w:ascii="Arial" w:hAnsi="Arial" w:cs="Arial"/>
          <w:sz w:val="20"/>
          <w:szCs w:val="20"/>
        </w:rPr>
      </w:pPr>
    </w:p>
    <w:p w14:paraId="0AE258AE" w14:textId="3899521D" w:rsidR="00E96223" w:rsidRPr="00C9207C" w:rsidRDefault="00E96223">
      <w:pPr>
        <w:spacing w:after="0" w:line="240" w:lineRule="auto"/>
        <w:rPr>
          <w:rFonts w:ascii="Arial" w:hAnsi="Arial" w:cs="Arial"/>
          <w:kern w:val="2"/>
          <w:sz w:val="20"/>
          <w:szCs w:val="20"/>
          <w14:ligatures w14:val="standardContextual"/>
        </w:rPr>
      </w:pPr>
      <w:r w:rsidRPr="00C9207C">
        <w:rPr>
          <w:rFonts w:ascii="Arial" w:hAnsi="Arial" w:cs="Arial"/>
          <w:sz w:val="20"/>
          <w:szCs w:val="20"/>
        </w:rPr>
        <w:t>The IJB’s financial performance for the year is presented in the Comprehensive Income and Expenditure Statement (CIES</w:t>
      </w:r>
      <w:r w:rsidRPr="00AA5EC2">
        <w:rPr>
          <w:rFonts w:ascii="Arial" w:hAnsi="Arial" w:cs="Arial"/>
          <w:sz w:val="20"/>
          <w:szCs w:val="20"/>
        </w:rPr>
        <w:t>) [</w:t>
      </w:r>
      <w:r w:rsidR="000631C5" w:rsidRPr="00AA5EC2">
        <w:rPr>
          <w:rFonts w:ascii="Arial" w:hAnsi="Arial" w:cs="Arial"/>
          <w:sz w:val="20"/>
          <w:szCs w:val="20"/>
        </w:rPr>
        <w:t>p</w:t>
      </w:r>
      <w:r w:rsidR="006F7F21" w:rsidRPr="00AA5EC2">
        <w:rPr>
          <w:rFonts w:ascii="Arial" w:hAnsi="Arial" w:cs="Arial"/>
          <w:sz w:val="20"/>
          <w:szCs w:val="20"/>
        </w:rPr>
        <w:t>age 4</w:t>
      </w:r>
      <w:r w:rsidR="00AA5EC2" w:rsidRPr="00AA5EC2">
        <w:rPr>
          <w:rFonts w:ascii="Arial" w:hAnsi="Arial" w:cs="Arial"/>
          <w:sz w:val="20"/>
          <w:szCs w:val="20"/>
        </w:rPr>
        <w:t>6</w:t>
      </w:r>
      <w:r w:rsidRPr="00AA5EC2">
        <w:rPr>
          <w:rFonts w:ascii="Arial" w:hAnsi="Arial" w:cs="Arial"/>
          <w:sz w:val="20"/>
          <w:szCs w:val="20"/>
        </w:rPr>
        <w:t>]. The Balance Sheet [</w:t>
      </w:r>
      <w:r w:rsidR="000631C5" w:rsidRPr="00AA5EC2">
        <w:rPr>
          <w:rFonts w:ascii="Arial" w:hAnsi="Arial" w:cs="Arial"/>
          <w:sz w:val="20"/>
          <w:szCs w:val="20"/>
        </w:rPr>
        <w:t>page 4</w:t>
      </w:r>
      <w:r w:rsidR="00AA5EC2" w:rsidRPr="00AA5EC2">
        <w:rPr>
          <w:rFonts w:ascii="Arial" w:hAnsi="Arial" w:cs="Arial"/>
          <w:sz w:val="20"/>
          <w:szCs w:val="20"/>
        </w:rPr>
        <w:t>8</w:t>
      </w:r>
      <w:r w:rsidRPr="00AA5EC2">
        <w:rPr>
          <w:rFonts w:ascii="Arial" w:hAnsi="Arial" w:cs="Arial"/>
          <w:sz w:val="20"/>
          <w:szCs w:val="20"/>
        </w:rPr>
        <w:t>] sets</w:t>
      </w:r>
      <w:r w:rsidRPr="00C9207C">
        <w:rPr>
          <w:rFonts w:ascii="Arial" w:hAnsi="Arial" w:cs="Arial"/>
          <w:sz w:val="20"/>
          <w:szCs w:val="20"/>
        </w:rPr>
        <w:t xml:space="preserve"> out the liabilities and assets at 31 March 2026. Financial performance is disclosed in the annual accounts on a different basis from that used to report in-year financial performance to the IJB, which considers actual costs against budget.</w:t>
      </w:r>
    </w:p>
    <w:p w14:paraId="4BA20B04" w14:textId="77777777" w:rsidR="003E7565" w:rsidRDefault="003E7565">
      <w:pPr>
        <w:spacing w:after="0" w:line="240" w:lineRule="auto"/>
        <w:rPr>
          <w:rFonts w:ascii="Arial" w:hAnsi="Arial" w:cs="Arial"/>
          <w:sz w:val="20"/>
          <w:szCs w:val="20"/>
        </w:rPr>
      </w:pPr>
    </w:p>
    <w:p w14:paraId="0DCE6FE1" w14:textId="6B8BA4B1" w:rsidR="00D12411" w:rsidRDefault="00D12411">
      <w:pPr>
        <w:spacing w:after="0" w:line="240" w:lineRule="auto"/>
        <w:rPr>
          <w:kern w:val="2"/>
          <w14:ligatures w14:val="standardContextual"/>
        </w:rPr>
      </w:pPr>
      <w:r>
        <w:rPr>
          <w:rFonts w:ascii="Arial" w:hAnsi="Arial" w:cs="Arial"/>
          <w:sz w:val="20"/>
          <w:szCs w:val="20"/>
        </w:rPr>
        <w:t xml:space="preserve">The </w:t>
      </w:r>
      <w:r w:rsidR="00BD78D6">
        <w:rPr>
          <w:rFonts w:ascii="Arial" w:hAnsi="Arial" w:cs="Arial"/>
          <w:sz w:val="20"/>
          <w:szCs w:val="20"/>
        </w:rPr>
        <w:t xml:space="preserve">balanced </w:t>
      </w:r>
      <w:r>
        <w:rPr>
          <w:rFonts w:ascii="Arial" w:hAnsi="Arial" w:cs="Arial"/>
          <w:sz w:val="20"/>
          <w:szCs w:val="20"/>
        </w:rPr>
        <w:t xml:space="preserve">budget set by the IJB </w:t>
      </w:r>
      <w:r w:rsidR="00B679FE">
        <w:rPr>
          <w:rFonts w:ascii="Arial" w:hAnsi="Arial" w:cs="Arial"/>
          <w:sz w:val="20"/>
          <w:szCs w:val="20"/>
        </w:rPr>
        <w:t>for the financial year</w:t>
      </w:r>
      <w:r>
        <w:rPr>
          <w:rFonts w:ascii="Arial" w:hAnsi="Arial" w:cs="Arial"/>
          <w:sz w:val="20"/>
          <w:szCs w:val="20"/>
        </w:rPr>
        <w:t xml:space="preserve"> was £439m. The revised budget and outturn position of £475m reflect the full cost of services on the reporting basis used for year-end budget monitoring, including in-year funding changes, partner contributions, set-aside and other technical adjustments. The CIES in the statutory annual accounts presents financial performance on the accounting basis required by the Code and therefore differs from the format used for routine in-year budget reporting to the Board.</w:t>
      </w:r>
    </w:p>
    <w:p w14:paraId="19C2C397" w14:textId="77777777" w:rsidR="00BA3B1E" w:rsidRDefault="00BA3B1E">
      <w:pPr>
        <w:spacing w:after="0" w:line="240" w:lineRule="auto"/>
        <w:rPr>
          <w:rFonts w:ascii="Arial" w:hAnsi="Arial" w:cs="Arial"/>
          <w:b/>
          <w:bCs/>
          <w:sz w:val="20"/>
          <w:szCs w:val="20"/>
        </w:rPr>
      </w:pPr>
    </w:p>
    <w:p w14:paraId="4700D158" w14:textId="77777777" w:rsidR="00AC1054" w:rsidRDefault="00AC1054">
      <w:pPr>
        <w:spacing w:after="0" w:line="240" w:lineRule="auto"/>
        <w:rPr>
          <w:rFonts w:ascii="Arial" w:hAnsi="Arial" w:cs="Arial"/>
          <w:b/>
          <w:bCs/>
          <w:sz w:val="20"/>
          <w:szCs w:val="20"/>
        </w:rPr>
      </w:pPr>
      <w:r>
        <w:rPr>
          <w:rFonts w:ascii="Arial" w:hAnsi="Arial" w:cs="Arial"/>
          <w:b/>
          <w:bCs/>
          <w:sz w:val="20"/>
          <w:szCs w:val="20"/>
        </w:rPr>
        <w:br w:type="page"/>
      </w:r>
    </w:p>
    <w:p w14:paraId="2449D107" w14:textId="77777777" w:rsidR="00E96223" w:rsidRDefault="00E96223">
      <w:pPr>
        <w:spacing w:after="0" w:line="240" w:lineRule="auto"/>
        <w:rPr>
          <w:rFonts w:ascii="Arial" w:hAnsi="Arial" w:cs="Arial"/>
          <w:sz w:val="20"/>
          <w:szCs w:val="20"/>
        </w:rPr>
      </w:pPr>
      <w:r w:rsidRPr="00C9207C">
        <w:rPr>
          <w:rFonts w:ascii="Arial" w:hAnsi="Arial" w:cs="Arial"/>
          <w:b/>
          <w:bCs/>
          <w:sz w:val="20"/>
          <w:szCs w:val="20"/>
        </w:rPr>
        <w:lastRenderedPageBreak/>
        <w:t>Headline outturn and reserves</w:t>
      </w:r>
      <w:r w:rsidRPr="00C9207C">
        <w:rPr>
          <w:rFonts w:ascii="Arial" w:hAnsi="Arial" w:cs="Arial"/>
          <w:sz w:val="20"/>
          <w:szCs w:val="20"/>
        </w:rPr>
        <w:t xml:space="preserve"> </w:t>
      </w:r>
    </w:p>
    <w:p w14:paraId="1FB7C1FA" w14:textId="77777777" w:rsidR="00BA3B1E" w:rsidRDefault="00BA3B1E">
      <w:pPr>
        <w:spacing w:after="0" w:line="240" w:lineRule="auto"/>
        <w:rPr>
          <w:rFonts w:ascii="Arial" w:hAnsi="Arial" w:cs="Arial"/>
          <w:sz w:val="20"/>
          <w:szCs w:val="20"/>
        </w:rPr>
      </w:pPr>
    </w:p>
    <w:p w14:paraId="25AF8007" w14:textId="77777777" w:rsidR="002E10E2" w:rsidRDefault="00AC1054">
      <w:pPr>
        <w:spacing w:after="0" w:line="240" w:lineRule="auto"/>
        <w:rPr>
          <w:rFonts w:ascii="Arial" w:hAnsi="Arial" w:cs="Arial"/>
          <w:sz w:val="20"/>
          <w:szCs w:val="20"/>
        </w:rPr>
      </w:pPr>
      <w:r w:rsidRPr="00841C33">
        <w:rPr>
          <w:noProof/>
        </w:rPr>
        <w:drawing>
          <wp:inline distT="0" distB="0" distL="0" distR="0" wp14:anchorId="1C936880" wp14:editId="581EAC65">
            <wp:extent cx="5731510" cy="2784923"/>
            <wp:effectExtent l="76200" t="76200" r="135890" b="130175"/>
            <wp:docPr id="1595575360" name="Picture 1" descr="Bar chart illustrating budget changes from 2025/26 final budget of £475.3m to 2023/26 forecast outturn of £464.1m, highlighting underspend and reserves. Key components include red bars for overspend, green bars for savings, and a central annotation noting £11.2m underspend, £3.5m earmarked, and £7.7m uncommitted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75360" name="Picture 1" descr="Bar chart illustrating budget changes from 2025/26 final budget of £475.3m to 2023/26 forecast outturn of £464.1m, highlighting underspend and reserves. Key components include red bars for overspend, green bars for savings, and a central annotation noting £11.2m underspend, £3.5m earmarked, and £7.7m uncommitted reserves."/>
                    <pic:cNvPicPr/>
                  </pic:nvPicPr>
                  <pic:blipFill>
                    <a:blip r:embed="rId50"/>
                    <a:stretch>
                      <a:fillRect/>
                    </a:stretch>
                  </pic:blipFill>
                  <pic:spPr>
                    <a:xfrm>
                      <a:off x="0" y="0"/>
                      <a:ext cx="5731510" cy="2784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284DDF" w14:textId="77777777" w:rsidR="002E10E2" w:rsidRDefault="002E10E2">
      <w:pPr>
        <w:spacing w:after="0" w:line="240" w:lineRule="auto"/>
        <w:rPr>
          <w:rFonts w:ascii="Arial" w:hAnsi="Arial" w:cs="Arial"/>
          <w:sz w:val="20"/>
          <w:szCs w:val="20"/>
        </w:rPr>
      </w:pPr>
    </w:p>
    <w:p w14:paraId="64F0BB48" w14:textId="77777777" w:rsidR="00934B70" w:rsidRDefault="00934B70" w:rsidP="006C74F7">
      <w:pPr>
        <w:spacing w:after="0" w:line="20" w:lineRule="atLeast"/>
      </w:pPr>
      <w:r>
        <w:rPr>
          <w:rFonts w:ascii="Arial" w:hAnsi="Arial" w:cs="Arial"/>
          <w:sz w:val="20"/>
          <w:szCs w:val="20"/>
        </w:rPr>
        <w:t>The IJB reported an underspend of £11.231m against the revised budget of £475m (2.4% of cost of services). Of this, £3.527m was earmarked for specific purposes, leaving £7.704m added to uncommitted reserves at 31 March 2026.</w:t>
      </w:r>
    </w:p>
    <w:p w14:paraId="1235E48D" w14:textId="77777777" w:rsidR="008378EE" w:rsidRPr="00A3611C" w:rsidRDefault="008378EE" w:rsidP="006C74F7">
      <w:pPr>
        <w:spacing w:after="0" w:line="20" w:lineRule="atLeast"/>
        <w:rPr>
          <w:rFonts w:ascii="Arial" w:hAnsi="Arial" w:cs="Arial"/>
          <w:sz w:val="20"/>
          <w:szCs w:val="20"/>
        </w:rPr>
      </w:pPr>
    </w:p>
    <w:p w14:paraId="49BB6D98" w14:textId="77777777" w:rsidR="00934B70" w:rsidRDefault="00934B70" w:rsidP="006C74F7">
      <w:pPr>
        <w:spacing w:after="0" w:line="20" w:lineRule="atLeast"/>
        <w:rPr>
          <w:kern w:val="2"/>
          <w14:ligatures w14:val="standardContextual"/>
        </w:rPr>
      </w:pPr>
      <w:r>
        <w:rPr>
          <w:rFonts w:ascii="Arial" w:hAnsi="Arial" w:cs="Arial"/>
          <w:sz w:val="20"/>
          <w:szCs w:val="20"/>
        </w:rPr>
        <w:t>This does not indicate that the IJB has achieved a recurrently balanced financial position. The 2025/26 outturn was materially supported by £10.909m of one-off in-year partner funding, and significant underlying pressures remain within demand-led and high-cost services.</w:t>
      </w:r>
    </w:p>
    <w:p w14:paraId="27CA68D1" w14:textId="77777777" w:rsidR="003E7565" w:rsidRDefault="003E7565" w:rsidP="006C74F7">
      <w:pPr>
        <w:spacing w:after="0" w:line="20" w:lineRule="atLeast"/>
        <w:rPr>
          <w:rFonts w:ascii="Arial" w:hAnsi="Arial" w:cs="Arial"/>
          <w:sz w:val="20"/>
          <w:szCs w:val="20"/>
        </w:rPr>
      </w:pPr>
    </w:p>
    <w:p w14:paraId="281B8FFD" w14:textId="77777777" w:rsidR="00934B70" w:rsidRDefault="00934B70" w:rsidP="006C74F7">
      <w:pPr>
        <w:spacing w:after="0" w:line="20" w:lineRule="atLeast"/>
        <w:rPr>
          <w:kern w:val="2"/>
          <w14:ligatures w14:val="standardContextual"/>
        </w:rPr>
      </w:pPr>
      <w:r>
        <w:rPr>
          <w:rFonts w:ascii="Arial" w:hAnsi="Arial" w:cs="Arial"/>
          <w:sz w:val="20"/>
          <w:szCs w:val="20"/>
        </w:rPr>
        <w:t>The uncommitted reserve balance of £7.704m provides important but limited short-term resilience as the Partnership enters 2026/27. It supports management of in-year volatility and targeted transformation and invest-to-save activity, but it is modest relative to the overall scale of expenditure and is not a substitute for recurring savings, service redesign or prioritisation decisions.</w:t>
      </w:r>
    </w:p>
    <w:p w14:paraId="0B62E439" w14:textId="77777777" w:rsidR="003E7565" w:rsidRDefault="003E7565" w:rsidP="006C74F7">
      <w:pPr>
        <w:spacing w:after="0" w:line="20" w:lineRule="atLeast"/>
        <w:rPr>
          <w:rFonts w:ascii="Arial" w:hAnsi="Arial" w:cs="Arial"/>
          <w:sz w:val="20"/>
          <w:szCs w:val="20"/>
        </w:rPr>
      </w:pPr>
    </w:p>
    <w:p w14:paraId="64602C84" w14:textId="7EA141B6" w:rsidR="006E1C6C" w:rsidRDefault="006E1C6C" w:rsidP="006C74F7">
      <w:pPr>
        <w:spacing w:after="0" w:line="20" w:lineRule="atLeast"/>
        <w:rPr>
          <w:rFonts w:ascii="Arial" w:hAnsi="Arial" w:cs="Arial"/>
          <w:sz w:val="20"/>
          <w:szCs w:val="20"/>
        </w:rPr>
      </w:pPr>
      <w:r w:rsidRPr="00A3611C">
        <w:rPr>
          <w:rFonts w:ascii="Arial" w:hAnsi="Arial" w:cs="Arial"/>
          <w:sz w:val="20"/>
          <w:szCs w:val="20"/>
        </w:rPr>
        <w:t>The year-end variance against the revised budget (before earmarking) can be summarised on a service-by-service basis as follows:</w:t>
      </w:r>
    </w:p>
    <w:p w14:paraId="0DA8BFDC" w14:textId="77777777" w:rsidR="003347A4" w:rsidRPr="00C9207C" w:rsidRDefault="003347A4">
      <w:pPr>
        <w:spacing w:after="0" w:line="240" w:lineRule="auto"/>
        <w:rPr>
          <w:rFonts w:ascii="Arial" w:hAnsi="Arial" w:cs="Arial"/>
          <w:kern w:val="2"/>
          <w:sz w:val="20"/>
          <w:szCs w:val="20"/>
          <w14:ligatures w14:val="standardContextual"/>
        </w:rPr>
      </w:pPr>
    </w:p>
    <w:p w14:paraId="1D589172" w14:textId="101D0C95" w:rsidR="00757C77" w:rsidRDefault="00757C77" w:rsidP="0055365D">
      <w:pPr>
        <w:pStyle w:val="ListParagraph"/>
        <w:numPr>
          <w:ilvl w:val="0"/>
          <w:numId w:val="12"/>
        </w:numPr>
        <w:spacing w:after="120" w:line="20" w:lineRule="atLeast"/>
        <w:ind w:left="714" w:hanging="357"/>
        <w:rPr>
          <w:kern w:val="2"/>
          <w:sz w:val="24"/>
          <w:szCs w:val="24"/>
          <w14:ligatures w14:val="standardContextual"/>
        </w:rPr>
      </w:pPr>
      <w:r>
        <w:rPr>
          <w:rFonts w:ascii="Arial" w:hAnsi="Arial" w:cs="Arial"/>
          <w:b/>
          <w:bCs/>
          <w:sz w:val="20"/>
          <w:szCs w:val="20"/>
        </w:rPr>
        <w:t>Older People &amp; Physical and Sensory Disabilities</w:t>
      </w:r>
      <w:r>
        <w:rPr>
          <w:rFonts w:ascii="Arial" w:hAnsi="Arial" w:cs="Arial"/>
          <w:sz w:val="20"/>
          <w:szCs w:val="20"/>
        </w:rPr>
        <w:t xml:space="preserve"> – £4.577m underspend. This was driven by staffing savings from unfilled vacancies and delayed recruitment. Additional underspends arose within commissioning budgets following the cessation of several high-cost care packages. £0.638m of the underspend was transferred to an earmarked reserve for the HSCP Digital Innovation Fund.</w:t>
      </w:r>
    </w:p>
    <w:p w14:paraId="4D93856E" w14:textId="77777777"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Integration and Change</w:t>
      </w:r>
      <w:r>
        <w:rPr>
          <w:rFonts w:ascii="Arial" w:hAnsi="Arial" w:cs="Arial"/>
          <w:sz w:val="20"/>
          <w:szCs w:val="20"/>
        </w:rPr>
        <w:t xml:space="preserve"> – £3.225m underspend (one-off). This reflects the recommended allocation of £3.484m to Learning Disabilities through resource transfer, set against actual expenditure incurred in-year. The year-end balance represents funding included within the approved budget and supported by additional funding from both partners, totalling £10.909m. The variance arises from the NHS Grampian element of the budget of £6.709m, where funding was recognised in advance of year end. As a result of the overall positive outturn position, the remaining balance did not require allocation across individual service areas.</w:t>
      </w:r>
    </w:p>
    <w:p w14:paraId="0954ADCC" w14:textId="30760F74"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Community Health Services</w:t>
      </w:r>
      <w:r>
        <w:rPr>
          <w:rFonts w:ascii="Arial" w:hAnsi="Arial" w:cs="Arial"/>
          <w:sz w:val="20"/>
          <w:szCs w:val="20"/>
        </w:rPr>
        <w:t xml:space="preserve"> – £3.117m underspend. This was mainly driven by additional, unbudgeted, earmarked funding of £3.244m for the Unscheduled Care Operational Improvement Programme and £0.210m for the Neurodevelopmental Pathway, of which £2.513m has been carried forward to 2026/27 (£2.303m for the Unscheduled Care Operational Improvement Programme and £0.210m for the Neurodevelopmental Pathway) to support investment in approved and already commenced improvement schemes.</w:t>
      </w:r>
    </w:p>
    <w:p w14:paraId="2CF1625E" w14:textId="212F8DE5"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lastRenderedPageBreak/>
        <w:t>Aberdeen City share of Hosted Services (health)</w:t>
      </w:r>
      <w:r>
        <w:rPr>
          <w:rFonts w:ascii="Arial" w:hAnsi="Arial" w:cs="Arial"/>
          <w:sz w:val="20"/>
          <w:szCs w:val="20"/>
        </w:rPr>
        <w:t xml:space="preserve"> – £2.253m underspend. The underspend was largely attributable to underspends within the city-hosted Specialist Older Adults and Rehabilitation Service (SOARS), mainly relating to Rosewell wind-down and closure, and underspends across city-hosted Sexual Health services, Marie Curie Nursing and Moray-hosted GMED services. These were partially offset by overspends within Continence services and HMP Grampian, which are hosted by Aberdeenshire.</w:t>
      </w:r>
    </w:p>
    <w:p w14:paraId="4721EDF2" w14:textId="77777777"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Primary Care</w:t>
      </w:r>
      <w:r>
        <w:rPr>
          <w:rFonts w:ascii="Arial" w:hAnsi="Arial" w:cs="Arial"/>
          <w:sz w:val="20"/>
          <w:szCs w:val="20"/>
        </w:rPr>
        <w:t xml:space="preserve"> – £1.196m underspend. This was driven by recurring lower costs relating to seniority ('long service') payments (£0.219m), and reduced premises costs (£0.358m non-recurring; £0.362m recurring).</w:t>
      </w:r>
    </w:p>
    <w:p w14:paraId="25B98F2A" w14:textId="77777777"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Primary Care Prescribing</w:t>
      </w:r>
      <w:r>
        <w:rPr>
          <w:rFonts w:ascii="Arial" w:hAnsi="Arial" w:cs="Arial"/>
          <w:sz w:val="20"/>
          <w:szCs w:val="20"/>
        </w:rPr>
        <w:t xml:space="preserve"> – £0.389m underspend. The year-end position reflects uplift funding allocation of £2.513m that offset underlying cost pressures. Prescribing cost volatility and demand-led pressures are expected to continue into 2026/27.</w:t>
      </w:r>
    </w:p>
    <w:p w14:paraId="6FA69227" w14:textId="79CA47F0"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Learning Disabilities</w:t>
      </w:r>
      <w:r>
        <w:rPr>
          <w:rFonts w:ascii="Arial" w:hAnsi="Arial" w:cs="Arial"/>
          <w:sz w:val="20"/>
          <w:szCs w:val="20"/>
        </w:rPr>
        <w:t xml:space="preserve"> – £3.303m overspend (recurring). The overspend reflects ongoing demand and complexity pressures, including a number of high-cost care packages, additional </w:t>
      </w:r>
      <w:r w:rsidR="00865176">
        <w:rPr>
          <w:rFonts w:ascii="Arial" w:hAnsi="Arial" w:cs="Arial"/>
          <w:sz w:val="20"/>
          <w:szCs w:val="20"/>
        </w:rPr>
        <w:t xml:space="preserve">one-off </w:t>
      </w:r>
      <w:r>
        <w:rPr>
          <w:rFonts w:ascii="Arial" w:hAnsi="Arial" w:cs="Arial"/>
          <w:sz w:val="20"/>
          <w:szCs w:val="20"/>
        </w:rPr>
        <w:t>costs associated with the transfer of clients to Stoneywood, and transition costs for young people moving into adult services, where the timing of assessments and service commencement does not align with the budget-setting cycle. The higher overspend was partially offset by allocation of £3.484m from Integration and Change via resource transfer.</w:t>
      </w:r>
    </w:p>
    <w:p w14:paraId="19F65A99" w14:textId="77777777"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Out of Area Treatments</w:t>
      </w:r>
      <w:r>
        <w:rPr>
          <w:rFonts w:ascii="Arial" w:hAnsi="Arial" w:cs="Arial"/>
          <w:sz w:val="20"/>
          <w:szCs w:val="20"/>
        </w:rPr>
        <w:t xml:space="preserve"> – £0.988m overspend. This reflects higher-than-anticipated additional nursing provision on placements, exceeding the baseline assumptions underpinning the approved budget.</w:t>
      </w:r>
    </w:p>
    <w:p w14:paraId="70CC409A" w14:textId="5C682579"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Mental Health &amp; Addictions</w:t>
      </w:r>
      <w:r>
        <w:rPr>
          <w:rFonts w:ascii="Arial" w:hAnsi="Arial" w:cs="Arial"/>
          <w:sz w:val="20"/>
          <w:szCs w:val="20"/>
        </w:rPr>
        <w:t xml:space="preserve"> – £0.644m overspend. This reflects staffing and commissioning </w:t>
      </w:r>
      <w:r w:rsidR="00EB69F0">
        <w:rPr>
          <w:rFonts w:ascii="Arial" w:hAnsi="Arial" w:cs="Arial"/>
          <w:sz w:val="20"/>
          <w:szCs w:val="20"/>
        </w:rPr>
        <w:t>over-spend</w:t>
      </w:r>
      <w:r>
        <w:rPr>
          <w:rFonts w:ascii="Arial" w:hAnsi="Arial" w:cs="Arial"/>
          <w:sz w:val="20"/>
          <w:szCs w:val="20"/>
        </w:rPr>
        <w:t xml:space="preserve">, primarily within Adult Mental Health (£0.495m) and Substance Misuse (£0.540m) services, driven by the use of agency staff to manage vacancy gaps and clinical risk. Additional </w:t>
      </w:r>
      <w:r w:rsidR="00EB69F0">
        <w:rPr>
          <w:rFonts w:ascii="Arial" w:hAnsi="Arial" w:cs="Arial"/>
          <w:sz w:val="20"/>
          <w:szCs w:val="20"/>
        </w:rPr>
        <w:t>over-spend</w:t>
      </w:r>
      <w:r>
        <w:rPr>
          <w:rFonts w:ascii="Arial" w:hAnsi="Arial" w:cs="Arial"/>
          <w:sz w:val="20"/>
          <w:szCs w:val="20"/>
        </w:rPr>
        <w:t xml:space="preserve"> relate to residential care and prescribing. These were partly offset by an over-recovery of income.</w:t>
      </w:r>
    </w:p>
    <w:p w14:paraId="35CD27CA" w14:textId="77777777" w:rsidR="00757C77" w:rsidRDefault="00757C77" w:rsidP="0055365D">
      <w:pPr>
        <w:pStyle w:val="ListParagraph"/>
        <w:numPr>
          <w:ilvl w:val="0"/>
          <w:numId w:val="12"/>
        </w:numPr>
        <w:spacing w:after="120" w:line="20" w:lineRule="atLeast"/>
        <w:rPr>
          <w:kern w:val="2"/>
          <w:sz w:val="24"/>
          <w:szCs w:val="24"/>
          <w14:ligatures w14:val="standardContextual"/>
        </w:rPr>
      </w:pPr>
      <w:r>
        <w:rPr>
          <w:rFonts w:ascii="Arial" w:hAnsi="Arial" w:cs="Arial"/>
          <w:b/>
          <w:bCs/>
          <w:sz w:val="20"/>
          <w:szCs w:val="20"/>
        </w:rPr>
        <w:t>Other</w:t>
      </w:r>
      <w:r>
        <w:rPr>
          <w:rFonts w:ascii="Arial" w:hAnsi="Arial" w:cs="Arial"/>
          <w:sz w:val="20"/>
          <w:szCs w:val="20"/>
        </w:rPr>
        <w:t xml:space="preserve"> – £1.362m underspend (mixed), reflecting various other lower value variances across services.</w:t>
      </w:r>
    </w:p>
    <w:p w14:paraId="7EF5490B" w14:textId="6A2FB224" w:rsidR="008C4EF5" w:rsidRPr="00D457F8" w:rsidRDefault="008C4EF5">
      <w:pPr>
        <w:spacing w:after="0" w:line="240" w:lineRule="auto"/>
        <w:rPr>
          <w:rFonts w:ascii="Arial" w:hAnsi="Arial" w:cs="Arial"/>
          <w:b/>
          <w:bCs/>
          <w:sz w:val="20"/>
          <w:szCs w:val="20"/>
        </w:rPr>
      </w:pPr>
      <w:r w:rsidRPr="00D457F8">
        <w:rPr>
          <w:rFonts w:ascii="Arial" w:hAnsi="Arial" w:cs="Arial"/>
          <w:b/>
          <w:bCs/>
          <w:sz w:val="20"/>
          <w:szCs w:val="20"/>
        </w:rPr>
        <w:t>Year-on-year changes and key drivers</w:t>
      </w:r>
    </w:p>
    <w:p w14:paraId="2992E619" w14:textId="2F298418" w:rsidR="008B1DC9" w:rsidRPr="00D457F8" w:rsidRDefault="008B1DC9">
      <w:pPr>
        <w:spacing w:after="0" w:line="240" w:lineRule="auto"/>
        <w:rPr>
          <w:rFonts w:ascii="Arial" w:hAnsi="Arial" w:cs="Arial"/>
          <w:kern w:val="2"/>
          <w:sz w:val="20"/>
          <w:szCs w:val="20"/>
          <w14:ligatures w14:val="standardContextual"/>
        </w:rPr>
      </w:pPr>
    </w:p>
    <w:p w14:paraId="303D4A7B" w14:textId="77777777" w:rsidR="001526E3" w:rsidRPr="005223A6" w:rsidRDefault="001526E3" w:rsidP="005223A6">
      <w:pPr>
        <w:spacing w:after="0" w:line="240" w:lineRule="auto"/>
        <w:rPr>
          <w:rFonts w:ascii="Arial" w:hAnsi="Arial" w:cs="Arial"/>
          <w:sz w:val="20"/>
          <w:szCs w:val="20"/>
        </w:rPr>
      </w:pPr>
      <w:r>
        <w:rPr>
          <w:rFonts w:ascii="Arial" w:hAnsi="Arial" w:cs="Arial"/>
          <w:sz w:val="20"/>
          <w:szCs w:val="20"/>
        </w:rPr>
        <w:t xml:space="preserve">The CIES shows that the cost of services increased by </w:t>
      </w:r>
      <w:r w:rsidRPr="005223A6">
        <w:rPr>
          <w:rFonts w:ascii="Arial" w:hAnsi="Arial" w:cs="Arial"/>
          <w:sz w:val="20"/>
          <w:szCs w:val="20"/>
        </w:rPr>
        <w:t>£7.062m</w:t>
      </w:r>
      <w:r>
        <w:rPr>
          <w:rFonts w:ascii="Arial" w:hAnsi="Arial" w:cs="Arial"/>
          <w:sz w:val="20"/>
          <w:szCs w:val="20"/>
        </w:rPr>
        <w:t xml:space="preserve"> year on year, from </w:t>
      </w:r>
      <w:r w:rsidRPr="005223A6">
        <w:rPr>
          <w:rFonts w:ascii="Arial" w:hAnsi="Arial" w:cs="Arial"/>
          <w:sz w:val="20"/>
          <w:szCs w:val="20"/>
        </w:rPr>
        <w:t>£457.051m</w:t>
      </w:r>
      <w:r>
        <w:rPr>
          <w:rFonts w:ascii="Arial" w:hAnsi="Arial" w:cs="Arial"/>
          <w:sz w:val="20"/>
          <w:szCs w:val="20"/>
        </w:rPr>
        <w:t xml:space="preserve"> in 2024/25 to </w:t>
      </w:r>
      <w:r w:rsidRPr="005223A6">
        <w:rPr>
          <w:rFonts w:ascii="Arial" w:hAnsi="Arial" w:cs="Arial"/>
          <w:sz w:val="20"/>
          <w:szCs w:val="20"/>
        </w:rPr>
        <w:t>£464.113m</w:t>
      </w:r>
      <w:r>
        <w:rPr>
          <w:rFonts w:ascii="Arial" w:hAnsi="Arial" w:cs="Arial"/>
          <w:sz w:val="20"/>
          <w:szCs w:val="20"/>
        </w:rPr>
        <w:t xml:space="preserve"> in 2025/26. This reflects a mixed picture across the portfolio: expenditure increased in a number of areas because of pay uplifts, inflation, additional workforce support, and continuing demand and complexity pressures, while other services delivered reductions through stronger commissioning control, vacancy management, contract review activity and service redesign.</w:t>
      </w:r>
    </w:p>
    <w:p w14:paraId="54A1ADB8" w14:textId="77777777" w:rsidR="00FB3EB7" w:rsidRDefault="00FB3EB7">
      <w:pPr>
        <w:rPr>
          <w:b/>
          <w:bCs/>
        </w:rPr>
      </w:pPr>
    </w:p>
    <w:p w14:paraId="15EAAF95" w14:textId="45E3F102" w:rsidR="001526E3" w:rsidRDefault="001526E3">
      <w:pPr>
        <w:rPr>
          <w:kern w:val="2"/>
          <w14:ligatures w14:val="standardContextual"/>
        </w:rPr>
      </w:pPr>
      <w:r>
        <w:rPr>
          <w:b/>
          <w:bCs/>
        </w:rPr>
        <w:t>Key drivers</w:t>
      </w:r>
    </w:p>
    <w:p w14:paraId="6B243296" w14:textId="77777777" w:rsidR="00BD728D" w:rsidRPr="00BD728D" w:rsidRDefault="00BD728D" w:rsidP="0055365D">
      <w:pPr>
        <w:pStyle w:val="ListParagraph"/>
        <w:numPr>
          <w:ilvl w:val="0"/>
          <w:numId w:val="17"/>
        </w:numPr>
        <w:spacing w:after="120" w:line="20" w:lineRule="atLeast"/>
        <w:ind w:left="714" w:hanging="357"/>
        <w:rPr>
          <w:kern w:val="2"/>
          <w:sz w:val="24"/>
          <w:szCs w:val="24"/>
          <w14:ligatures w14:val="standardContextual"/>
        </w:rPr>
      </w:pPr>
      <w:r w:rsidRPr="00BD728D">
        <w:rPr>
          <w:rFonts w:ascii="Arial" w:hAnsi="Arial" w:cs="Arial"/>
          <w:sz w:val="20"/>
          <w:szCs w:val="20"/>
        </w:rPr>
        <w:t>Pay and non-pay inflation across both partner-delivered and commissioned services.</w:t>
      </w:r>
    </w:p>
    <w:p w14:paraId="66B59136" w14:textId="77777777" w:rsidR="00BD728D" w:rsidRPr="00BD728D" w:rsidRDefault="00BD728D" w:rsidP="0055365D">
      <w:pPr>
        <w:pStyle w:val="ListParagraph"/>
        <w:numPr>
          <w:ilvl w:val="0"/>
          <w:numId w:val="17"/>
        </w:numPr>
        <w:spacing w:after="120" w:line="20" w:lineRule="atLeast"/>
        <w:ind w:left="714" w:hanging="357"/>
        <w:rPr>
          <w:sz w:val="24"/>
          <w:szCs w:val="24"/>
        </w:rPr>
      </w:pPr>
      <w:r w:rsidRPr="00BD728D">
        <w:rPr>
          <w:rFonts w:ascii="Arial" w:hAnsi="Arial" w:cs="Arial"/>
          <w:sz w:val="20"/>
          <w:szCs w:val="20"/>
        </w:rPr>
        <w:t>Continuing demand growth and increasing complexity of need, particularly in high-cost packages of care, including Learning Disabilities and Mental Health &amp; Addictions.</w:t>
      </w:r>
    </w:p>
    <w:p w14:paraId="5E90B409" w14:textId="77777777" w:rsidR="00BD728D" w:rsidRPr="00BD728D" w:rsidRDefault="00BD728D" w:rsidP="0055365D">
      <w:pPr>
        <w:pStyle w:val="ListParagraph"/>
        <w:numPr>
          <w:ilvl w:val="0"/>
          <w:numId w:val="17"/>
        </w:numPr>
        <w:spacing w:after="120" w:line="20" w:lineRule="atLeast"/>
        <w:ind w:left="714" w:hanging="357"/>
        <w:rPr>
          <w:sz w:val="24"/>
          <w:szCs w:val="24"/>
        </w:rPr>
      </w:pPr>
      <w:r w:rsidRPr="00BD728D">
        <w:rPr>
          <w:rFonts w:ascii="Arial" w:hAnsi="Arial" w:cs="Arial"/>
          <w:sz w:val="20"/>
          <w:szCs w:val="20"/>
        </w:rPr>
        <w:t>Volatility in prescribing costs and volumes.</w:t>
      </w:r>
    </w:p>
    <w:p w14:paraId="70579AED" w14:textId="77777777" w:rsidR="00BD728D" w:rsidRPr="00C21DFF" w:rsidRDefault="00BD728D" w:rsidP="0055365D">
      <w:pPr>
        <w:pStyle w:val="ListParagraph"/>
        <w:numPr>
          <w:ilvl w:val="0"/>
          <w:numId w:val="17"/>
        </w:numPr>
        <w:spacing w:after="120" w:line="20" w:lineRule="atLeast"/>
        <w:ind w:left="714" w:hanging="357"/>
        <w:rPr>
          <w:sz w:val="24"/>
          <w:szCs w:val="24"/>
        </w:rPr>
      </w:pPr>
      <w:r w:rsidRPr="00BD728D">
        <w:rPr>
          <w:rFonts w:ascii="Arial" w:hAnsi="Arial" w:cs="Arial"/>
          <w:sz w:val="20"/>
          <w:szCs w:val="20"/>
        </w:rPr>
        <w:t>System-flow impacts, including delayed discharge and associated commissioned capacity pressures, which can shift cost between settings and increase reliance on interim solutions.</w:t>
      </w:r>
    </w:p>
    <w:p w14:paraId="59C99444" w14:textId="19E28B51" w:rsidR="00BD728D" w:rsidRDefault="00BD728D">
      <w:pPr>
        <w:rPr>
          <w:kern w:val="2"/>
          <w14:ligatures w14:val="standardContextual"/>
        </w:rPr>
      </w:pPr>
      <w:r>
        <w:rPr>
          <w:b/>
          <w:bCs/>
        </w:rPr>
        <w:t>Most material movements</w:t>
      </w:r>
    </w:p>
    <w:p w14:paraId="24BCB482" w14:textId="7FB66D29" w:rsidR="00EB255B" w:rsidRPr="00E30DFE" w:rsidRDefault="00EB255B" w:rsidP="0055365D">
      <w:pPr>
        <w:pStyle w:val="ListParagraph"/>
        <w:numPr>
          <w:ilvl w:val="0"/>
          <w:numId w:val="16"/>
        </w:numPr>
        <w:spacing w:after="120" w:line="20" w:lineRule="atLeast"/>
        <w:ind w:left="714" w:hanging="357"/>
        <w:rPr>
          <w:rFonts w:ascii="Arial" w:hAnsi="Arial" w:cs="Arial"/>
          <w:kern w:val="2"/>
          <w:sz w:val="20"/>
          <w:szCs w:val="20"/>
          <w14:ligatures w14:val="standardContextual"/>
        </w:rPr>
      </w:pPr>
      <w:r w:rsidRPr="00D457F8">
        <w:rPr>
          <w:rFonts w:ascii="Arial" w:hAnsi="Arial" w:cs="Arial"/>
          <w:b/>
          <w:bCs/>
          <w:sz w:val="20"/>
          <w:szCs w:val="20"/>
        </w:rPr>
        <w:t>Primary Care</w:t>
      </w:r>
      <w:r w:rsidRPr="00D457F8">
        <w:rPr>
          <w:rFonts w:ascii="Arial" w:hAnsi="Arial" w:cs="Arial"/>
          <w:sz w:val="20"/>
          <w:szCs w:val="20"/>
        </w:rPr>
        <w:t xml:space="preserve"> increased by </w:t>
      </w:r>
      <w:r w:rsidRPr="00D457F8">
        <w:rPr>
          <w:rFonts w:ascii="Arial" w:hAnsi="Arial" w:cs="Arial"/>
          <w:b/>
          <w:bCs/>
          <w:sz w:val="20"/>
          <w:szCs w:val="20"/>
        </w:rPr>
        <w:t>£3.408m (6.8%)</w:t>
      </w:r>
      <w:r w:rsidR="00D26EFA">
        <w:rPr>
          <w:rFonts w:ascii="Arial" w:hAnsi="Arial" w:cs="Arial"/>
          <w:b/>
          <w:bCs/>
          <w:sz w:val="20"/>
          <w:szCs w:val="20"/>
        </w:rPr>
        <w:t>,</w:t>
      </w:r>
      <w:r w:rsidRPr="00E30DFE">
        <w:rPr>
          <w:rFonts w:ascii="Arial" w:hAnsi="Arial" w:cs="Arial"/>
          <w:sz w:val="20"/>
          <w:szCs w:val="20"/>
        </w:rPr>
        <w:t xml:space="preserve"> driven mainly by a 45% rise in Board Administered Funds, reflecting Scottish Government workforce payments to support GP practice recruitment, retention and increased service capacity. Expenditure was also influenced by the 2025/26 Doctors’ and Dentists’ Review Body (DDRB) pay uplift, alongside increased utilisation of GP services. Aberdeen City GP practice lists grew by 3% compared to the previous year, contributing to higher demand for primary care services.</w:t>
      </w:r>
    </w:p>
    <w:p w14:paraId="7665A8F4" w14:textId="564BFA79" w:rsidR="00EB255B" w:rsidRPr="006F66AE"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lastRenderedPageBreak/>
        <w:t>Set Aside Services</w:t>
      </w:r>
      <w:r w:rsidRPr="00D457F8">
        <w:rPr>
          <w:rFonts w:ascii="Arial" w:hAnsi="Arial" w:cs="Arial"/>
          <w:sz w:val="20"/>
          <w:szCs w:val="20"/>
        </w:rPr>
        <w:t xml:space="preserve"> increased by </w:t>
      </w:r>
      <w:r w:rsidRPr="00D457F8">
        <w:rPr>
          <w:rFonts w:ascii="Arial" w:hAnsi="Arial" w:cs="Arial"/>
          <w:b/>
          <w:bCs/>
          <w:sz w:val="20"/>
          <w:szCs w:val="20"/>
        </w:rPr>
        <w:t>£3.350m (5.7%)</w:t>
      </w:r>
      <w:r w:rsidR="00D26EFA">
        <w:rPr>
          <w:rFonts w:ascii="Arial" w:hAnsi="Arial" w:cs="Arial"/>
          <w:b/>
          <w:bCs/>
          <w:sz w:val="20"/>
          <w:szCs w:val="20"/>
        </w:rPr>
        <w:t xml:space="preserve">, </w:t>
      </w:r>
      <w:r w:rsidRPr="006F66AE">
        <w:rPr>
          <w:rFonts w:ascii="Arial" w:hAnsi="Arial" w:cs="Arial"/>
          <w:sz w:val="20"/>
          <w:szCs w:val="20"/>
        </w:rPr>
        <w:t>consistent with Scottish Government baseline uplifts and wider inflationary pressures during the year. It also reflects higher staffing costs within Unscheduled Care pathways, partly driven by requirements associated with the Health and Care (Staffing) Act.</w:t>
      </w:r>
    </w:p>
    <w:p w14:paraId="530A95E3" w14:textId="2A347E49" w:rsidR="00790BCC" w:rsidRPr="00790BCC" w:rsidRDefault="007F5C70" w:rsidP="0055365D">
      <w:pPr>
        <w:pStyle w:val="ListParagraph"/>
        <w:numPr>
          <w:ilvl w:val="0"/>
          <w:numId w:val="16"/>
        </w:numPr>
        <w:spacing w:after="120" w:line="20" w:lineRule="atLeast"/>
        <w:ind w:left="714" w:hanging="357"/>
        <w:rPr>
          <w:rFonts w:ascii="Arial" w:hAnsi="Arial" w:cs="Arial"/>
          <w:sz w:val="20"/>
          <w:szCs w:val="20"/>
        </w:rPr>
      </w:pPr>
      <w:r>
        <w:rPr>
          <w:rFonts w:ascii="Arial" w:hAnsi="Arial" w:cs="Arial"/>
          <w:b/>
          <w:bCs/>
          <w:sz w:val="20"/>
          <w:szCs w:val="20"/>
        </w:rPr>
        <w:t>Learning Disabilities</w:t>
      </w:r>
      <w:r>
        <w:rPr>
          <w:rFonts w:ascii="Arial" w:hAnsi="Arial" w:cs="Arial"/>
          <w:sz w:val="20"/>
          <w:szCs w:val="20"/>
        </w:rPr>
        <w:t xml:space="preserve"> increased by </w:t>
      </w:r>
      <w:r>
        <w:rPr>
          <w:rFonts w:ascii="Arial" w:hAnsi="Arial" w:cs="Arial"/>
          <w:b/>
          <w:bCs/>
          <w:sz w:val="20"/>
          <w:szCs w:val="20"/>
        </w:rPr>
        <w:t>£3.102m (6.0%)</w:t>
      </w:r>
      <w:r>
        <w:rPr>
          <w:rFonts w:ascii="Arial" w:hAnsi="Arial" w:cs="Arial"/>
          <w:sz w:val="20"/>
          <w:szCs w:val="20"/>
        </w:rPr>
        <w:t>, reflecting higher staffing and commissioning costs, including safe staffing requirements, long-term absence cover, Real Living Wage uplifts and delays in achieving planned savings from service changes and care package reviews.</w:t>
      </w:r>
      <w:r w:rsidRPr="00184222">
        <w:t xml:space="preserve"> </w:t>
      </w:r>
      <w:r w:rsidR="00790BCC">
        <w:t>H</w:t>
      </w:r>
      <w:r w:rsidR="00790BCC" w:rsidRPr="00790BCC">
        <w:rPr>
          <w:rFonts w:ascii="Arial" w:hAnsi="Arial" w:cs="Arial"/>
          <w:sz w:val="20"/>
          <w:szCs w:val="20"/>
        </w:rPr>
        <w:t>owever, savings are expected to begin flowing from early 2026/27 as service closures and care transitions are completed and the full impact of redesigns is realised, with continued governance, scrutiny and review activity supporting the delivery of efficiencies going forward.</w:t>
      </w:r>
    </w:p>
    <w:p w14:paraId="30E079CE" w14:textId="49C4CC04" w:rsidR="00EB255B" w:rsidRPr="00790BCC"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t>Aberdeen City share of Hosted Services (health)</w:t>
      </w:r>
      <w:r w:rsidRPr="00D457F8">
        <w:rPr>
          <w:rFonts w:ascii="Arial" w:hAnsi="Arial" w:cs="Arial"/>
          <w:sz w:val="20"/>
          <w:szCs w:val="20"/>
        </w:rPr>
        <w:t xml:space="preserve"> increased by </w:t>
      </w:r>
      <w:r w:rsidRPr="00D457F8">
        <w:rPr>
          <w:rFonts w:ascii="Arial" w:hAnsi="Arial" w:cs="Arial"/>
          <w:b/>
          <w:bCs/>
          <w:sz w:val="20"/>
          <w:szCs w:val="20"/>
        </w:rPr>
        <w:t>£1.189m (3.6%)</w:t>
      </w:r>
      <w:r w:rsidRPr="00D457F8">
        <w:rPr>
          <w:rFonts w:ascii="Arial" w:hAnsi="Arial" w:cs="Arial"/>
          <w:sz w:val="20"/>
          <w:szCs w:val="20"/>
        </w:rPr>
        <w:t xml:space="preserve">. </w:t>
      </w:r>
      <w:r w:rsidRPr="00790BCC">
        <w:rPr>
          <w:rFonts w:ascii="Arial" w:hAnsi="Arial" w:cs="Arial"/>
          <w:sz w:val="20"/>
          <w:szCs w:val="20"/>
        </w:rPr>
        <w:t>The year-on-year movement is primarily attributable to an increased City share of ongoing cost pressures within the Aberdeenshire-hosted Continence and HMP Grampian services. This was partially offset by a 9% reduction in costs within the City-hosted Specialist Older Adults and Rehabilitation Service (SOARS), reflecting efficiency measures and the planned wind-down of activity ahead of the cessation of service provision at Rosewell House.</w:t>
      </w:r>
    </w:p>
    <w:p w14:paraId="2EADA536" w14:textId="77777777" w:rsidR="00EB255B" w:rsidRPr="00F420A1"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t>Community Health Services</w:t>
      </w:r>
      <w:r w:rsidRPr="00D457F8">
        <w:rPr>
          <w:rFonts w:ascii="Arial" w:hAnsi="Arial" w:cs="Arial"/>
          <w:sz w:val="20"/>
          <w:szCs w:val="20"/>
        </w:rPr>
        <w:t xml:space="preserve"> increased by </w:t>
      </w:r>
      <w:r w:rsidRPr="00D457F8">
        <w:rPr>
          <w:rFonts w:ascii="Arial" w:hAnsi="Arial" w:cs="Arial"/>
          <w:b/>
          <w:bCs/>
          <w:sz w:val="20"/>
          <w:szCs w:val="20"/>
        </w:rPr>
        <w:t>£0.806m (1.6%)</w:t>
      </w:r>
      <w:r w:rsidRPr="00D457F8">
        <w:rPr>
          <w:rFonts w:ascii="Arial" w:hAnsi="Arial" w:cs="Arial"/>
          <w:sz w:val="20"/>
          <w:szCs w:val="20"/>
        </w:rPr>
        <w:t xml:space="preserve">. </w:t>
      </w:r>
      <w:r w:rsidRPr="00F420A1">
        <w:rPr>
          <w:rFonts w:ascii="Arial" w:hAnsi="Arial" w:cs="Arial"/>
          <w:sz w:val="20"/>
          <w:szCs w:val="20"/>
        </w:rPr>
        <w:t>The rise in expenditure was driven by increased funding for pay uplifts, enhanced business support, and investment in priority schemes and new pathways, including Long Covid, Unscheduled Care, and Neurodevelopmental services.</w:t>
      </w:r>
    </w:p>
    <w:p w14:paraId="56A7C622" w14:textId="52913AD2" w:rsidR="00EB255B" w:rsidRPr="00EE7769"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t>Primary Care Prescribing</w:t>
      </w:r>
      <w:r w:rsidRPr="00D457F8">
        <w:rPr>
          <w:rFonts w:ascii="Arial" w:hAnsi="Arial" w:cs="Arial"/>
          <w:sz w:val="20"/>
          <w:szCs w:val="20"/>
        </w:rPr>
        <w:t xml:space="preserve"> increased by </w:t>
      </w:r>
      <w:r w:rsidRPr="00D457F8">
        <w:rPr>
          <w:rFonts w:ascii="Arial" w:hAnsi="Arial" w:cs="Arial"/>
          <w:b/>
          <w:bCs/>
          <w:sz w:val="20"/>
          <w:szCs w:val="20"/>
        </w:rPr>
        <w:t>£0.569m (1.2%)</w:t>
      </w:r>
      <w:r w:rsidRPr="00D457F8">
        <w:rPr>
          <w:rFonts w:ascii="Arial" w:hAnsi="Arial" w:cs="Arial"/>
          <w:sz w:val="20"/>
          <w:szCs w:val="20"/>
        </w:rPr>
        <w:t xml:space="preserve">. </w:t>
      </w:r>
      <w:r w:rsidRPr="00EE7769">
        <w:rPr>
          <w:rFonts w:ascii="Arial" w:hAnsi="Arial" w:cs="Arial"/>
          <w:sz w:val="20"/>
          <w:szCs w:val="20"/>
        </w:rPr>
        <w:t>The rise in expenditure is directly attributable to volume and price increases compared with the prior year. Ongoing demand volatility and cost pressures are anticipated to persist.</w:t>
      </w:r>
      <w:r w:rsidR="00EE7769">
        <w:rPr>
          <w:rFonts w:ascii="Arial" w:hAnsi="Arial" w:cs="Arial"/>
          <w:sz w:val="20"/>
          <w:szCs w:val="20"/>
        </w:rPr>
        <w:t xml:space="preserve"> </w:t>
      </w:r>
      <w:r w:rsidR="00345596" w:rsidRPr="00345596">
        <w:rPr>
          <w:rFonts w:ascii="Arial" w:hAnsi="Arial" w:cs="Arial"/>
          <w:sz w:val="20"/>
          <w:szCs w:val="20"/>
        </w:rPr>
        <w:t xml:space="preserve">Prescribing is a reactive service, providing medicines to keep people well in the community. The nature of the service can be difficult to manage financial cost pressures however work </w:t>
      </w:r>
      <w:r w:rsidR="00F7237C">
        <w:rPr>
          <w:rFonts w:ascii="Arial" w:hAnsi="Arial" w:cs="Arial"/>
          <w:sz w:val="20"/>
          <w:szCs w:val="20"/>
        </w:rPr>
        <w:t>is on-going</w:t>
      </w:r>
      <w:r w:rsidR="00345596" w:rsidRPr="00345596">
        <w:rPr>
          <w:rFonts w:ascii="Arial" w:hAnsi="Arial" w:cs="Arial"/>
          <w:sz w:val="20"/>
          <w:szCs w:val="20"/>
        </w:rPr>
        <w:t xml:space="preserve"> across different classes of medication to identify how these costs could be managed down.</w:t>
      </w:r>
    </w:p>
    <w:p w14:paraId="7D68E50F" w14:textId="77777777" w:rsidR="00EB255B" w:rsidRPr="00183D52"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t>Out of Area Treatments</w:t>
      </w:r>
      <w:r w:rsidRPr="00D457F8">
        <w:rPr>
          <w:rFonts w:ascii="Arial" w:hAnsi="Arial" w:cs="Arial"/>
          <w:sz w:val="20"/>
          <w:szCs w:val="20"/>
        </w:rPr>
        <w:t xml:space="preserve"> increased by </w:t>
      </w:r>
      <w:r w:rsidRPr="00D457F8">
        <w:rPr>
          <w:rFonts w:ascii="Arial" w:hAnsi="Arial" w:cs="Arial"/>
          <w:b/>
          <w:bCs/>
          <w:sz w:val="20"/>
          <w:szCs w:val="20"/>
        </w:rPr>
        <w:t>£0.699m (23.0%)</w:t>
      </w:r>
      <w:r w:rsidRPr="00D457F8">
        <w:rPr>
          <w:rFonts w:ascii="Arial" w:hAnsi="Arial" w:cs="Arial"/>
          <w:sz w:val="20"/>
          <w:szCs w:val="20"/>
        </w:rPr>
        <w:t xml:space="preserve">. </w:t>
      </w:r>
      <w:r w:rsidRPr="00183D52">
        <w:rPr>
          <w:rFonts w:ascii="Arial" w:hAnsi="Arial" w:cs="Arial"/>
          <w:sz w:val="20"/>
          <w:szCs w:val="20"/>
        </w:rPr>
        <w:t>The increase in costs was primarily driven by higher nursing requirements associated with increased patient placements during the year. This was compounded by inflationary pressures, which led to higher provider costs, including in-year contract uplifts.</w:t>
      </w:r>
    </w:p>
    <w:p w14:paraId="3C286111" w14:textId="569A159F" w:rsidR="00EB255B" w:rsidRPr="009D671A" w:rsidRDefault="00EB255B" w:rsidP="0055365D">
      <w:pPr>
        <w:pStyle w:val="ListParagraph"/>
        <w:numPr>
          <w:ilvl w:val="0"/>
          <w:numId w:val="16"/>
        </w:numPr>
        <w:spacing w:after="120" w:line="20" w:lineRule="atLeast"/>
        <w:ind w:left="714" w:hanging="357"/>
        <w:rPr>
          <w:rFonts w:ascii="Arial" w:hAnsi="Arial" w:cs="Arial"/>
          <w:sz w:val="20"/>
          <w:szCs w:val="20"/>
        </w:rPr>
      </w:pPr>
      <w:r w:rsidRPr="00D457F8">
        <w:rPr>
          <w:rFonts w:ascii="Arial" w:hAnsi="Arial" w:cs="Arial"/>
          <w:b/>
          <w:bCs/>
          <w:sz w:val="20"/>
          <w:szCs w:val="20"/>
        </w:rPr>
        <w:t>Criminal Justice</w:t>
      </w:r>
      <w:r w:rsidRPr="00D457F8">
        <w:rPr>
          <w:rFonts w:ascii="Arial" w:hAnsi="Arial" w:cs="Arial"/>
          <w:sz w:val="20"/>
          <w:szCs w:val="20"/>
        </w:rPr>
        <w:t xml:space="preserve"> increased by </w:t>
      </w:r>
      <w:r w:rsidRPr="00D457F8">
        <w:rPr>
          <w:rFonts w:ascii="Arial" w:hAnsi="Arial" w:cs="Arial"/>
          <w:b/>
          <w:bCs/>
          <w:sz w:val="20"/>
          <w:szCs w:val="20"/>
        </w:rPr>
        <w:t>£0.267m</w:t>
      </w:r>
      <w:r w:rsidRPr="00D457F8">
        <w:rPr>
          <w:rFonts w:ascii="Arial" w:hAnsi="Arial" w:cs="Arial"/>
          <w:sz w:val="20"/>
          <w:szCs w:val="20"/>
        </w:rPr>
        <w:t xml:space="preserve">. </w:t>
      </w:r>
      <w:r w:rsidRPr="009D671A">
        <w:rPr>
          <w:rFonts w:ascii="Arial" w:hAnsi="Arial" w:cs="Arial"/>
          <w:sz w:val="20"/>
          <w:szCs w:val="20"/>
        </w:rPr>
        <w:t>This reflects the recognition of the second buy-out payment relating to the 35-hour working week as a provision</w:t>
      </w:r>
      <w:r w:rsidR="007B125B" w:rsidRPr="009D671A">
        <w:rPr>
          <w:rFonts w:ascii="Arial" w:hAnsi="Arial" w:cs="Arial"/>
          <w:sz w:val="20"/>
          <w:szCs w:val="20"/>
        </w:rPr>
        <w:t xml:space="preserve"> </w:t>
      </w:r>
      <w:r w:rsidR="00DF1F12" w:rsidRPr="009D671A">
        <w:rPr>
          <w:rFonts w:ascii="Arial" w:hAnsi="Arial" w:cs="Arial"/>
          <w:sz w:val="20"/>
          <w:szCs w:val="20"/>
        </w:rPr>
        <w:t xml:space="preserve">in </w:t>
      </w:r>
      <w:r w:rsidR="007B125B" w:rsidRPr="009D671A">
        <w:rPr>
          <w:rFonts w:ascii="Arial" w:hAnsi="Arial" w:cs="Arial"/>
          <w:sz w:val="20"/>
          <w:szCs w:val="20"/>
        </w:rPr>
        <w:t>2025/26</w:t>
      </w:r>
      <w:r w:rsidR="00A03D3E">
        <w:rPr>
          <w:rFonts w:ascii="Arial" w:hAnsi="Arial" w:cs="Arial"/>
          <w:sz w:val="20"/>
          <w:szCs w:val="20"/>
        </w:rPr>
        <w:t>,</w:t>
      </w:r>
      <w:r w:rsidRPr="009D671A">
        <w:rPr>
          <w:rFonts w:ascii="Arial" w:hAnsi="Arial" w:cs="Arial"/>
          <w:sz w:val="20"/>
          <w:szCs w:val="20"/>
        </w:rPr>
        <w:t xml:space="preserve"> with corresponding savings expected to be realised from 2026/27 onwards.</w:t>
      </w:r>
    </w:p>
    <w:p w14:paraId="312A2BA1" w14:textId="737C0968" w:rsidR="00222BA8" w:rsidRPr="00222BA8" w:rsidRDefault="00EB255B" w:rsidP="0055365D">
      <w:pPr>
        <w:pStyle w:val="ListParagraph"/>
        <w:numPr>
          <w:ilvl w:val="0"/>
          <w:numId w:val="16"/>
        </w:numPr>
        <w:spacing w:after="120" w:line="20" w:lineRule="atLeast"/>
        <w:ind w:left="714" w:hanging="357"/>
        <w:rPr>
          <w:rFonts w:ascii="Arial" w:hAnsi="Arial" w:cs="Arial"/>
          <w:sz w:val="20"/>
          <w:szCs w:val="20"/>
        </w:rPr>
      </w:pPr>
      <w:r w:rsidRPr="00222BA8">
        <w:rPr>
          <w:rFonts w:ascii="Arial" w:hAnsi="Arial" w:cs="Arial"/>
          <w:b/>
          <w:bCs/>
          <w:sz w:val="20"/>
          <w:szCs w:val="20"/>
        </w:rPr>
        <w:t>Older People &amp; Physical and Sensory Disabilities</w:t>
      </w:r>
      <w:r w:rsidRPr="00222BA8">
        <w:rPr>
          <w:rFonts w:ascii="Arial" w:hAnsi="Arial" w:cs="Arial"/>
          <w:sz w:val="20"/>
          <w:szCs w:val="20"/>
        </w:rPr>
        <w:t xml:space="preserve"> reduced by </w:t>
      </w:r>
      <w:r w:rsidRPr="00222BA8">
        <w:rPr>
          <w:rFonts w:ascii="Arial" w:hAnsi="Arial" w:cs="Arial"/>
          <w:b/>
          <w:bCs/>
          <w:sz w:val="20"/>
          <w:szCs w:val="20"/>
        </w:rPr>
        <w:t>£5.211m (4.7%)</w:t>
      </w:r>
      <w:r w:rsidRPr="00222BA8">
        <w:rPr>
          <w:rFonts w:ascii="Arial" w:hAnsi="Arial" w:cs="Arial"/>
          <w:sz w:val="20"/>
          <w:szCs w:val="20"/>
        </w:rPr>
        <w:t xml:space="preserve">. </w:t>
      </w:r>
      <w:r w:rsidR="00222BA8" w:rsidRPr="00222BA8">
        <w:rPr>
          <w:rFonts w:ascii="Arial" w:hAnsi="Arial" w:cs="Arial"/>
          <w:sz w:val="20"/>
          <w:szCs w:val="20"/>
        </w:rPr>
        <w:t>Significant savings were delivered, mainly through reduced commissioning costs, supported by an equivalency model that improved consistency in care provision and stronger oversight to ensure eligibility criteria were applied consistently. Enhanced governance, including strengthened panel arrangements and increased review activity across care services, alongside closer collaboration with providers, contract renegotiation and clearer communication with service users, also contributed. Improvements in charging practices and a wider cultural shift towards stronger financial awareness among frontline staff reinforced these measures. These savings were achieved alongside operational benefits, including reduced unmet need, improved management of care home capacity and fewer delayed discharges, with additional staffing savings arising from tighter recruitment controls, voluntary severance and early retirement.</w:t>
      </w:r>
    </w:p>
    <w:p w14:paraId="7832A377" w14:textId="77777777" w:rsidR="00636122" w:rsidRPr="00636122" w:rsidRDefault="00EB255B" w:rsidP="0055365D">
      <w:pPr>
        <w:pStyle w:val="ListParagraph"/>
        <w:numPr>
          <w:ilvl w:val="0"/>
          <w:numId w:val="16"/>
        </w:numPr>
        <w:spacing w:after="120" w:line="20" w:lineRule="atLeast"/>
        <w:ind w:left="714" w:hanging="357"/>
        <w:rPr>
          <w:rFonts w:ascii="Arial" w:hAnsi="Arial" w:cs="Arial"/>
          <w:sz w:val="20"/>
          <w:szCs w:val="20"/>
        </w:rPr>
      </w:pPr>
      <w:r w:rsidRPr="00636122">
        <w:rPr>
          <w:rFonts w:ascii="Arial" w:hAnsi="Arial" w:cs="Arial"/>
          <w:b/>
          <w:bCs/>
          <w:sz w:val="20"/>
          <w:szCs w:val="20"/>
        </w:rPr>
        <w:t>Mental Health &amp; Addictions</w:t>
      </w:r>
      <w:r w:rsidRPr="00636122">
        <w:rPr>
          <w:rFonts w:ascii="Arial" w:hAnsi="Arial" w:cs="Arial"/>
          <w:sz w:val="20"/>
          <w:szCs w:val="20"/>
        </w:rPr>
        <w:t xml:space="preserve"> reduced by </w:t>
      </w:r>
      <w:r w:rsidRPr="00636122">
        <w:rPr>
          <w:rFonts w:ascii="Arial" w:hAnsi="Arial" w:cs="Arial"/>
          <w:b/>
          <w:bCs/>
          <w:sz w:val="20"/>
          <w:szCs w:val="20"/>
        </w:rPr>
        <w:t>£0.505m (1.6%)</w:t>
      </w:r>
      <w:r w:rsidRPr="00636122">
        <w:rPr>
          <w:rFonts w:ascii="Arial" w:hAnsi="Arial" w:cs="Arial"/>
          <w:sz w:val="20"/>
          <w:szCs w:val="20"/>
        </w:rPr>
        <w:t xml:space="preserve">. </w:t>
      </w:r>
      <w:r w:rsidR="00636122" w:rsidRPr="00636122">
        <w:rPr>
          <w:rFonts w:ascii="Arial" w:hAnsi="Arial" w:cs="Arial"/>
          <w:sz w:val="20"/>
          <w:szCs w:val="20"/>
        </w:rPr>
        <w:t>Mental Health services achieved an 11% reduction in commissioning costs, largely due to non-renewal of some contracts, partly offset by a 7% increase in staffing costs reflecting unachieved vacancy savings, with recruitment pressures driven by the statutory requirements of Mental Health, Substance Misuse and Out of Hours services.</w:t>
      </w:r>
    </w:p>
    <w:p w14:paraId="6F870A84" w14:textId="77777777" w:rsidR="00EB255B" w:rsidRPr="005223A6" w:rsidRDefault="00EB255B" w:rsidP="0055365D">
      <w:pPr>
        <w:spacing w:after="0" w:line="20" w:lineRule="atLeast"/>
        <w:rPr>
          <w:rFonts w:ascii="Arial" w:hAnsi="Arial" w:cs="Arial"/>
          <w:sz w:val="20"/>
          <w:szCs w:val="20"/>
        </w:rPr>
      </w:pPr>
      <w:r w:rsidRPr="007D5029">
        <w:rPr>
          <w:rFonts w:ascii="Arial" w:hAnsi="Arial" w:cs="Arial"/>
          <w:sz w:val="20"/>
          <w:szCs w:val="20"/>
        </w:rPr>
        <w:t xml:space="preserve">Overall, the year-on-year movement demonstrates that, while some reductions were achieved through stronger controls, review activity and tighter workforce management, the underlying cost base remains under pressure from inflation, pay awards, prescribing volatility, demand growth and increasing complexity of need. In several areas, particularly Learning Disabilities, Primary Care, Set </w:t>
      </w:r>
      <w:r w:rsidRPr="007D5029">
        <w:rPr>
          <w:rFonts w:ascii="Arial" w:hAnsi="Arial" w:cs="Arial"/>
          <w:sz w:val="20"/>
          <w:szCs w:val="20"/>
        </w:rPr>
        <w:lastRenderedPageBreak/>
        <w:t>Aside Services and Hosted Services, expenditure growth reflects structural factors that will continue to require close monitoring and active management in 2026/27.</w:t>
      </w:r>
    </w:p>
    <w:p w14:paraId="74FD82D7" w14:textId="77777777" w:rsidR="005223A6" w:rsidRDefault="005223A6" w:rsidP="0055365D">
      <w:pPr>
        <w:spacing w:after="0" w:line="20" w:lineRule="atLeast"/>
        <w:rPr>
          <w:rFonts w:ascii="Arial" w:hAnsi="Arial" w:cs="Arial"/>
          <w:sz w:val="20"/>
          <w:szCs w:val="20"/>
        </w:rPr>
      </w:pPr>
    </w:p>
    <w:p w14:paraId="345D9D1A" w14:textId="5034E3FE" w:rsidR="00D12411" w:rsidRDefault="00D12411" w:rsidP="0055365D">
      <w:pPr>
        <w:spacing w:after="0" w:line="20" w:lineRule="atLeast"/>
        <w:rPr>
          <w:rFonts w:ascii="Arial" w:hAnsi="Arial" w:cs="Arial"/>
          <w:sz w:val="20"/>
          <w:szCs w:val="20"/>
        </w:rPr>
      </w:pPr>
      <w:r>
        <w:rPr>
          <w:rFonts w:ascii="Arial" w:hAnsi="Arial" w:cs="Arial"/>
          <w:sz w:val="20"/>
          <w:szCs w:val="20"/>
        </w:rPr>
        <w:t xml:space="preserve">Financial performance is not only about achieving budget balance; it is also about whether resources are being used effectively to deliver Best Value and improve outcomes. During 2025/26, strengthened financial </w:t>
      </w:r>
      <w:r w:rsidR="00DB7502">
        <w:rPr>
          <w:rFonts w:ascii="Arial" w:hAnsi="Arial" w:cs="Arial"/>
          <w:sz w:val="20"/>
          <w:szCs w:val="20"/>
        </w:rPr>
        <w:t>resilience</w:t>
      </w:r>
      <w:r>
        <w:rPr>
          <w:rFonts w:ascii="Arial" w:hAnsi="Arial" w:cs="Arial"/>
          <w:sz w:val="20"/>
          <w:szCs w:val="20"/>
        </w:rPr>
        <w:t>, vacancy management, commissioning review activity and tighter scrutiny of expenditure contributed to improved control of the year-end position. The continuing requirement is to ensure that financial decisions support safe, person-centred services, enable transformation aligned to the Strategic Plan, and shift resources over time towards prevention, community-based support and sustainable models of care.</w:t>
      </w:r>
    </w:p>
    <w:p w14:paraId="0902466F" w14:textId="77777777" w:rsidR="003C0351" w:rsidRDefault="003C0351" w:rsidP="0055365D">
      <w:pPr>
        <w:spacing w:after="0" w:line="20" w:lineRule="atLeast"/>
        <w:rPr>
          <w:rFonts w:ascii="Arial" w:hAnsi="Arial" w:cs="Arial"/>
          <w:sz w:val="20"/>
          <w:szCs w:val="20"/>
        </w:rPr>
      </w:pPr>
    </w:p>
    <w:p w14:paraId="48E590A1" w14:textId="77777777" w:rsidR="003C0351" w:rsidRPr="003C0351" w:rsidRDefault="003C0351" w:rsidP="0055365D">
      <w:pPr>
        <w:spacing w:after="0" w:line="20" w:lineRule="atLeast"/>
        <w:rPr>
          <w:rFonts w:ascii="Arial" w:hAnsi="Arial" w:cs="Arial"/>
          <w:sz w:val="20"/>
          <w:szCs w:val="20"/>
        </w:rPr>
      </w:pPr>
      <w:r w:rsidRPr="003C0351">
        <w:rPr>
          <w:rFonts w:ascii="Arial" w:hAnsi="Arial" w:cs="Arial"/>
          <w:sz w:val="20"/>
          <w:szCs w:val="20"/>
        </w:rPr>
        <w:t>Taken together, the 2025/26 outturn demonstrates improved in-year financial control, but it also confirms that the IJB continues to face significant underlying affordability pressures that will require recurring savings, service redesign and careful management of demand if financial sustainability is to be achieved over the medium term.</w:t>
      </w:r>
    </w:p>
    <w:p w14:paraId="4C3E463F" w14:textId="77777777" w:rsidR="003C0351" w:rsidRPr="00863D82" w:rsidRDefault="003C0351" w:rsidP="005223A6">
      <w:pPr>
        <w:spacing w:after="0" w:line="240" w:lineRule="auto"/>
        <w:rPr>
          <w:rFonts w:ascii="Arial" w:hAnsi="Arial" w:cs="Arial"/>
          <w:sz w:val="20"/>
          <w:szCs w:val="20"/>
        </w:rPr>
      </w:pPr>
    </w:p>
    <w:p w14:paraId="1F910579" w14:textId="7B38DAFC" w:rsidR="00F43864" w:rsidRDefault="00B8715B" w:rsidP="00CC57C1">
      <w:pPr>
        <w:pStyle w:val="Heading2"/>
        <w:jc w:val="left"/>
        <w:rPr>
          <w:rFonts w:ascii="Arial" w:hAnsi="Arial" w:cs="Arial"/>
        </w:rPr>
      </w:pPr>
      <w:bookmarkStart w:id="12" w:name="_Toc232169343"/>
      <w:r w:rsidRPr="00CC57C1">
        <w:rPr>
          <w:rFonts w:ascii="Arial" w:hAnsi="Arial" w:cs="Arial"/>
        </w:rPr>
        <w:t xml:space="preserve">1.5 </w:t>
      </w:r>
      <w:r w:rsidR="2D2FA9DB" w:rsidRPr="00CC57C1">
        <w:rPr>
          <w:rFonts w:ascii="Arial" w:hAnsi="Arial" w:cs="Arial"/>
        </w:rPr>
        <w:t xml:space="preserve"> </w:t>
      </w:r>
      <w:r w:rsidR="00102FAB" w:rsidRPr="00102FAB">
        <w:rPr>
          <w:rFonts w:ascii="Arial" w:hAnsi="Arial" w:cs="Arial"/>
        </w:rPr>
        <w:t>Key risks, mitigations and outlook</w:t>
      </w:r>
      <w:bookmarkEnd w:id="12"/>
    </w:p>
    <w:p w14:paraId="61E8721A" w14:textId="77777777" w:rsidR="00D9646F" w:rsidRDefault="00D9646F" w:rsidP="275D402A">
      <w:pPr>
        <w:spacing w:after="0" w:line="20" w:lineRule="atLeast"/>
        <w:rPr>
          <w:rFonts w:ascii="Arial" w:eastAsia="Aptos" w:hAnsi="Arial" w:cs="Arial"/>
          <w:b/>
          <w:bCs/>
          <w:color w:val="000000" w:themeColor="text1"/>
          <w:sz w:val="20"/>
          <w:szCs w:val="20"/>
        </w:rPr>
      </w:pPr>
    </w:p>
    <w:p w14:paraId="61368912" w14:textId="77777777" w:rsidR="005223A6" w:rsidRDefault="2D2FA9DB" w:rsidP="275D402A">
      <w:pPr>
        <w:spacing w:after="0" w:line="20" w:lineRule="atLeast"/>
        <w:rPr>
          <w:rFonts w:ascii="Arial" w:eastAsia="Aptos" w:hAnsi="Arial" w:cs="Arial"/>
          <w:b/>
          <w:bCs/>
          <w:color w:val="000000" w:themeColor="text1"/>
          <w:sz w:val="20"/>
          <w:szCs w:val="20"/>
        </w:rPr>
      </w:pPr>
      <w:r w:rsidRPr="00C9207C">
        <w:rPr>
          <w:rFonts w:ascii="Arial" w:eastAsia="Aptos" w:hAnsi="Arial" w:cs="Arial"/>
          <w:b/>
          <w:bCs/>
          <w:color w:val="000000" w:themeColor="text1"/>
          <w:sz w:val="20"/>
          <w:szCs w:val="20"/>
        </w:rPr>
        <w:t>Overview</w:t>
      </w:r>
    </w:p>
    <w:p w14:paraId="38F90746" w14:textId="77777777" w:rsidR="00B813F0" w:rsidRPr="00B813F0" w:rsidRDefault="00F43864" w:rsidP="00B813F0">
      <w:pPr>
        <w:spacing w:after="0" w:line="240" w:lineRule="auto"/>
        <w:rPr>
          <w:rFonts w:ascii="Arial" w:hAnsi="Arial" w:cs="Arial"/>
          <w:sz w:val="20"/>
          <w:szCs w:val="20"/>
        </w:rPr>
      </w:pPr>
      <w:r w:rsidRPr="00C9207C">
        <w:rPr>
          <w:rFonts w:ascii="Arial" w:hAnsi="Arial" w:cs="Arial"/>
          <w:sz w:val="20"/>
          <w:szCs w:val="20"/>
        </w:rPr>
        <w:br/>
      </w:r>
      <w:r w:rsidR="00B813F0" w:rsidRPr="00B813F0">
        <w:rPr>
          <w:rFonts w:ascii="Arial" w:hAnsi="Arial" w:cs="Arial"/>
          <w:sz w:val="20"/>
          <w:szCs w:val="20"/>
        </w:rPr>
        <w:t>The IJB operates in a challenging and interdependent environment in which rising demand, increasing complexity of need, workforce pressures, market fragility and continuing financial constraint all affect the Partnership’s ability to deliver its strategic objectives. Effective risk management is therefore central to the IJB’s governance framework and supports safe service delivery, sound decision-making, financial stewardship and delivery of the Strategic Plan 2025–2029.</w:t>
      </w:r>
    </w:p>
    <w:p w14:paraId="2D7BFB66" w14:textId="77777777" w:rsidR="00B813F0" w:rsidRDefault="00B813F0" w:rsidP="00B813F0">
      <w:pPr>
        <w:spacing w:after="0" w:line="240" w:lineRule="auto"/>
        <w:rPr>
          <w:rFonts w:ascii="Arial" w:hAnsi="Arial" w:cs="Arial"/>
          <w:sz w:val="20"/>
          <w:szCs w:val="20"/>
        </w:rPr>
      </w:pPr>
    </w:p>
    <w:p w14:paraId="4498D262" w14:textId="37F7837C" w:rsidR="00B813F0" w:rsidRPr="00B813F0" w:rsidRDefault="00B813F0" w:rsidP="00B813F0">
      <w:pPr>
        <w:spacing w:after="0" w:line="240" w:lineRule="auto"/>
        <w:rPr>
          <w:rFonts w:ascii="Arial" w:hAnsi="Arial" w:cs="Arial"/>
          <w:sz w:val="20"/>
          <w:szCs w:val="20"/>
        </w:rPr>
      </w:pPr>
      <w:r w:rsidRPr="00B813F0">
        <w:rPr>
          <w:rFonts w:ascii="Arial" w:hAnsi="Arial" w:cs="Arial"/>
          <w:sz w:val="20"/>
          <w:szCs w:val="20"/>
        </w:rPr>
        <w:t>The IJB maintains a Strategic Risk Register to identify and monitor the principal risks to delivery of its objectives. The register is reviewed regularly by the Senior Leadership Team and reported through the Risk, Audit and Performance Committee to the IJB. This is supported by the Board Assurance and Escalation Framework, which helps to clarify the IJB’s risk appetite, assurance sources, controls and escalation routes. During 2025/26, the IJB continued to strengthen the link between risk management, financial oversight, performance reporting and transformation governance, recognising that these are closely connected and must be considered together if risks are to be understood and managed effectively.</w:t>
      </w:r>
    </w:p>
    <w:p w14:paraId="2168DA6A" w14:textId="77777777" w:rsidR="00B813F0" w:rsidRDefault="00B813F0" w:rsidP="00B813F0">
      <w:pPr>
        <w:spacing w:after="0" w:line="240" w:lineRule="auto"/>
        <w:rPr>
          <w:rFonts w:ascii="Arial" w:hAnsi="Arial" w:cs="Arial"/>
          <w:sz w:val="20"/>
          <w:szCs w:val="20"/>
        </w:rPr>
      </w:pPr>
    </w:p>
    <w:p w14:paraId="215B7D7F" w14:textId="0868393F" w:rsidR="00463E3A" w:rsidRPr="00463E3A" w:rsidRDefault="00B813F0" w:rsidP="00B813F0">
      <w:pPr>
        <w:spacing w:after="0" w:line="240" w:lineRule="auto"/>
        <w:rPr>
          <w:rFonts w:ascii="Arial" w:hAnsi="Arial" w:cs="Arial"/>
          <w:sz w:val="20"/>
          <w:szCs w:val="20"/>
        </w:rPr>
      </w:pPr>
      <w:r w:rsidRPr="00B813F0">
        <w:rPr>
          <w:rFonts w:ascii="Arial" w:hAnsi="Arial" w:cs="Arial"/>
          <w:sz w:val="20"/>
          <w:szCs w:val="20"/>
        </w:rPr>
        <w:t>The principal risks described below are not standalone issues. Financial sustainability is affected by demand growth, prescribing pressures, workforce capacity, the resilience of commissioned services, and whole-system flow. In turn, those factors influence the pace at which transformation can be delivered and the extent to which resources can be shifted towards prevention and community-based support. While the improved year-end financial position for 2025/26 provided some short-term resilience, it does not remove the underlying structural pressures facing the IJB. The section below therefore summarises the most significant risks facing the IJB, the action taken during the year to mitigate them, the key sources of assurance available to the Board, and the outlook for 2026/27 and beyond.</w:t>
      </w:r>
    </w:p>
    <w:p w14:paraId="4102EC14" w14:textId="77777777" w:rsidR="0000341A" w:rsidRPr="00C9207C" w:rsidRDefault="0000341A" w:rsidP="275D402A">
      <w:pPr>
        <w:spacing w:after="0" w:line="20" w:lineRule="atLeast"/>
        <w:rPr>
          <w:rFonts w:ascii="Arial" w:eastAsia="Aptos" w:hAnsi="Arial" w:cs="Arial"/>
          <w:color w:val="000000" w:themeColor="text1"/>
          <w:sz w:val="20"/>
          <w:szCs w:val="20"/>
        </w:rPr>
      </w:pPr>
    </w:p>
    <w:p w14:paraId="70C146E6" w14:textId="77777777" w:rsidR="005D126E" w:rsidRDefault="005D126E">
      <w:pPr>
        <w:spacing w:after="0" w:line="240" w:lineRule="auto"/>
        <w:rPr>
          <w:rFonts w:ascii="Arial" w:eastAsia="Aptos" w:hAnsi="Arial" w:cs="Arial"/>
          <w:color w:val="000000" w:themeColor="text1"/>
          <w:sz w:val="20"/>
          <w:szCs w:val="20"/>
        </w:rPr>
      </w:pPr>
      <w:r>
        <w:rPr>
          <w:rFonts w:ascii="Arial" w:eastAsia="Aptos" w:hAnsi="Arial" w:cs="Arial"/>
          <w:color w:val="000000" w:themeColor="text1"/>
          <w:sz w:val="20"/>
          <w:szCs w:val="20"/>
        </w:rPr>
        <w:br w:type="page"/>
      </w:r>
    </w:p>
    <w:p w14:paraId="3F7F4349" w14:textId="1CA32133" w:rsidR="4FCE31DF" w:rsidRPr="00C9207C" w:rsidRDefault="00A2380E" w:rsidP="7A89419C">
      <w:pPr>
        <w:spacing w:after="0" w:line="20" w:lineRule="atLeast"/>
        <w:rPr>
          <w:rFonts w:ascii="Arial" w:eastAsia="Aptos" w:hAnsi="Arial" w:cs="Arial"/>
          <w:color w:val="000000" w:themeColor="text1"/>
          <w:sz w:val="20"/>
          <w:szCs w:val="20"/>
        </w:rPr>
      </w:pPr>
      <w:r w:rsidRPr="00A2380E">
        <w:rPr>
          <w:rFonts w:ascii="Arial" w:eastAsia="Aptos" w:hAnsi="Arial" w:cs="Arial"/>
          <w:color w:val="000000" w:themeColor="text1"/>
          <w:sz w:val="20"/>
          <w:szCs w:val="20"/>
        </w:rPr>
        <w:lastRenderedPageBreak/>
        <w:t>A summary extract of the register as at March 202</w:t>
      </w:r>
      <w:r>
        <w:rPr>
          <w:rFonts w:ascii="Arial" w:eastAsia="Aptos" w:hAnsi="Arial" w:cs="Arial"/>
          <w:color w:val="000000" w:themeColor="text1"/>
          <w:sz w:val="20"/>
          <w:szCs w:val="20"/>
        </w:rPr>
        <w:t>6 is below</w:t>
      </w:r>
      <w:r w:rsidR="4FCE31DF" w:rsidRPr="00C9207C">
        <w:rPr>
          <w:rFonts w:ascii="Arial" w:eastAsia="Aptos" w:hAnsi="Arial" w:cs="Arial"/>
          <w:color w:val="000000" w:themeColor="text1"/>
          <w:sz w:val="20"/>
          <w:szCs w:val="20"/>
        </w:rPr>
        <w:t>:</w:t>
      </w:r>
    </w:p>
    <w:p w14:paraId="49E1218A" w14:textId="58FB1D2A" w:rsidR="00E968EF" w:rsidRPr="00C9207C" w:rsidRDefault="00E968EF" w:rsidP="7A89419C">
      <w:pPr>
        <w:spacing w:after="0" w:line="20" w:lineRule="atLeast"/>
        <w:rPr>
          <w:rFonts w:ascii="Arial" w:eastAsia="Aptos" w:hAnsi="Arial" w:cs="Arial"/>
          <w:color w:val="000000" w:themeColor="text1"/>
          <w:sz w:val="20"/>
          <w:szCs w:val="20"/>
        </w:rPr>
      </w:pP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010"/>
        <w:gridCol w:w="1963"/>
        <w:gridCol w:w="877"/>
        <w:gridCol w:w="937"/>
        <w:gridCol w:w="1717"/>
      </w:tblGrid>
      <w:tr w:rsidR="008C4956" w:rsidRPr="00BC1633" w14:paraId="1B3527BB" w14:textId="77777777" w:rsidTr="78BE3E9B">
        <w:trPr>
          <w:trHeight w:val="365"/>
          <w:tblHeader/>
        </w:trPr>
        <w:tc>
          <w:tcPr>
            <w:tcW w:w="1861" w:type="dxa"/>
            <w:shd w:val="clear" w:color="auto" w:fill="D9D9D9" w:themeFill="background1" w:themeFillShade="D9"/>
            <w:vAlign w:val="center"/>
            <w:hideMark/>
          </w:tcPr>
          <w:p w14:paraId="2030B2DC" w14:textId="5CC35323"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Risk ID</w:t>
            </w:r>
          </w:p>
        </w:tc>
        <w:tc>
          <w:tcPr>
            <w:tcW w:w="2010" w:type="dxa"/>
            <w:shd w:val="clear" w:color="auto" w:fill="D9D9D9" w:themeFill="background1" w:themeFillShade="D9"/>
            <w:vAlign w:val="center"/>
          </w:tcPr>
          <w:p w14:paraId="3EB311C6" w14:textId="6CC4E72E" w:rsidR="5E4227B9" w:rsidRDefault="5E4227B9" w:rsidP="78BE3E9B">
            <w:pPr>
              <w:spacing w:line="240" w:lineRule="auto"/>
              <w:jc w:val="center"/>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Risk Appetite</w:t>
            </w:r>
            <w:r w:rsidR="6196FDD3" w:rsidRPr="78BE3E9B">
              <w:rPr>
                <w:rFonts w:ascii="Arial" w:eastAsia="Times New Roman" w:hAnsi="Arial" w:cs="Arial"/>
                <w:b/>
                <w:bCs/>
                <w:sz w:val="16"/>
                <w:szCs w:val="16"/>
                <w:lang w:eastAsia="en-GB"/>
              </w:rPr>
              <w:t xml:space="preserve"> </w:t>
            </w:r>
            <w:r w:rsidR="001E68B2">
              <w:rPr>
                <w:rFonts w:ascii="Arial" w:eastAsia="Times New Roman" w:hAnsi="Arial" w:cs="Arial"/>
                <w:b/>
                <w:bCs/>
                <w:sz w:val="16"/>
                <w:szCs w:val="16"/>
                <w:lang w:eastAsia="en-GB"/>
              </w:rPr>
              <w:t>dimension</w:t>
            </w:r>
          </w:p>
        </w:tc>
        <w:tc>
          <w:tcPr>
            <w:tcW w:w="1963" w:type="dxa"/>
            <w:shd w:val="clear" w:color="auto" w:fill="D9D9D9" w:themeFill="background1" w:themeFillShade="D9"/>
            <w:noWrap/>
            <w:vAlign w:val="center"/>
            <w:hideMark/>
          </w:tcPr>
          <w:p w14:paraId="4B110C56"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Risk Description</w:t>
            </w:r>
          </w:p>
        </w:tc>
        <w:tc>
          <w:tcPr>
            <w:tcW w:w="877" w:type="dxa"/>
            <w:shd w:val="clear" w:color="auto" w:fill="D9D9D9" w:themeFill="background1" w:themeFillShade="D9"/>
            <w:vAlign w:val="center"/>
            <w:hideMark/>
          </w:tcPr>
          <w:p w14:paraId="40E3DEB9" w14:textId="150D8E81" w:rsidR="008C4956" w:rsidRPr="00BC1633" w:rsidRDefault="7B06C19F" w:rsidP="002046CF">
            <w:pPr>
              <w:spacing w:after="0" w:line="240" w:lineRule="auto"/>
              <w:jc w:val="center"/>
              <w:rPr>
                <w:rFonts w:ascii="Arial" w:eastAsia="Times New Roman" w:hAnsi="Arial" w:cs="Arial"/>
                <w:b/>
                <w:bCs/>
                <w:sz w:val="16"/>
                <w:szCs w:val="16"/>
                <w:lang w:eastAsia="en-GB"/>
              </w:rPr>
            </w:pPr>
            <w:r w:rsidRPr="221D60FD">
              <w:rPr>
                <w:rFonts w:ascii="Arial" w:eastAsia="Times New Roman" w:hAnsi="Arial" w:cs="Arial"/>
                <w:b/>
                <w:bCs/>
                <w:sz w:val="16"/>
                <w:szCs w:val="16"/>
                <w:lang w:eastAsia="en-GB"/>
              </w:rPr>
              <w:t xml:space="preserve">Current </w:t>
            </w:r>
            <w:r w:rsidR="008C4956" w:rsidRPr="00BC1633">
              <w:rPr>
                <w:rFonts w:ascii="Arial" w:eastAsia="Times New Roman" w:hAnsi="Arial" w:cs="Arial"/>
                <w:b/>
                <w:bCs/>
                <w:sz w:val="16"/>
                <w:szCs w:val="16"/>
                <w:lang w:eastAsia="en-GB"/>
              </w:rPr>
              <w:t>RAG</w:t>
            </w:r>
            <w:r w:rsidR="008C4956">
              <w:br/>
            </w:r>
            <w:r w:rsidR="008C4956" w:rsidRPr="00BC1633">
              <w:rPr>
                <w:rFonts w:ascii="Arial" w:eastAsia="Times New Roman" w:hAnsi="Arial" w:cs="Arial"/>
                <w:b/>
                <w:bCs/>
                <w:sz w:val="16"/>
                <w:szCs w:val="16"/>
                <w:lang w:eastAsia="en-GB"/>
              </w:rPr>
              <w:t xml:space="preserve"> Score</w:t>
            </w:r>
          </w:p>
        </w:tc>
        <w:tc>
          <w:tcPr>
            <w:tcW w:w="937" w:type="dxa"/>
            <w:shd w:val="clear" w:color="auto" w:fill="D9D9D9" w:themeFill="background1" w:themeFillShade="D9"/>
            <w:vAlign w:val="center"/>
            <w:hideMark/>
          </w:tcPr>
          <w:p w14:paraId="4CC1064D"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Target</w:t>
            </w:r>
            <w:r w:rsidRPr="00BC1633">
              <w:rPr>
                <w:rFonts w:ascii="Arial" w:eastAsia="Times New Roman" w:hAnsi="Arial" w:cs="Arial"/>
                <w:b/>
                <w:bCs/>
                <w:sz w:val="16"/>
                <w:szCs w:val="16"/>
                <w:lang w:eastAsia="en-GB"/>
              </w:rPr>
              <w:br/>
              <w:t>RAG Score</w:t>
            </w:r>
          </w:p>
        </w:tc>
        <w:tc>
          <w:tcPr>
            <w:tcW w:w="1717" w:type="dxa"/>
            <w:shd w:val="clear" w:color="auto" w:fill="D9D9D9" w:themeFill="background1" w:themeFillShade="D9"/>
            <w:vAlign w:val="center"/>
            <w:hideMark/>
          </w:tcPr>
          <w:p w14:paraId="50AD1616"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Risk Owner</w:t>
            </w:r>
          </w:p>
        </w:tc>
      </w:tr>
      <w:tr w:rsidR="008C4956" w:rsidRPr="00BC1633" w14:paraId="437C8A72" w14:textId="77777777" w:rsidTr="78BE3E9B">
        <w:trPr>
          <w:trHeight w:val="769"/>
          <w:tblHeader/>
        </w:trPr>
        <w:tc>
          <w:tcPr>
            <w:tcW w:w="1861" w:type="dxa"/>
            <w:vAlign w:val="center"/>
            <w:hideMark/>
          </w:tcPr>
          <w:p w14:paraId="393A726D" w14:textId="38447A05" w:rsidR="008C4956" w:rsidRPr="00BC1633" w:rsidRDefault="008C4956" w:rsidP="00546A37">
            <w:pPr>
              <w:spacing w:after="0" w:line="240" w:lineRule="auto"/>
              <w:rPr>
                <w:rFonts w:ascii="Arial" w:eastAsia="Times New Roman" w:hAnsi="Arial" w:cs="Arial"/>
                <w:sz w:val="16"/>
                <w:szCs w:val="16"/>
                <w:lang w:eastAsia="en-GB"/>
              </w:rPr>
            </w:pPr>
            <w:r w:rsidRPr="00BC1633">
              <w:rPr>
                <w:rFonts w:ascii="Arial" w:eastAsia="Times New Roman" w:hAnsi="Arial" w:cs="Arial"/>
                <w:b/>
                <w:bCs/>
                <w:sz w:val="16"/>
                <w:szCs w:val="16"/>
                <w:lang w:eastAsia="en-GB"/>
              </w:rPr>
              <w:t>SRR 1</w:t>
            </w:r>
            <w:r w:rsidRPr="00BC1633">
              <w:rPr>
                <w:rFonts w:ascii="Arial" w:eastAsia="Times New Roman" w:hAnsi="Arial" w:cs="Arial"/>
                <w:sz w:val="16"/>
                <w:szCs w:val="16"/>
                <w:lang w:eastAsia="en-GB"/>
              </w:rPr>
              <w:t xml:space="preserve"> - Commissioned Services</w:t>
            </w:r>
          </w:p>
        </w:tc>
        <w:tc>
          <w:tcPr>
            <w:tcW w:w="2010" w:type="dxa"/>
            <w:vAlign w:val="center"/>
          </w:tcPr>
          <w:p w14:paraId="08D00C2E" w14:textId="09CC4213" w:rsidR="662BABCB" w:rsidRDefault="662BABCB"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Commissioned and Hosted Services</w:t>
            </w:r>
          </w:p>
        </w:tc>
        <w:tc>
          <w:tcPr>
            <w:tcW w:w="1963" w:type="dxa"/>
            <w:vAlign w:val="center"/>
            <w:hideMark/>
          </w:tcPr>
          <w:p w14:paraId="6DED01C7" w14:textId="77777777"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Risk of commissioned third sector and independent provider services may not be effectively coordinated to meet the needs of local communities.</w:t>
            </w:r>
          </w:p>
        </w:tc>
        <w:tc>
          <w:tcPr>
            <w:tcW w:w="877" w:type="dxa"/>
            <w:shd w:val="clear" w:color="auto" w:fill="FFC000"/>
            <w:vAlign w:val="center"/>
            <w:hideMark/>
          </w:tcPr>
          <w:p w14:paraId="5B00A03A"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16</w:t>
            </w:r>
          </w:p>
        </w:tc>
        <w:tc>
          <w:tcPr>
            <w:tcW w:w="937" w:type="dxa"/>
            <w:shd w:val="clear" w:color="auto" w:fill="FFC000"/>
            <w:vAlign w:val="center"/>
            <w:hideMark/>
          </w:tcPr>
          <w:p w14:paraId="702A86A6"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12</w:t>
            </w:r>
          </w:p>
        </w:tc>
        <w:tc>
          <w:tcPr>
            <w:tcW w:w="1717" w:type="dxa"/>
            <w:vAlign w:val="center"/>
            <w:hideMark/>
          </w:tcPr>
          <w:p w14:paraId="0399EF43"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 xml:space="preserve">Chief Officer Social Work and Lead for Primary Care </w:t>
            </w:r>
          </w:p>
        </w:tc>
      </w:tr>
      <w:tr w:rsidR="008C4956" w:rsidRPr="00BC1633" w14:paraId="57EEF497" w14:textId="77777777" w:rsidTr="78BE3E9B">
        <w:trPr>
          <w:trHeight w:val="769"/>
          <w:tblHeader/>
        </w:trPr>
        <w:tc>
          <w:tcPr>
            <w:tcW w:w="1861" w:type="dxa"/>
            <w:noWrap/>
            <w:vAlign w:val="center"/>
            <w:hideMark/>
          </w:tcPr>
          <w:p w14:paraId="4D1A6544" w14:textId="17D718E3" w:rsidR="008C4956" w:rsidRPr="00BC1633" w:rsidRDefault="008C4956" w:rsidP="00546A37">
            <w:pPr>
              <w:spacing w:after="0" w:line="240" w:lineRule="auto"/>
              <w:rPr>
                <w:rFonts w:ascii="Arial" w:eastAsia="Times New Roman" w:hAnsi="Arial" w:cs="Arial"/>
                <w:sz w:val="16"/>
                <w:szCs w:val="16"/>
                <w:lang w:eastAsia="en-GB"/>
              </w:rPr>
            </w:pPr>
            <w:r w:rsidRPr="00BC1633">
              <w:rPr>
                <w:rFonts w:ascii="Arial" w:eastAsia="Times New Roman" w:hAnsi="Arial" w:cs="Arial"/>
                <w:b/>
                <w:bCs/>
                <w:sz w:val="16"/>
                <w:szCs w:val="16"/>
                <w:lang w:eastAsia="en-GB"/>
              </w:rPr>
              <w:t>SRR 2</w:t>
            </w:r>
            <w:r w:rsidRPr="00BC1633">
              <w:rPr>
                <w:rFonts w:ascii="Arial" w:eastAsia="Times New Roman" w:hAnsi="Arial" w:cs="Arial"/>
                <w:sz w:val="16"/>
                <w:szCs w:val="16"/>
                <w:lang w:eastAsia="en-GB"/>
              </w:rPr>
              <w:t xml:space="preserve"> </w:t>
            </w:r>
            <w:r w:rsidR="05D83615" w:rsidRPr="1BC7DABE">
              <w:rPr>
                <w:rFonts w:ascii="Arial" w:eastAsia="Times New Roman" w:hAnsi="Arial" w:cs="Arial"/>
                <w:sz w:val="16"/>
                <w:szCs w:val="16"/>
                <w:lang w:eastAsia="en-GB"/>
              </w:rPr>
              <w:t>–</w:t>
            </w:r>
            <w:r w:rsidRPr="00BC1633">
              <w:rPr>
                <w:rFonts w:ascii="Arial" w:eastAsia="Times New Roman" w:hAnsi="Arial" w:cs="Arial"/>
                <w:sz w:val="16"/>
                <w:szCs w:val="16"/>
                <w:lang w:eastAsia="en-GB"/>
              </w:rPr>
              <w:t xml:space="preserve"> </w:t>
            </w:r>
            <w:r w:rsidRPr="46D7F35C">
              <w:rPr>
                <w:rFonts w:ascii="Arial" w:eastAsia="Times New Roman" w:hAnsi="Arial" w:cs="Arial"/>
                <w:sz w:val="16"/>
                <w:szCs w:val="16"/>
                <w:lang w:eastAsia="en-GB"/>
              </w:rPr>
              <w:t>Financ</w:t>
            </w:r>
            <w:r w:rsidR="7EB7152A" w:rsidRPr="46D7F35C">
              <w:rPr>
                <w:rFonts w:ascii="Arial" w:eastAsia="Times New Roman" w:hAnsi="Arial" w:cs="Arial"/>
                <w:sz w:val="16"/>
                <w:szCs w:val="16"/>
                <w:lang w:eastAsia="en-GB"/>
              </w:rPr>
              <w:t>ial</w:t>
            </w:r>
            <w:r w:rsidR="05D83615" w:rsidRPr="1BC7DABE">
              <w:rPr>
                <w:rFonts w:ascii="Arial" w:eastAsia="Times New Roman" w:hAnsi="Arial" w:cs="Arial"/>
                <w:sz w:val="16"/>
                <w:szCs w:val="16"/>
                <w:lang w:eastAsia="en-GB"/>
              </w:rPr>
              <w:t xml:space="preserve"> </w:t>
            </w:r>
            <w:r w:rsidR="05D83615" w:rsidRPr="37A59634">
              <w:rPr>
                <w:rFonts w:ascii="Arial" w:eastAsia="Times New Roman" w:hAnsi="Arial" w:cs="Arial"/>
                <w:sz w:val="16"/>
                <w:szCs w:val="16"/>
                <w:lang w:eastAsia="en-GB"/>
              </w:rPr>
              <w:t>Sustainability</w:t>
            </w:r>
          </w:p>
        </w:tc>
        <w:tc>
          <w:tcPr>
            <w:tcW w:w="2010" w:type="dxa"/>
            <w:vAlign w:val="center"/>
          </w:tcPr>
          <w:p w14:paraId="774C9D16" w14:textId="211BE816" w:rsidR="43C28DAD" w:rsidRDefault="43C28DAD"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Finance</w:t>
            </w:r>
          </w:p>
        </w:tc>
        <w:tc>
          <w:tcPr>
            <w:tcW w:w="1963" w:type="dxa"/>
            <w:vAlign w:val="center"/>
            <w:hideMark/>
          </w:tcPr>
          <w:p w14:paraId="3E831DF6" w14:textId="6B57D70C"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Financial sustainability risk that demands for services will exceed the available budget, and delegated resources from partners may be insufficient to deliver the IJB’s strategic objectives.</w:t>
            </w:r>
          </w:p>
        </w:tc>
        <w:tc>
          <w:tcPr>
            <w:tcW w:w="877" w:type="dxa"/>
            <w:shd w:val="clear" w:color="auto" w:fill="FF0000"/>
            <w:vAlign w:val="center"/>
            <w:hideMark/>
          </w:tcPr>
          <w:p w14:paraId="63582F86" w14:textId="2EF992C1" w:rsidR="008C4956" w:rsidRPr="00BC1633" w:rsidRDefault="008C4956" w:rsidP="002046CF">
            <w:pPr>
              <w:spacing w:after="0" w:line="240" w:lineRule="auto"/>
              <w:jc w:val="center"/>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2</w:t>
            </w:r>
            <w:r w:rsidR="2D7AAE73" w:rsidRPr="78BE3E9B">
              <w:rPr>
                <w:rFonts w:ascii="Arial" w:eastAsia="Times New Roman" w:hAnsi="Arial" w:cs="Arial"/>
                <w:b/>
                <w:bCs/>
                <w:sz w:val="16"/>
                <w:szCs w:val="16"/>
                <w:lang w:eastAsia="en-GB"/>
              </w:rPr>
              <w:t>0</w:t>
            </w:r>
          </w:p>
        </w:tc>
        <w:tc>
          <w:tcPr>
            <w:tcW w:w="937" w:type="dxa"/>
            <w:shd w:val="clear" w:color="auto" w:fill="FFC000"/>
            <w:vAlign w:val="center"/>
            <w:hideMark/>
          </w:tcPr>
          <w:p w14:paraId="0A62E30E"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16</w:t>
            </w:r>
          </w:p>
        </w:tc>
        <w:tc>
          <w:tcPr>
            <w:tcW w:w="1717" w:type="dxa"/>
            <w:vAlign w:val="center"/>
            <w:hideMark/>
          </w:tcPr>
          <w:p w14:paraId="273C860A" w14:textId="77777777" w:rsidR="008C4956" w:rsidRPr="00BC1633" w:rsidRDefault="008C4956" w:rsidP="002046CF">
            <w:pPr>
              <w:spacing w:after="0" w:line="240" w:lineRule="auto"/>
              <w:jc w:val="center"/>
              <w:rPr>
                <w:rFonts w:ascii="Arial" w:eastAsia="Times New Roman" w:hAnsi="Arial" w:cs="Arial"/>
                <w:color w:val="000000"/>
                <w:sz w:val="16"/>
                <w:szCs w:val="16"/>
                <w:lang w:eastAsia="en-GB"/>
              </w:rPr>
            </w:pPr>
            <w:r w:rsidRPr="4449DC48">
              <w:rPr>
                <w:rFonts w:ascii="Arial" w:eastAsia="Times New Roman" w:hAnsi="Arial" w:cs="Arial"/>
                <w:color w:val="000000" w:themeColor="text1"/>
                <w:sz w:val="16"/>
                <w:szCs w:val="16"/>
                <w:lang w:eastAsia="en-GB"/>
              </w:rPr>
              <w:t>Chief Finance Officer</w:t>
            </w:r>
          </w:p>
        </w:tc>
      </w:tr>
      <w:tr w:rsidR="008C4956" w:rsidRPr="00BC1633" w14:paraId="002446E4" w14:textId="77777777" w:rsidTr="78BE3E9B">
        <w:trPr>
          <w:trHeight w:val="769"/>
          <w:tblHeader/>
        </w:trPr>
        <w:tc>
          <w:tcPr>
            <w:tcW w:w="1861" w:type="dxa"/>
            <w:vAlign w:val="center"/>
            <w:hideMark/>
          </w:tcPr>
          <w:p w14:paraId="3BFC836E" w14:textId="64903726" w:rsidR="008C4956" w:rsidRPr="00BC1633" w:rsidRDefault="008C4956" w:rsidP="00546A37">
            <w:pPr>
              <w:spacing w:after="0" w:line="240" w:lineRule="auto"/>
              <w:rPr>
                <w:rFonts w:ascii="Arial" w:eastAsia="Times New Roman" w:hAnsi="Arial" w:cs="Arial"/>
                <w:sz w:val="16"/>
                <w:szCs w:val="16"/>
                <w:lang w:eastAsia="en-GB"/>
              </w:rPr>
            </w:pPr>
            <w:r w:rsidRPr="00BC1633">
              <w:rPr>
                <w:rFonts w:ascii="Arial" w:eastAsia="Times New Roman" w:hAnsi="Arial" w:cs="Arial"/>
                <w:b/>
                <w:bCs/>
                <w:sz w:val="16"/>
                <w:szCs w:val="16"/>
                <w:lang w:eastAsia="en-GB"/>
              </w:rPr>
              <w:t>SRR 3</w:t>
            </w:r>
            <w:r w:rsidRPr="00BC1633">
              <w:rPr>
                <w:rFonts w:ascii="Arial" w:eastAsia="Times New Roman" w:hAnsi="Arial" w:cs="Arial"/>
                <w:sz w:val="16"/>
                <w:szCs w:val="16"/>
                <w:lang w:eastAsia="en-GB"/>
              </w:rPr>
              <w:t xml:space="preserve"> - Hosted Services</w:t>
            </w:r>
          </w:p>
        </w:tc>
        <w:tc>
          <w:tcPr>
            <w:tcW w:w="2010" w:type="dxa"/>
            <w:vAlign w:val="center"/>
          </w:tcPr>
          <w:p w14:paraId="0EA64DF7" w14:textId="655F0E60" w:rsidR="3C24300A" w:rsidRDefault="3C24300A"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Commissioned and Hosted Services</w:t>
            </w:r>
          </w:p>
        </w:tc>
        <w:tc>
          <w:tcPr>
            <w:tcW w:w="1963" w:type="dxa"/>
            <w:vAlign w:val="center"/>
            <w:hideMark/>
          </w:tcPr>
          <w:p w14:paraId="13C71680" w14:textId="77777777"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Risk that hosted services do not deliver the expected outcomes, fail to deliver transformation of services, or face service failure resulting in reputational damage. </w:t>
            </w:r>
          </w:p>
        </w:tc>
        <w:tc>
          <w:tcPr>
            <w:tcW w:w="877" w:type="dxa"/>
            <w:shd w:val="clear" w:color="auto" w:fill="FFC000"/>
            <w:vAlign w:val="center"/>
            <w:hideMark/>
          </w:tcPr>
          <w:p w14:paraId="1DACEC24"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16</w:t>
            </w:r>
          </w:p>
        </w:tc>
        <w:tc>
          <w:tcPr>
            <w:tcW w:w="937" w:type="dxa"/>
            <w:shd w:val="clear" w:color="auto" w:fill="FFC000"/>
            <w:vAlign w:val="center"/>
            <w:hideMark/>
          </w:tcPr>
          <w:p w14:paraId="2E4B5A78"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12</w:t>
            </w:r>
          </w:p>
        </w:tc>
        <w:tc>
          <w:tcPr>
            <w:tcW w:w="1717" w:type="dxa"/>
            <w:vAlign w:val="center"/>
            <w:hideMark/>
          </w:tcPr>
          <w:p w14:paraId="2A1198EB"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Strategy and Transformation Lead</w:t>
            </w:r>
          </w:p>
        </w:tc>
      </w:tr>
      <w:tr w:rsidR="008C4956" w:rsidRPr="00BC1633" w14:paraId="739E807F" w14:textId="77777777" w:rsidTr="78BE3E9B">
        <w:trPr>
          <w:trHeight w:val="769"/>
          <w:tblHeader/>
        </w:trPr>
        <w:tc>
          <w:tcPr>
            <w:tcW w:w="1861" w:type="dxa"/>
            <w:vAlign w:val="center"/>
            <w:hideMark/>
          </w:tcPr>
          <w:p w14:paraId="0F2213AB" w14:textId="3096B143" w:rsidR="008C4956" w:rsidRPr="00BC1633" w:rsidRDefault="008C4956" w:rsidP="00546A37">
            <w:pPr>
              <w:spacing w:after="0" w:line="240" w:lineRule="auto"/>
              <w:rPr>
                <w:rFonts w:ascii="Arial" w:eastAsia="Times New Roman" w:hAnsi="Arial" w:cs="Arial"/>
                <w:sz w:val="16"/>
                <w:szCs w:val="16"/>
                <w:lang w:eastAsia="en-GB"/>
              </w:rPr>
            </w:pPr>
            <w:r w:rsidRPr="38048D0F">
              <w:rPr>
                <w:rFonts w:ascii="Arial" w:eastAsia="Times New Roman" w:hAnsi="Arial" w:cs="Arial"/>
                <w:b/>
                <w:bCs/>
                <w:sz w:val="16"/>
                <w:szCs w:val="16"/>
                <w:lang w:eastAsia="en-GB"/>
              </w:rPr>
              <w:t>SRR 4</w:t>
            </w:r>
            <w:r w:rsidR="69A7D08D" w:rsidRPr="38048D0F">
              <w:rPr>
                <w:rFonts w:ascii="Arial" w:eastAsia="Times New Roman" w:hAnsi="Arial" w:cs="Arial"/>
                <w:sz w:val="16"/>
                <w:szCs w:val="16"/>
                <w:lang w:eastAsia="en-GB"/>
              </w:rPr>
              <w:t xml:space="preserve"> – Performance </w:t>
            </w:r>
            <w:r w:rsidR="69A7D08D" w:rsidRPr="72C0BE03">
              <w:rPr>
                <w:rFonts w:ascii="Arial" w:eastAsia="Times New Roman" w:hAnsi="Arial" w:cs="Arial"/>
                <w:sz w:val="16"/>
                <w:szCs w:val="16"/>
                <w:lang w:eastAsia="en-GB"/>
              </w:rPr>
              <w:t>and Standards</w:t>
            </w:r>
          </w:p>
        </w:tc>
        <w:tc>
          <w:tcPr>
            <w:tcW w:w="2010" w:type="dxa"/>
            <w:vAlign w:val="center"/>
          </w:tcPr>
          <w:p w14:paraId="6C41FE7A" w14:textId="78FA6E6A" w:rsidR="2718BF7A" w:rsidRDefault="2718BF7A"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Regulation and Compliance</w:t>
            </w:r>
          </w:p>
        </w:tc>
        <w:tc>
          <w:tcPr>
            <w:tcW w:w="1963" w:type="dxa"/>
            <w:vAlign w:val="center"/>
            <w:hideMark/>
          </w:tcPr>
          <w:p w14:paraId="5DD6448A" w14:textId="171582F8"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Risk that the services that IJB directs and has operational oversight of, fails to meet the national, regulatory and local standards</w:t>
            </w:r>
          </w:p>
        </w:tc>
        <w:tc>
          <w:tcPr>
            <w:tcW w:w="877" w:type="dxa"/>
            <w:shd w:val="clear" w:color="auto" w:fill="FFC000"/>
            <w:vAlign w:val="center"/>
            <w:hideMark/>
          </w:tcPr>
          <w:p w14:paraId="0B0033D7"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12</w:t>
            </w:r>
          </w:p>
        </w:tc>
        <w:tc>
          <w:tcPr>
            <w:tcW w:w="937" w:type="dxa"/>
            <w:shd w:val="clear" w:color="auto" w:fill="FFFF00"/>
            <w:vAlign w:val="center"/>
            <w:hideMark/>
          </w:tcPr>
          <w:p w14:paraId="7A7EE4F4"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6</w:t>
            </w:r>
          </w:p>
        </w:tc>
        <w:tc>
          <w:tcPr>
            <w:tcW w:w="1717" w:type="dxa"/>
            <w:vAlign w:val="center"/>
            <w:hideMark/>
          </w:tcPr>
          <w:p w14:paraId="4FEDDF5B"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Strategy and Transformation Lead</w:t>
            </w:r>
          </w:p>
        </w:tc>
      </w:tr>
      <w:tr w:rsidR="008C4956" w:rsidRPr="00BC1633" w14:paraId="6E36362A" w14:textId="77777777" w:rsidTr="78BE3E9B">
        <w:trPr>
          <w:trHeight w:val="769"/>
          <w:tblHeader/>
        </w:trPr>
        <w:tc>
          <w:tcPr>
            <w:tcW w:w="1861" w:type="dxa"/>
            <w:vAlign w:val="center"/>
            <w:hideMark/>
          </w:tcPr>
          <w:p w14:paraId="7E8115BB" w14:textId="4B5D0D99" w:rsidR="008C4956" w:rsidRPr="00BC1633" w:rsidRDefault="008C4956" w:rsidP="00546A37">
            <w:pPr>
              <w:spacing w:after="0" w:line="240" w:lineRule="auto"/>
              <w:rPr>
                <w:rFonts w:ascii="Arial" w:eastAsia="Times New Roman" w:hAnsi="Arial" w:cs="Arial"/>
                <w:sz w:val="16"/>
                <w:szCs w:val="16"/>
                <w:lang w:eastAsia="en-GB"/>
              </w:rPr>
            </w:pPr>
            <w:r w:rsidRPr="72C0BE03">
              <w:rPr>
                <w:rFonts w:ascii="Arial" w:eastAsia="Times New Roman" w:hAnsi="Arial" w:cs="Arial"/>
                <w:b/>
                <w:bCs/>
                <w:sz w:val="16"/>
                <w:szCs w:val="16"/>
                <w:lang w:eastAsia="en-GB"/>
              </w:rPr>
              <w:t>SRR 5</w:t>
            </w:r>
            <w:r w:rsidRPr="72C0BE03">
              <w:rPr>
                <w:rFonts w:ascii="Arial" w:eastAsia="Times New Roman" w:hAnsi="Arial" w:cs="Arial"/>
                <w:sz w:val="16"/>
                <w:szCs w:val="16"/>
                <w:lang w:eastAsia="en-GB"/>
              </w:rPr>
              <w:t xml:space="preserve"> - </w:t>
            </w:r>
            <w:r w:rsidR="272ADFA0" w:rsidRPr="269EBFCE">
              <w:rPr>
                <w:rFonts w:ascii="Arial" w:eastAsia="Times New Roman" w:hAnsi="Arial" w:cs="Arial"/>
                <w:sz w:val="16"/>
                <w:szCs w:val="16"/>
                <w:lang w:eastAsia="en-GB"/>
              </w:rPr>
              <w:t>Transformation</w:t>
            </w:r>
          </w:p>
        </w:tc>
        <w:tc>
          <w:tcPr>
            <w:tcW w:w="2010" w:type="dxa"/>
            <w:vAlign w:val="center"/>
          </w:tcPr>
          <w:p w14:paraId="7B2CDD81" w14:textId="3C4D6ED4" w:rsidR="232D0E41" w:rsidRDefault="232D0E41"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Quality and Innovation</w:t>
            </w:r>
          </w:p>
        </w:tc>
        <w:tc>
          <w:tcPr>
            <w:tcW w:w="1963" w:type="dxa"/>
            <w:vAlign w:val="center"/>
            <w:hideMark/>
          </w:tcPr>
          <w:p w14:paraId="5B83D25A" w14:textId="77777777"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 xml:space="preserve">Risk of failure to deliver transformation and sustainable systems change. </w:t>
            </w:r>
          </w:p>
        </w:tc>
        <w:tc>
          <w:tcPr>
            <w:tcW w:w="877" w:type="dxa"/>
            <w:shd w:val="clear" w:color="auto" w:fill="FFC000"/>
            <w:vAlign w:val="center"/>
            <w:hideMark/>
          </w:tcPr>
          <w:p w14:paraId="3B2AE976"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12</w:t>
            </w:r>
          </w:p>
        </w:tc>
        <w:tc>
          <w:tcPr>
            <w:tcW w:w="937" w:type="dxa"/>
            <w:shd w:val="clear" w:color="auto" w:fill="FFFF00"/>
            <w:vAlign w:val="center"/>
            <w:hideMark/>
          </w:tcPr>
          <w:p w14:paraId="77EE815F"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6</w:t>
            </w:r>
          </w:p>
        </w:tc>
        <w:tc>
          <w:tcPr>
            <w:tcW w:w="1717" w:type="dxa"/>
            <w:vAlign w:val="center"/>
            <w:hideMark/>
          </w:tcPr>
          <w:p w14:paraId="7A677667"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Strategy and Transformation Lead</w:t>
            </w:r>
          </w:p>
        </w:tc>
      </w:tr>
      <w:tr w:rsidR="008C4956" w:rsidRPr="00BC1633" w14:paraId="50C791E2" w14:textId="77777777" w:rsidTr="78BE3E9B">
        <w:trPr>
          <w:trHeight w:val="769"/>
          <w:tblHeader/>
        </w:trPr>
        <w:tc>
          <w:tcPr>
            <w:tcW w:w="1861" w:type="dxa"/>
            <w:vAlign w:val="center"/>
            <w:hideMark/>
          </w:tcPr>
          <w:p w14:paraId="265529C1" w14:textId="425B305D" w:rsidR="008C4956" w:rsidRPr="00BC1633" w:rsidRDefault="008C4956" w:rsidP="00546A37">
            <w:pPr>
              <w:spacing w:after="0" w:line="240" w:lineRule="auto"/>
              <w:rPr>
                <w:rFonts w:ascii="Arial" w:eastAsia="Times New Roman" w:hAnsi="Arial" w:cs="Arial"/>
                <w:sz w:val="16"/>
                <w:szCs w:val="16"/>
                <w:lang w:eastAsia="en-GB"/>
              </w:rPr>
            </w:pPr>
            <w:r w:rsidRPr="40DBD4DF">
              <w:rPr>
                <w:rFonts w:ascii="Arial" w:eastAsia="Times New Roman" w:hAnsi="Arial" w:cs="Arial"/>
                <w:b/>
                <w:bCs/>
                <w:sz w:val="16"/>
                <w:szCs w:val="16"/>
                <w:lang w:eastAsia="en-GB"/>
              </w:rPr>
              <w:t>SRR 6</w:t>
            </w:r>
            <w:r w:rsidR="13846A33" w:rsidRPr="40DBD4DF">
              <w:rPr>
                <w:rFonts w:ascii="Arial" w:eastAsia="Times New Roman" w:hAnsi="Arial" w:cs="Arial"/>
                <w:sz w:val="16"/>
                <w:szCs w:val="16"/>
                <w:lang w:eastAsia="en-GB"/>
              </w:rPr>
              <w:t xml:space="preserve"> – Community Engagement</w:t>
            </w:r>
          </w:p>
        </w:tc>
        <w:tc>
          <w:tcPr>
            <w:tcW w:w="2010" w:type="dxa"/>
            <w:vAlign w:val="center"/>
          </w:tcPr>
          <w:p w14:paraId="4836260C" w14:textId="23F08DC0" w:rsidR="7223451B" w:rsidRDefault="7223451B"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Safety</w:t>
            </w:r>
            <w:r w:rsidR="5A9DA19D" w:rsidRPr="78BE3E9B">
              <w:rPr>
                <w:rFonts w:ascii="Arial" w:eastAsia="Times New Roman" w:hAnsi="Arial" w:cs="Arial"/>
                <w:b/>
                <w:bCs/>
                <w:sz w:val="16"/>
                <w:szCs w:val="16"/>
                <w:lang w:eastAsia="en-GB"/>
              </w:rPr>
              <w:t>/Quality and Innovation</w:t>
            </w:r>
            <w:r w:rsidR="664D5CC8" w:rsidRPr="78BE3E9B">
              <w:rPr>
                <w:rFonts w:ascii="Arial" w:eastAsia="Times New Roman" w:hAnsi="Arial" w:cs="Arial"/>
                <w:b/>
                <w:bCs/>
                <w:sz w:val="16"/>
                <w:szCs w:val="16"/>
                <w:lang w:eastAsia="en-GB"/>
              </w:rPr>
              <w:t>/Reputation</w:t>
            </w:r>
          </w:p>
        </w:tc>
        <w:tc>
          <w:tcPr>
            <w:tcW w:w="1963" w:type="dxa"/>
            <w:vAlign w:val="center"/>
            <w:hideMark/>
          </w:tcPr>
          <w:p w14:paraId="397C5E4F" w14:textId="77777777"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 xml:space="preserve">Risk of IJB fails to maximise the opportunities created for engaging with our communities </w:t>
            </w:r>
          </w:p>
        </w:tc>
        <w:tc>
          <w:tcPr>
            <w:tcW w:w="877" w:type="dxa"/>
            <w:shd w:val="clear" w:color="auto" w:fill="FFFF00"/>
            <w:vAlign w:val="center"/>
            <w:hideMark/>
          </w:tcPr>
          <w:p w14:paraId="30DB399C"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6</w:t>
            </w:r>
          </w:p>
        </w:tc>
        <w:tc>
          <w:tcPr>
            <w:tcW w:w="937" w:type="dxa"/>
            <w:shd w:val="clear" w:color="auto" w:fill="FFFF00"/>
            <w:vAlign w:val="center"/>
            <w:hideMark/>
          </w:tcPr>
          <w:p w14:paraId="1498C093"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4</w:t>
            </w:r>
          </w:p>
        </w:tc>
        <w:tc>
          <w:tcPr>
            <w:tcW w:w="1717" w:type="dxa"/>
            <w:vAlign w:val="center"/>
            <w:hideMark/>
          </w:tcPr>
          <w:p w14:paraId="51980A14"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Strategy and Transformation Lead</w:t>
            </w:r>
          </w:p>
        </w:tc>
      </w:tr>
      <w:tr w:rsidR="008C4956" w:rsidRPr="00BC1633" w14:paraId="24A37FB4" w14:textId="77777777" w:rsidTr="78BE3E9B">
        <w:trPr>
          <w:trHeight w:val="769"/>
          <w:tblHeader/>
        </w:trPr>
        <w:tc>
          <w:tcPr>
            <w:tcW w:w="1861" w:type="dxa"/>
            <w:vAlign w:val="center"/>
            <w:hideMark/>
          </w:tcPr>
          <w:p w14:paraId="5C19E2D5" w14:textId="33CE1593" w:rsidR="008C4956" w:rsidRPr="00BC1633" w:rsidRDefault="008C4956" w:rsidP="00546A37">
            <w:pPr>
              <w:spacing w:after="0" w:line="240" w:lineRule="auto"/>
              <w:rPr>
                <w:rFonts w:ascii="Arial" w:eastAsia="Times New Roman" w:hAnsi="Arial" w:cs="Arial"/>
                <w:sz w:val="16"/>
                <w:szCs w:val="16"/>
                <w:lang w:eastAsia="en-GB"/>
              </w:rPr>
            </w:pPr>
            <w:r w:rsidRPr="00BC1633">
              <w:rPr>
                <w:rFonts w:ascii="Arial" w:eastAsia="Times New Roman" w:hAnsi="Arial" w:cs="Arial"/>
                <w:b/>
                <w:bCs/>
                <w:sz w:val="16"/>
                <w:szCs w:val="16"/>
                <w:lang w:eastAsia="en-GB"/>
              </w:rPr>
              <w:t>SRR 7</w:t>
            </w:r>
            <w:r w:rsidRPr="00BC1633">
              <w:rPr>
                <w:rFonts w:ascii="Arial" w:eastAsia="Times New Roman" w:hAnsi="Arial" w:cs="Arial"/>
                <w:sz w:val="16"/>
                <w:szCs w:val="16"/>
                <w:lang w:eastAsia="en-GB"/>
              </w:rPr>
              <w:t xml:space="preserve"> - </w:t>
            </w:r>
            <w:r w:rsidR="041F6818" w:rsidRPr="3F980DBC">
              <w:rPr>
                <w:rFonts w:ascii="Arial" w:eastAsia="Times New Roman" w:hAnsi="Arial" w:cs="Arial"/>
                <w:sz w:val="16"/>
                <w:szCs w:val="16"/>
                <w:lang w:eastAsia="en-GB"/>
              </w:rPr>
              <w:t>Workforce</w:t>
            </w:r>
          </w:p>
        </w:tc>
        <w:tc>
          <w:tcPr>
            <w:tcW w:w="2010" w:type="dxa"/>
            <w:vAlign w:val="center"/>
          </w:tcPr>
          <w:p w14:paraId="5A39C675" w14:textId="5F208022" w:rsidR="5A63D3CF" w:rsidRDefault="5A63D3CF"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Finance/Regulation and Compliance</w:t>
            </w:r>
          </w:p>
        </w:tc>
        <w:tc>
          <w:tcPr>
            <w:tcW w:w="1963" w:type="dxa"/>
            <w:vAlign w:val="center"/>
            <w:hideMark/>
          </w:tcPr>
          <w:p w14:paraId="2D976CEB" w14:textId="495D0E91"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 xml:space="preserve">Risk of failure to manage staffing budgets within forecasted predictions. </w:t>
            </w:r>
          </w:p>
        </w:tc>
        <w:tc>
          <w:tcPr>
            <w:tcW w:w="877" w:type="dxa"/>
            <w:shd w:val="clear" w:color="auto" w:fill="FFC000"/>
            <w:vAlign w:val="center"/>
            <w:hideMark/>
          </w:tcPr>
          <w:p w14:paraId="44FF2CD6"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16</w:t>
            </w:r>
          </w:p>
        </w:tc>
        <w:tc>
          <w:tcPr>
            <w:tcW w:w="937" w:type="dxa"/>
            <w:shd w:val="clear" w:color="auto" w:fill="FFC000"/>
            <w:vAlign w:val="center"/>
            <w:hideMark/>
          </w:tcPr>
          <w:p w14:paraId="0B11DAF3"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8</w:t>
            </w:r>
          </w:p>
        </w:tc>
        <w:tc>
          <w:tcPr>
            <w:tcW w:w="1717" w:type="dxa"/>
            <w:vAlign w:val="center"/>
            <w:hideMark/>
          </w:tcPr>
          <w:p w14:paraId="4A511BC7"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Lead for People and Organisation</w:t>
            </w:r>
          </w:p>
        </w:tc>
      </w:tr>
      <w:tr w:rsidR="008C4956" w:rsidRPr="00BC1633" w14:paraId="0348F5D3" w14:textId="77777777" w:rsidTr="78BE3E9B">
        <w:trPr>
          <w:trHeight w:val="769"/>
          <w:tblHeader/>
        </w:trPr>
        <w:tc>
          <w:tcPr>
            <w:tcW w:w="1861" w:type="dxa"/>
            <w:vAlign w:val="center"/>
            <w:hideMark/>
          </w:tcPr>
          <w:p w14:paraId="1B3D8FE7" w14:textId="76B5FD78" w:rsidR="008C4956" w:rsidRPr="00BC1633" w:rsidRDefault="008C4956" w:rsidP="00546A37">
            <w:pPr>
              <w:spacing w:after="0" w:line="240" w:lineRule="auto"/>
              <w:rPr>
                <w:rFonts w:ascii="Arial" w:eastAsia="Times New Roman" w:hAnsi="Arial" w:cs="Arial"/>
                <w:sz w:val="16"/>
                <w:szCs w:val="16"/>
                <w:lang w:eastAsia="en-GB"/>
              </w:rPr>
            </w:pPr>
            <w:r w:rsidRPr="00BC1633">
              <w:rPr>
                <w:rFonts w:ascii="Arial" w:eastAsia="Times New Roman" w:hAnsi="Arial" w:cs="Arial"/>
                <w:b/>
                <w:bCs/>
                <w:sz w:val="16"/>
                <w:szCs w:val="16"/>
                <w:lang w:eastAsia="en-GB"/>
              </w:rPr>
              <w:t>SRR 8</w:t>
            </w:r>
            <w:r w:rsidRPr="00BC1633">
              <w:rPr>
                <w:rFonts w:ascii="Arial" w:eastAsia="Times New Roman" w:hAnsi="Arial" w:cs="Arial"/>
                <w:sz w:val="16"/>
                <w:szCs w:val="16"/>
                <w:lang w:eastAsia="en-GB"/>
              </w:rPr>
              <w:t xml:space="preserve"> -</w:t>
            </w:r>
            <w:r w:rsidR="48BA0F88" w:rsidRPr="40E201CC">
              <w:rPr>
                <w:rFonts w:ascii="Arial" w:eastAsia="Times New Roman" w:hAnsi="Arial" w:cs="Arial"/>
                <w:sz w:val="16"/>
                <w:szCs w:val="16"/>
                <w:lang w:eastAsia="en-GB"/>
              </w:rPr>
              <w:t>Premises</w:t>
            </w:r>
          </w:p>
        </w:tc>
        <w:tc>
          <w:tcPr>
            <w:tcW w:w="2010" w:type="dxa"/>
            <w:vAlign w:val="center"/>
          </w:tcPr>
          <w:p w14:paraId="23D00B62" w14:textId="0B900579" w:rsidR="3BC5377D" w:rsidRDefault="3BC5377D" w:rsidP="78BE3E9B">
            <w:pPr>
              <w:spacing w:line="240" w:lineRule="auto"/>
              <w:rPr>
                <w:rFonts w:ascii="Arial" w:eastAsia="Times New Roman" w:hAnsi="Arial" w:cs="Arial"/>
                <w:b/>
                <w:bCs/>
                <w:sz w:val="16"/>
                <w:szCs w:val="16"/>
                <w:lang w:eastAsia="en-GB"/>
              </w:rPr>
            </w:pPr>
            <w:r w:rsidRPr="78BE3E9B">
              <w:rPr>
                <w:rFonts w:ascii="Arial" w:eastAsia="Times New Roman" w:hAnsi="Arial" w:cs="Arial"/>
                <w:b/>
                <w:bCs/>
                <w:sz w:val="16"/>
                <w:szCs w:val="16"/>
                <w:lang w:eastAsia="en-GB"/>
              </w:rPr>
              <w:t>Finance/Regulation and Compliance</w:t>
            </w:r>
          </w:p>
        </w:tc>
        <w:tc>
          <w:tcPr>
            <w:tcW w:w="1963" w:type="dxa"/>
            <w:vAlign w:val="center"/>
            <w:hideMark/>
          </w:tcPr>
          <w:p w14:paraId="09E9D4F8" w14:textId="3C0DBB6C" w:rsidR="008C4956" w:rsidRPr="00BC1633" w:rsidRDefault="008C4956" w:rsidP="002046CF">
            <w:pPr>
              <w:spacing w:after="0" w:line="240" w:lineRule="auto"/>
              <w:rPr>
                <w:rFonts w:ascii="Arial" w:eastAsia="Times New Roman" w:hAnsi="Arial" w:cs="Arial"/>
                <w:color w:val="000000"/>
                <w:sz w:val="16"/>
                <w:szCs w:val="16"/>
                <w:lang w:eastAsia="en-GB"/>
              </w:rPr>
            </w:pPr>
            <w:r w:rsidRPr="00BC1633">
              <w:rPr>
                <w:rFonts w:ascii="Arial" w:eastAsia="Times New Roman" w:hAnsi="Arial" w:cs="Arial"/>
                <w:color w:val="000000"/>
                <w:sz w:val="16"/>
                <w:szCs w:val="16"/>
                <w:lang w:eastAsia="en-GB"/>
              </w:rPr>
              <w:t>Risk that buildings across the city, operated by, or overseen by, the IJB/ACHSCP are not being used to maximum efficiency and are not in line with statutory/regulatory requirements.</w:t>
            </w:r>
          </w:p>
        </w:tc>
        <w:tc>
          <w:tcPr>
            <w:tcW w:w="877" w:type="dxa"/>
            <w:shd w:val="clear" w:color="auto" w:fill="FFCC00"/>
            <w:vAlign w:val="center"/>
            <w:hideMark/>
          </w:tcPr>
          <w:p w14:paraId="787177FC"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8</w:t>
            </w:r>
          </w:p>
        </w:tc>
        <w:tc>
          <w:tcPr>
            <w:tcW w:w="937" w:type="dxa"/>
            <w:shd w:val="clear" w:color="auto" w:fill="FFFF00"/>
            <w:vAlign w:val="center"/>
            <w:hideMark/>
          </w:tcPr>
          <w:p w14:paraId="23B4A68D" w14:textId="77777777" w:rsidR="008C4956" w:rsidRPr="00BC1633" w:rsidRDefault="008C4956" w:rsidP="002046CF">
            <w:pPr>
              <w:spacing w:after="0" w:line="240" w:lineRule="auto"/>
              <w:jc w:val="center"/>
              <w:rPr>
                <w:rFonts w:ascii="Arial" w:eastAsia="Times New Roman" w:hAnsi="Arial" w:cs="Arial"/>
                <w:b/>
                <w:bCs/>
                <w:sz w:val="16"/>
                <w:szCs w:val="16"/>
                <w:lang w:eastAsia="en-GB"/>
              </w:rPr>
            </w:pPr>
            <w:r w:rsidRPr="00BC1633">
              <w:rPr>
                <w:rFonts w:ascii="Arial" w:eastAsia="Times New Roman" w:hAnsi="Arial" w:cs="Arial"/>
                <w:b/>
                <w:bCs/>
                <w:sz w:val="16"/>
                <w:szCs w:val="16"/>
                <w:lang w:eastAsia="en-GB"/>
              </w:rPr>
              <w:t>6</w:t>
            </w:r>
          </w:p>
        </w:tc>
        <w:tc>
          <w:tcPr>
            <w:tcW w:w="1717" w:type="dxa"/>
            <w:vAlign w:val="center"/>
            <w:hideMark/>
          </w:tcPr>
          <w:p w14:paraId="4144B10C" w14:textId="77777777" w:rsidR="008C4956" w:rsidRPr="00BC1633" w:rsidRDefault="008C4956" w:rsidP="002046CF">
            <w:pPr>
              <w:spacing w:after="0" w:line="240" w:lineRule="auto"/>
              <w:jc w:val="center"/>
              <w:rPr>
                <w:rFonts w:ascii="Arial" w:eastAsia="Times New Roman" w:hAnsi="Arial" w:cs="Arial"/>
                <w:sz w:val="16"/>
                <w:szCs w:val="16"/>
                <w:lang w:eastAsia="en-GB"/>
              </w:rPr>
            </w:pPr>
            <w:r w:rsidRPr="00BC1633">
              <w:rPr>
                <w:rFonts w:ascii="Arial" w:eastAsia="Times New Roman" w:hAnsi="Arial" w:cs="Arial"/>
                <w:sz w:val="16"/>
                <w:szCs w:val="16"/>
                <w:lang w:eastAsia="en-GB"/>
              </w:rPr>
              <w:t>Strategy and Transformation Lead</w:t>
            </w:r>
          </w:p>
        </w:tc>
      </w:tr>
    </w:tbl>
    <w:p w14:paraId="447E3032" w14:textId="1E5FB0E6" w:rsidR="68ABA7C0" w:rsidRDefault="68ABA7C0" w:rsidP="68ABA7C0">
      <w:pPr>
        <w:spacing w:after="0" w:line="20" w:lineRule="atLeast"/>
        <w:rPr>
          <w:rFonts w:ascii="Arial" w:eastAsia="Aptos" w:hAnsi="Arial" w:cs="Arial"/>
          <w:color w:val="000000" w:themeColor="text1"/>
          <w:sz w:val="20"/>
          <w:szCs w:val="20"/>
        </w:rPr>
      </w:pPr>
    </w:p>
    <w:p w14:paraId="6DF56775" w14:textId="505ED375" w:rsidR="00F43864" w:rsidRPr="00C9207C" w:rsidRDefault="2D2FA9DB" w:rsidP="1EA3DEBC">
      <w:pPr>
        <w:spacing w:after="0" w:line="20" w:lineRule="atLeast"/>
        <w:rPr>
          <w:rFonts w:ascii="Arial" w:eastAsia="Aptos" w:hAnsi="Arial" w:cs="Arial"/>
          <w:color w:val="000000" w:themeColor="text1"/>
          <w:sz w:val="20"/>
          <w:szCs w:val="20"/>
          <w:highlight w:val="yellow"/>
        </w:rPr>
      </w:pPr>
      <w:r w:rsidRPr="00C9207C">
        <w:rPr>
          <w:rFonts w:ascii="Arial" w:eastAsia="Aptos" w:hAnsi="Arial" w:cs="Arial"/>
          <w:b/>
          <w:bCs/>
          <w:color w:val="000000" w:themeColor="text1"/>
          <w:sz w:val="20"/>
          <w:szCs w:val="20"/>
        </w:rPr>
        <w:t>Risk management and internal control</w:t>
      </w:r>
      <w:r w:rsidR="00CA7779">
        <w:rPr>
          <w:rFonts w:ascii="Arial" w:eastAsia="Aptos" w:hAnsi="Arial" w:cs="Arial"/>
          <w:b/>
          <w:bCs/>
          <w:color w:val="000000" w:themeColor="text1"/>
          <w:sz w:val="20"/>
          <w:szCs w:val="20"/>
        </w:rPr>
        <w:t xml:space="preserve"> - S</w:t>
      </w:r>
      <w:r w:rsidRPr="00C9207C">
        <w:rPr>
          <w:rFonts w:ascii="Arial" w:eastAsia="Aptos" w:hAnsi="Arial" w:cs="Arial"/>
          <w:b/>
          <w:bCs/>
          <w:color w:val="000000" w:themeColor="text1"/>
          <w:sz w:val="20"/>
          <w:szCs w:val="20"/>
        </w:rPr>
        <w:t>ummary</w:t>
      </w:r>
      <w:r w:rsidR="00F43864">
        <w:br/>
      </w:r>
      <w:r w:rsidRPr="00C9207C">
        <w:rPr>
          <w:rFonts w:ascii="Arial" w:eastAsia="Aptos" w:hAnsi="Arial" w:cs="Arial"/>
          <w:color w:val="000000" w:themeColor="text1"/>
          <w:sz w:val="20"/>
          <w:szCs w:val="20"/>
        </w:rPr>
        <w:t xml:space="preserve">The IJB’s system of internal control is designed to manage, rather than eliminate, the risk of failure to achieve strategic and operational objectives and can provide reasonable, not absolute, assurance. Key elements include: clear lines of accountability and delegated authority; financial planning and budgetary control; performance management and reporting; commissioning and contract management controls; clinical and care governance arrangements (where applicable); information governance; business continuity and emergency planning; and policies and procedures embedded across partner organisations. The effectiveness of controls is supported through routine management reporting to the Partnership Senior Leadership Team and the IJB’s committees, alongside planned internal audit activity and other sources of assurance (for example, inspections, contract monitoring and performance reviews). </w:t>
      </w:r>
    </w:p>
    <w:p w14:paraId="10452003" w14:textId="20D42603" w:rsidR="00F43864" w:rsidRPr="00C9207C" w:rsidRDefault="00F43864" w:rsidP="1EA3DEBC">
      <w:pPr>
        <w:spacing w:after="0" w:line="20" w:lineRule="atLeast"/>
        <w:rPr>
          <w:rFonts w:ascii="Arial" w:eastAsia="Aptos" w:hAnsi="Arial" w:cs="Arial"/>
          <w:color w:val="000000" w:themeColor="text1"/>
          <w:sz w:val="20"/>
          <w:szCs w:val="20"/>
        </w:rPr>
      </w:pPr>
    </w:p>
    <w:p w14:paraId="38B48426" w14:textId="46DAF4A5" w:rsidR="00F43864" w:rsidRPr="00C9207C" w:rsidRDefault="1DFC35AB" w:rsidP="275D402A">
      <w:pPr>
        <w:spacing w:after="0" w:line="20" w:lineRule="atLeast"/>
        <w:rPr>
          <w:rFonts w:ascii="Arial" w:eastAsia="Aptos" w:hAnsi="Arial" w:cs="Arial"/>
          <w:color w:val="000000" w:themeColor="text1"/>
          <w:sz w:val="20"/>
          <w:szCs w:val="20"/>
          <w:highlight w:val="yellow"/>
        </w:rPr>
      </w:pPr>
      <w:r w:rsidRPr="1EA3DEBC">
        <w:rPr>
          <w:rFonts w:ascii="Arial" w:eastAsia="Aptos" w:hAnsi="Arial" w:cs="Arial"/>
          <w:color w:val="000000" w:themeColor="text1"/>
          <w:sz w:val="20"/>
          <w:szCs w:val="20"/>
        </w:rPr>
        <w:lastRenderedPageBreak/>
        <w:t>The IJB’s Board Assurance and Escalation Framework (BAEF) is reviewed annually and sets out</w:t>
      </w:r>
      <w:r w:rsidR="721CF323" w:rsidRPr="1EA3DEBC">
        <w:rPr>
          <w:rFonts w:ascii="Arial" w:eastAsia="Aptos" w:hAnsi="Arial" w:cs="Arial"/>
          <w:color w:val="000000" w:themeColor="text1"/>
          <w:sz w:val="20"/>
          <w:szCs w:val="20"/>
        </w:rPr>
        <w:t xml:space="preserve"> the regulatory framework of the IJB to support its vision, values and principles, within which the IJB and its Committees will work. Fundamental to the framework are the IJB’s strategic priorities and the appetite for risk that exists across these priorities. The BAEF presents and populates a model where individuals, groups and committees, plans, reports, and reporting processes are mapped at different organisational levels, against two broad assurance requirements - compliance and transformation.</w:t>
      </w:r>
    </w:p>
    <w:p w14:paraId="530991AF" w14:textId="1B2686B3" w:rsidR="1EA3DEBC" w:rsidRDefault="1EA3DEBC" w:rsidP="1EA3DEBC">
      <w:pPr>
        <w:spacing w:after="0" w:line="20" w:lineRule="atLeast"/>
        <w:rPr>
          <w:rFonts w:ascii="Arial" w:eastAsia="Aptos" w:hAnsi="Arial" w:cs="Arial"/>
          <w:color w:val="000000" w:themeColor="text1"/>
          <w:sz w:val="20"/>
          <w:szCs w:val="20"/>
        </w:rPr>
      </w:pPr>
    </w:p>
    <w:p w14:paraId="02ADAE64" w14:textId="68BCC53F" w:rsidR="0F17A503" w:rsidRDefault="0F17A503" w:rsidP="1EA3DEBC">
      <w:pPr>
        <w:spacing w:after="0" w:line="20" w:lineRule="atLeast"/>
        <w:rPr>
          <w:rFonts w:ascii="Arial" w:eastAsia="Aptos" w:hAnsi="Arial" w:cs="Arial"/>
          <w:color w:val="000000" w:themeColor="text1"/>
          <w:sz w:val="20"/>
          <w:szCs w:val="20"/>
        </w:rPr>
      </w:pPr>
      <w:r w:rsidRPr="1EA3DEBC">
        <w:rPr>
          <w:rFonts w:ascii="Arial" w:eastAsia="Aptos" w:hAnsi="Arial" w:cs="Arial"/>
          <w:color w:val="000000" w:themeColor="text1"/>
          <w:sz w:val="20"/>
          <w:szCs w:val="20"/>
        </w:rPr>
        <w:t xml:space="preserve">During 2025/26 the IJB and ACHSCP </w:t>
      </w:r>
      <w:r w:rsidR="1E9CF270" w:rsidRPr="1EA3DEBC">
        <w:rPr>
          <w:rFonts w:ascii="Arial" w:eastAsia="Aptos" w:hAnsi="Arial" w:cs="Arial"/>
          <w:color w:val="000000" w:themeColor="text1"/>
          <w:sz w:val="20"/>
          <w:szCs w:val="20"/>
        </w:rPr>
        <w:t>received internal audits on various service areas, including Financial Sustainability, which provided recommendations for t</w:t>
      </w:r>
      <w:r w:rsidR="6A5C8C00" w:rsidRPr="1EA3DEBC">
        <w:rPr>
          <w:rFonts w:ascii="Arial" w:eastAsia="Aptos" w:hAnsi="Arial" w:cs="Arial"/>
          <w:color w:val="000000" w:themeColor="text1"/>
          <w:sz w:val="20"/>
          <w:szCs w:val="20"/>
        </w:rPr>
        <w:t>he SLT to implement, whilst giving the IJB moderate assurance</w:t>
      </w:r>
      <w:r w:rsidR="10DAE2EB" w:rsidRPr="1EA3DEBC">
        <w:rPr>
          <w:rFonts w:ascii="Arial" w:eastAsia="Aptos" w:hAnsi="Arial" w:cs="Arial"/>
          <w:color w:val="000000" w:themeColor="text1"/>
          <w:sz w:val="20"/>
          <w:szCs w:val="20"/>
        </w:rPr>
        <w:t xml:space="preserve"> based on the findings of the audit.</w:t>
      </w:r>
    </w:p>
    <w:p w14:paraId="548DEB61" w14:textId="77777777" w:rsidR="0069597D" w:rsidRDefault="0069597D" w:rsidP="275D402A">
      <w:pPr>
        <w:spacing w:after="0" w:line="20" w:lineRule="atLeast"/>
        <w:rPr>
          <w:rFonts w:ascii="Arial" w:eastAsia="Aptos" w:hAnsi="Arial" w:cs="Arial"/>
          <w:b/>
          <w:bCs/>
          <w:color w:val="000000" w:themeColor="text1"/>
          <w:sz w:val="20"/>
          <w:szCs w:val="20"/>
        </w:rPr>
      </w:pPr>
    </w:p>
    <w:p w14:paraId="18727438" w14:textId="77777777" w:rsidR="00CE1EB0" w:rsidRDefault="2D2FA9DB" w:rsidP="275D402A">
      <w:pPr>
        <w:spacing w:after="0" w:line="20" w:lineRule="atLeast"/>
        <w:rPr>
          <w:rFonts w:ascii="Arial" w:eastAsia="Aptos" w:hAnsi="Arial" w:cs="Arial"/>
          <w:b/>
          <w:bCs/>
          <w:color w:val="000000" w:themeColor="text1"/>
          <w:sz w:val="20"/>
          <w:szCs w:val="20"/>
        </w:rPr>
      </w:pPr>
      <w:r w:rsidRPr="00C9207C">
        <w:rPr>
          <w:rFonts w:ascii="Arial" w:eastAsia="Aptos" w:hAnsi="Arial" w:cs="Arial"/>
          <w:b/>
          <w:bCs/>
          <w:color w:val="000000" w:themeColor="text1"/>
          <w:sz w:val="20"/>
          <w:szCs w:val="20"/>
        </w:rPr>
        <w:t>Principal risks</w:t>
      </w:r>
    </w:p>
    <w:p w14:paraId="2F84F1DB" w14:textId="163F60D4" w:rsidR="00F43864" w:rsidRDefault="00F43864" w:rsidP="275D402A">
      <w:pPr>
        <w:spacing w:after="0" w:line="20" w:lineRule="atLeast"/>
        <w:rPr>
          <w:rFonts w:ascii="Arial" w:eastAsia="Aptos" w:hAnsi="Arial" w:cs="Arial"/>
          <w:color w:val="000000" w:themeColor="text1"/>
          <w:sz w:val="20"/>
          <w:szCs w:val="20"/>
        </w:rPr>
      </w:pPr>
      <w:r w:rsidRPr="00C9207C">
        <w:rPr>
          <w:rFonts w:ascii="Arial" w:hAnsi="Arial" w:cs="Arial"/>
          <w:sz w:val="20"/>
          <w:szCs w:val="20"/>
        </w:rPr>
        <w:br/>
      </w:r>
      <w:r w:rsidR="2D2FA9DB" w:rsidRPr="00C9207C">
        <w:rPr>
          <w:rFonts w:ascii="Arial" w:eastAsia="Aptos" w:hAnsi="Arial" w:cs="Arial"/>
          <w:color w:val="000000" w:themeColor="text1"/>
          <w:sz w:val="20"/>
          <w:szCs w:val="20"/>
        </w:rPr>
        <w:t>The most significant strategic risks for the IJB are summarised below. These risks are inter-related and reflect the current operating context of rising demand, constrained resources, workforce challenges, reliance on commissioned capacity, and whole-system dependencies.</w:t>
      </w:r>
    </w:p>
    <w:p w14:paraId="6D5B3C44" w14:textId="77777777" w:rsidR="00CE1EB0" w:rsidRPr="00C9207C" w:rsidRDefault="00CE1EB0" w:rsidP="275D402A">
      <w:pPr>
        <w:spacing w:after="0" w:line="20" w:lineRule="atLeast"/>
        <w:rPr>
          <w:rFonts w:ascii="Arial" w:eastAsia="Aptos" w:hAnsi="Arial" w:cs="Arial"/>
          <w:color w:val="000000" w:themeColor="text1"/>
          <w:sz w:val="20"/>
          <w:szCs w:val="20"/>
        </w:rPr>
      </w:pPr>
    </w:p>
    <w:p w14:paraId="43C27D2F" w14:textId="2123867D" w:rsidR="00F43864" w:rsidRPr="00CE1EB0" w:rsidRDefault="2D2FA9DB" w:rsidP="00CE1EB0">
      <w:pPr>
        <w:spacing w:after="0" w:line="20" w:lineRule="atLeast"/>
        <w:rPr>
          <w:rFonts w:ascii="Arial" w:eastAsia="Aptos" w:hAnsi="Arial" w:cs="Arial"/>
          <w:b/>
          <w:bCs/>
          <w:color w:val="000000" w:themeColor="text1"/>
          <w:sz w:val="20"/>
          <w:szCs w:val="20"/>
        </w:rPr>
      </w:pPr>
      <w:r w:rsidRPr="00CE1EB0">
        <w:rPr>
          <w:rFonts w:ascii="Arial" w:eastAsia="Aptos" w:hAnsi="Arial" w:cs="Arial"/>
          <w:b/>
          <w:bCs/>
          <w:color w:val="000000" w:themeColor="text1"/>
          <w:sz w:val="20"/>
          <w:szCs w:val="20"/>
        </w:rPr>
        <w:t>Financial sustainability</w:t>
      </w:r>
    </w:p>
    <w:p w14:paraId="75A367E7" w14:textId="77777777" w:rsidR="00662786" w:rsidRPr="00405201" w:rsidRDefault="00662786" w:rsidP="00662786">
      <w:pPr>
        <w:spacing w:after="0" w:line="20" w:lineRule="atLeast"/>
        <w:rPr>
          <w:rFonts w:ascii="Arial" w:eastAsia="Aptos" w:hAnsi="Arial" w:cs="Arial"/>
          <w:color w:val="000000" w:themeColor="text1"/>
          <w:sz w:val="20"/>
          <w:szCs w:val="20"/>
        </w:rPr>
      </w:pPr>
      <w:r w:rsidRPr="00405201">
        <w:rPr>
          <w:rFonts w:ascii="Arial" w:eastAsia="Aptos" w:hAnsi="Arial" w:cs="Arial"/>
          <w:color w:val="000000" w:themeColor="text1"/>
          <w:sz w:val="20"/>
          <w:szCs w:val="20"/>
        </w:rPr>
        <w:t>The IJB faces a continuing risk that demand and cost pressures may exceed available resources and that planned savings may not be delivered in full or at the required pace. If this risk were to materialise, it would create in-year financial pressure and reduce the IJB’s financial resilience.</w:t>
      </w:r>
    </w:p>
    <w:p w14:paraId="4EEF0670" w14:textId="77777777" w:rsidR="00405201" w:rsidRDefault="00405201" w:rsidP="00662786">
      <w:pPr>
        <w:spacing w:after="0" w:line="20" w:lineRule="atLeast"/>
        <w:rPr>
          <w:rFonts w:ascii="Arial" w:eastAsia="Aptos" w:hAnsi="Arial" w:cs="Arial"/>
          <w:color w:val="000000" w:themeColor="text1"/>
          <w:sz w:val="20"/>
          <w:szCs w:val="20"/>
        </w:rPr>
      </w:pPr>
    </w:p>
    <w:p w14:paraId="18D60FF1" w14:textId="3B6651EA" w:rsidR="00662786" w:rsidRPr="00405201" w:rsidRDefault="00662786" w:rsidP="00662786">
      <w:pPr>
        <w:spacing w:after="0" w:line="20" w:lineRule="atLeast"/>
        <w:rPr>
          <w:rFonts w:ascii="Arial" w:eastAsia="Aptos" w:hAnsi="Arial" w:cs="Arial"/>
          <w:color w:val="000000" w:themeColor="text1"/>
          <w:sz w:val="20"/>
          <w:szCs w:val="20"/>
        </w:rPr>
      </w:pPr>
      <w:r w:rsidRPr="00405201">
        <w:rPr>
          <w:rFonts w:ascii="Arial" w:eastAsia="Aptos" w:hAnsi="Arial" w:cs="Arial"/>
          <w:color w:val="000000" w:themeColor="text1"/>
          <w:sz w:val="20"/>
          <w:szCs w:val="20"/>
        </w:rPr>
        <w:t>During 2025/26, this risk was mitigated through strengthened in-year financial reporting, enhanced budget accountability and closer governance of delivery and transformation activity. Scenario planning supported the early identification of emerging variances and informed corrective action where required. Alignment between the Strategic Plan and the Medium-Term Financial Framework also supported a more coherent and deliverable multi-year approach to financial sustainability.</w:t>
      </w:r>
    </w:p>
    <w:p w14:paraId="470D5113" w14:textId="77777777" w:rsidR="00405201" w:rsidRDefault="00405201" w:rsidP="00662786">
      <w:pPr>
        <w:spacing w:after="0" w:line="20" w:lineRule="atLeast"/>
        <w:rPr>
          <w:rFonts w:ascii="Arial" w:eastAsia="Aptos" w:hAnsi="Arial" w:cs="Arial"/>
          <w:color w:val="000000" w:themeColor="text1"/>
          <w:sz w:val="20"/>
          <w:szCs w:val="20"/>
        </w:rPr>
      </w:pPr>
    </w:p>
    <w:p w14:paraId="672E5050" w14:textId="7B9E7035" w:rsidR="00662786" w:rsidRPr="00405201" w:rsidRDefault="00662786" w:rsidP="00662786">
      <w:pPr>
        <w:spacing w:after="0" w:line="20" w:lineRule="atLeast"/>
        <w:rPr>
          <w:rFonts w:ascii="Arial" w:eastAsia="Aptos" w:hAnsi="Arial" w:cs="Arial"/>
          <w:color w:val="000000" w:themeColor="text1"/>
          <w:sz w:val="20"/>
          <w:szCs w:val="20"/>
        </w:rPr>
      </w:pPr>
      <w:r w:rsidRPr="00405201">
        <w:rPr>
          <w:rFonts w:ascii="Arial" w:eastAsia="Aptos" w:hAnsi="Arial" w:cs="Arial"/>
          <w:color w:val="000000" w:themeColor="text1"/>
          <w:sz w:val="20"/>
          <w:szCs w:val="20"/>
        </w:rPr>
        <w:t>Key controls and sources of assurance included established budget-setting arrangements, routine in-year budget monitoring, variance escalation and corrective action, and oversight of reserves. Governance over savings delivery was further strengthened through the Budget Savings Oversight Group (BSOG), which provided focused oversight of savings and transformation activity, monitored delivery risks and mitigating actions, considered slippage and non-delivery, and supported escalation where further intervention or decision-making was required. This provided an additional level of scrutiny and assurance over the pace, robustness and deliverability of savings proposals and their alignment with the IJB’s wider financial planning.</w:t>
      </w:r>
    </w:p>
    <w:p w14:paraId="5361F87C" w14:textId="77777777" w:rsidR="00405201" w:rsidRDefault="00405201" w:rsidP="00662786">
      <w:pPr>
        <w:spacing w:after="0" w:line="20" w:lineRule="atLeast"/>
        <w:rPr>
          <w:rFonts w:ascii="Arial" w:eastAsia="Aptos" w:hAnsi="Arial" w:cs="Arial"/>
          <w:color w:val="000000" w:themeColor="text1"/>
          <w:sz w:val="20"/>
          <w:szCs w:val="20"/>
        </w:rPr>
      </w:pPr>
    </w:p>
    <w:p w14:paraId="76CBFD01" w14:textId="64EC2C07" w:rsidR="00662786" w:rsidRPr="00405201" w:rsidRDefault="00662786" w:rsidP="00662786">
      <w:pPr>
        <w:spacing w:after="0" w:line="20" w:lineRule="atLeast"/>
        <w:rPr>
          <w:rFonts w:ascii="Arial" w:eastAsia="Aptos" w:hAnsi="Arial" w:cs="Arial"/>
          <w:color w:val="000000" w:themeColor="text1"/>
          <w:sz w:val="20"/>
          <w:szCs w:val="20"/>
        </w:rPr>
      </w:pPr>
      <w:r w:rsidRPr="00405201">
        <w:rPr>
          <w:rFonts w:ascii="Arial" w:eastAsia="Aptos" w:hAnsi="Arial" w:cs="Arial"/>
          <w:color w:val="000000" w:themeColor="text1"/>
          <w:sz w:val="20"/>
          <w:szCs w:val="20"/>
        </w:rPr>
        <w:t>Further assurance was provided through internal audit coverage of key financial controls and governance, including an internal audit review of the IJB’s financial sustainability during 2025/26. The IJB also received regular financial monitoring reports throughout the year.</w:t>
      </w:r>
    </w:p>
    <w:p w14:paraId="7613AB90" w14:textId="77777777" w:rsidR="00405201" w:rsidRDefault="00405201" w:rsidP="00662786">
      <w:pPr>
        <w:spacing w:after="0" w:line="20" w:lineRule="atLeast"/>
        <w:rPr>
          <w:rFonts w:ascii="Arial" w:eastAsia="Aptos" w:hAnsi="Arial" w:cs="Arial"/>
          <w:color w:val="000000" w:themeColor="text1"/>
          <w:sz w:val="20"/>
          <w:szCs w:val="20"/>
        </w:rPr>
      </w:pPr>
    </w:p>
    <w:p w14:paraId="457A9738" w14:textId="7086951F" w:rsidR="00405201" w:rsidRPr="00405201" w:rsidRDefault="00662786" w:rsidP="00662786">
      <w:pPr>
        <w:spacing w:after="0" w:line="20" w:lineRule="atLeast"/>
        <w:rPr>
          <w:rFonts w:ascii="Arial" w:eastAsia="Aptos" w:hAnsi="Arial" w:cs="Arial"/>
          <w:color w:val="000000" w:themeColor="text1"/>
          <w:sz w:val="20"/>
          <w:szCs w:val="20"/>
        </w:rPr>
      </w:pPr>
      <w:r w:rsidRPr="00405201">
        <w:rPr>
          <w:rFonts w:ascii="Arial" w:eastAsia="Aptos" w:hAnsi="Arial" w:cs="Arial"/>
          <w:color w:val="000000" w:themeColor="text1"/>
          <w:sz w:val="20"/>
          <w:szCs w:val="20"/>
        </w:rPr>
        <w:t>The Quarter 4 financial position for 2025/26 was reported to the IJB in May 2026 and recorded an underspend of £11.2 million. In light of that reported position, the strategic risk score was reduced to 16, reflecting an assessment that the likelihood of occurrence is likely and the potential impact is major.</w:t>
      </w:r>
    </w:p>
    <w:p w14:paraId="65EBBCA2" w14:textId="77777777" w:rsidR="00405201" w:rsidRDefault="00405201" w:rsidP="00662786">
      <w:pPr>
        <w:spacing w:after="0" w:line="20" w:lineRule="atLeast"/>
        <w:rPr>
          <w:rFonts w:ascii="Arial" w:eastAsia="Aptos" w:hAnsi="Arial" w:cs="Arial"/>
          <w:b/>
          <w:bCs/>
          <w:color w:val="000000" w:themeColor="text1"/>
          <w:sz w:val="20"/>
          <w:szCs w:val="20"/>
        </w:rPr>
      </w:pPr>
    </w:p>
    <w:p w14:paraId="0FD782FE" w14:textId="094E815F" w:rsidR="00F43864" w:rsidRPr="00CE1EB0" w:rsidRDefault="2D2FA9DB" w:rsidP="00CE1EB0">
      <w:pPr>
        <w:spacing w:after="0" w:line="20" w:lineRule="atLeast"/>
        <w:rPr>
          <w:rFonts w:ascii="Arial" w:eastAsia="Aptos" w:hAnsi="Arial" w:cs="Arial"/>
          <w:b/>
          <w:bCs/>
          <w:color w:val="000000" w:themeColor="text1"/>
          <w:sz w:val="20"/>
          <w:szCs w:val="20"/>
        </w:rPr>
      </w:pPr>
      <w:r w:rsidRPr="00CE1EB0">
        <w:rPr>
          <w:rFonts w:ascii="Arial" w:eastAsia="Aptos" w:hAnsi="Arial" w:cs="Arial"/>
          <w:b/>
          <w:bCs/>
          <w:color w:val="000000" w:themeColor="text1"/>
          <w:sz w:val="20"/>
          <w:szCs w:val="20"/>
        </w:rPr>
        <w:t>Commissioned service capacity and performance (market fragility)</w:t>
      </w:r>
    </w:p>
    <w:p w14:paraId="38766443" w14:textId="77777777" w:rsidR="007E2F78" w:rsidRPr="007E2F78" w:rsidRDefault="007E2F78" w:rsidP="007E2F78">
      <w:pPr>
        <w:spacing w:after="0" w:line="20" w:lineRule="atLeast"/>
        <w:rPr>
          <w:rFonts w:ascii="Arial" w:eastAsia="Aptos" w:hAnsi="Arial" w:cs="Arial"/>
          <w:color w:val="000000" w:themeColor="text1"/>
          <w:sz w:val="20"/>
          <w:szCs w:val="20"/>
        </w:rPr>
      </w:pPr>
      <w:r w:rsidRPr="007E2F78">
        <w:rPr>
          <w:rFonts w:ascii="Arial" w:eastAsia="Aptos" w:hAnsi="Arial" w:cs="Arial"/>
          <w:color w:val="000000" w:themeColor="text1"/>
          <w:sz w:val="20"/>
          <w:szCs w:val="20"/>
        </w:rPr>
        <w:t>The IJB faces a continuing risk that commissioned providers may be unable to fully meet contractual requirements or sustain sufficient service capacity. If this risk were to materialise, it could lead to unmet need, increased delayed discharge pressures, greater reliance on out-of-area placements and higher overall costs.</w:t>
      </w:r>
    </w:p>
    <w:p w14:paraId="2E51F035" w14:textId="77777777" w:rsidR="007E2F78" w:rsidRDefault="007E2F78" w:rsidP="007E2F78">
      <w:pPr>
        <w:spacing w:after="0" w:line="20" w:lineRule="atLeast"/>
        <w:rPr>
          <w:rFonts w:ascii="Arial" w:eastAsia="Aptos" w:hAnsi="Arial" w:cs="Arial"/>
          <w:color w:val="000000" w:themeColor="text1"/>
          <w:sz w:val="20"/>
          <w:szCs w:val="20"/>
        </w:rPr>
      </w:pPr>
    </w:p>
    <w:p w14:paraId="30F14225" w14:textId="3AF04348" w:rsidR="007E2F78" w:rsidRPr="007E2F78" w:rsidRDefault="007E2F78" w:rsidP="007E2F78">
      <w:pPr>
        <w:spacing w:after="0" w:line="20" w:lineRule="atLeast"/>
        <w:rPr>
          <w:rFonts w:ascii="Arial" w:eastAsia="Aptos" w:hAnsi="Arial" w:cs="Arial"/>
          <w:color w:val="000000" w:themeColor="text1"/>
          <w:sz w:val="20"/>
          <w:szCs w:val="20"/>
        </w:rPr>
      </w:pPr>
      <w:r w:rsidRPr="007E2F78">
        <w:rPr>
          <w:rFonts w:ascii="Arial" w:eastAsia="Aptos" w:hAnsi="Arial" w:cs="Arial"/>
          <w:color w:val="000000" w:themeColor="text1"/>
          <w:sz w:val="20"/>
          <w:szCs w:val="20"/>
        </w:rPr>
        <w:t>During 2025/26, this risk was mitigated through active contract management and ongoing market engagement, with a continued focus on commissioning for outcomes and value. Targeted capacity planning was undertaken in higher-risk service areas, including homecare, care home provision and complex care, and escalation routes were in place where service continuity risks emerged. These arrangements were intended to support provider sustainability, maintain continuity of care and reduce the risk of disruption to key commissioned services.</w:t>
      </w:r>
    </w:p>
    <w:p w14:paraId="32835D2F" w14:textId="77777777" w:rsidR="007E2F78" w:rsidRPr="007E2F78" w:rsidRDefault="007E2F78" w:rsidP="007E2F78">
      <w:pPr>
        <w:spacing w:after="0" w:line="20" w:lineRule="atLeast"/>
        <w:rPr>
          <w:rFonts w:ascii="Arial" w:eastAsia="Aptos" w:hAnsi="Arial" w:cs="Arial"/>
          <w:color w:val="000000" w:themeColor="text1"/>
          <w:sz w:val="20"/>
          <w:szCs w:val="20"/>
        </w:rPr>
      </w:pPr>
      <w:r w:rsidRPr="007E2F78">
        <w:rPr>
          <w:rFonts w:ascii="Arial" w:eastAsia="Aptos" w:hAnsi="Arial" w:cs="Arial"/>
          <w:color w:val="000000" w:themeColor="text1"/>
          <w:sz w:val="20"/>
          <w:szCs w:val="20"/>
        </w:rPr>
        <w:t xml:space="preserve">Key controls and sources of assurance included commissioning strategies and market management arrangements, contract key performance indicators, quality monitoring processes and routine provider </w:t>
      </w:r>
      <w:r w:rsidRPr="007E2F78">
        <w:rPr>
          <w:rFonts w:ascii="Arial" w:eastAsia="Aptos" w:hAnsi="Arial" w:cs="Arial"/>
          <w:color w:val="000000" w:themeColor="text1"/>
          <w:sz w:val="20"/>
          <w:szCs w:val="20"/>
        </w:rPr>
        <w:lastRenderedPageBreak/>
        <w:t>review meetings. Additional assurance was provided through escalation and business continuity arrangements in relation to potential provider failure, alongside financial and quality due diligence where required and sampling or audit of contract compliance. Together, these controls supported oversight of provider performance, quality and resilience across the commissioned market.</w:t>
      </w:r>
    </w:p>
    <w:p w14:paraId="722651D5" w14:textId="77777777" w:rsidR="007E2F78" w:rsidRDefault="007E2F78" w:rsidP="007E2F78">
      <w:pPr>
        <w:spacing w:after="0" w:line="20" w:lineRule="atLeast"/>
        <w:rPr>
          <w:rFonts w:ascii="Arial" w:eastAsia="Aptos" w:hAnsi="Arial" w:cs="Arial"/>
          <w:color w:val="000000" w:themeColor="text1"/>
          <w:sz w:val="20"/>
          <w:szCs w:val="20"/>
        </w:rPr>
      </w:pPr>
    </w:p>
    <w:p w14:paraId="749AA272" w14:textId="1878ECEF" w:rsidR="007E2F78" w:rsidRPr="007E2F78" w:rsidRDefault="007E2F78" w:rsidP="007E2F78">
      <w:pPr>
        <w:spacing w:after="0" w:line="20" w:lineRule="atLeast"/>
        <w:rPr>
          <w:rFonts w:ascii="Arial" w:eastAsia="Aptos" w:hAnsi="Arial" w:cs="Arial"/>
          <w:color w:val="000000" w:themeColor="text1"/>
          <w:sz w:val="20"/>
          <w:szCs w:val="20"/>
        </w:rPr>
      </w:pPr>
      <w:r w:rsidRPr="007E2F78">
        <w:rPr>
          <w:rFonts w:ascii="Arial" w:eastAsia="Aptos" w:hAnsi="Arial" w:cs="Arial"/>
          <w:color w:val="000000" w:themeColor="text1"/>
          <w:sz w:val="20"/>
          <w:szCs w:val="20"/>
        </w:rPr>
        <w:t>During the year, current initiatives included the return of Bon Accord Care services to an in-house model, which is expected to support greater efficiency and improved control over service delivery. In addition, a test of change was undertaken in relation to Scotland-wide GP Walk-in Services. These developments formed part of the wider response to managing market fragility, improving sustainability and strengthening the IJB’s oversight of commissioned service capacity and performance.</w:t>
      </w:r>
    </w:p>
    <w:p w14:paraId="234EF1F1" w14:textId="77777777" w:rsidR="000E3E22" w:rsidRPr="00926B9C" w:rsidRDefault="000E3E22" w:rsidP="0055473A">
      <w:pPr>
        <w:spacing w:after="0" w:line="20" w:lineRule="atLeast"/>
        <w:rPr>
          <w:rFonts w:ascii="Arial" w:eastAsia="Aptos" w:hAnsi="Arial" w:cs="Arial"/>
          <w:b/>
          <w:bCs/>
          <w:color w:val="000000" w:themeColor="text1"/>
          <w:sz w:val="20"/>
          <w:szCs w:val="20"/>
        </w:rPr>
      </w:pPr>
    </w:p>
    <w:p w14:paraId="385274FC" w14:textId="47F21242" w:rsidR="00F43864" w:rsidRPr="0055473A" w:rsidRDefault="2D2FA9DB" w:rsidP="0055473A">
      <w:pPr>
        <w:spacing w:after="0" w:line="20" w:lineRule="atLeast"/>
        <w:rPr>
          <w:rFonts w:ascii="Arial" w:eastAsia="Aptos" w:hAnsi="Arial" w:cs="Arial"/>
          <w:b/>
          <w:bCs/>
          <w:color w:val="000000" w:themeColor="text1"/>
          <w:sz w:val="20"/>
          <w:szCs w:val="20"/>
        </w:rPr>
      </w:pPr>
      <w:r w:rsidRPr="0055473A">
        <w:rPr>
          <w:rFonts w:ascii="Arial" w:eastAsia="Aptos" w:hAnsi="Arial" w:cs="Arial"/>
          <w:b/>
          <w:bCs/>
          <w:color w:val="000000" w:themeColor="text1"/>
          <w:sz w:val="20"/>
          <w:szCs w:val="20"/>
        </w:rPr>
        <w:t>System flow and whole-system dependency</w:t>
      </w:r>
    </w:p>
    <w:p w14:paraId="3CB121B2" w14:textId="77777777" w:rsidR="007D3983" w:rsidRPr="007D3983" w:rsidRDefault="007D3983" w:rsidP="007D3983">
      <w:pPr>
        <w:spacing w:after="0" w:line="20" w:lineRule="atLeast"/>
        <w:rPr>
          <w:rFonts w:ascii="Arial" w:eastAsia="Aptos" w:hAnsi="Arial" w:cs="Arial"/>
          <w:color w:val="000000" w:themeColor="text1"/>
          <w:sz w:val="20"/>
          <w:szCs w:val="20"/>
        </w:rPr>
      </w:pPr>
      <w:r w:rsidRPr="007D3983">
        <w:rPr>
          <w:rFonts w:ascii="Arial" w:eastAsia="Aptos" w:hAnsi="Arial" w:cs="Arial"/>
          <w:color w:val="000000" w:themeColor="text1"/>
          <w:sz w:val="20"/>
          <w:szCs w:val="20"/>
        </w:rPr>
        <w:t>The IJB faces a continuing risk that acute flow challenges, including delayed discharge, may create additional cost pressures and constrain the ability to shift care into the community, thereby limiting delivery of planned transformation benefits. This risk reflects the interdependency between hospital flow, community capacity and the wider whole-system conditions required to support timely, safe and sustainable care.</w:t>
      </w:r>
    </w:p>
    <w:p w14:paraId="7ED7413C" w14:textId="77777777" w:rsidR="007D3983" w:rsidRDefault="007D3983" w:rsidP="007D3983">
      <w:pPr>
        <w:spacing w:after="0" w:line="20" w:lineRule="atLeast"/>
        <w:rPr>
          <w:rFonts w:ascii="Arial" w:eastAsia="Aptos" w:hAnsi="Arial" w:cs="Arial"/>
          <w:color w:val="000000" w:themeColor="text1"/>
          <w:sz w:val="20"/>
          <w:szCs w:val="20"/>
        </w:rPr>
      </w:pPr>
    </w:p>
    <w:p w14:paraId="726686CC" w14:textId="42241F72" w:rsidR="007D3983" w:rsidRPr="007D3983" w:rsidRDefault="007D3983" w:rsidP="007D3983">
      <w:pPr>
        <w:spacing w:after="0" w:line="20" w:lineRule="atLeast"/>
        <w:rPr>
          <w:rFonts w:ascii="Arial" w:eastAsia="Aptos" w:hAnsi="Arial" w:cs="Arial"/>
          <w:color w:val="000000" w:themeColor="text1"/>
          <w:sz w:val="20"/>
          <w:szCs w:val="20"/>
        </w:rPr>
      </w:pPr>
      <w:r w:rsidRPr="007D3983">
        <w:rPr>
          <w:rFonts w:ascii="Arial" w:eastAsia="Aptos" w:hAnsi="Arial" w:cs="Arial"/>
          <w:color w:val="000000" w:themeColor="text1"/>
          <w:sz w:val="20"/>
          <w:szCs w:val="20"/>
        </w:rPr>
        <w:t>During 2025/26, this risk was mitigated through joint system planning and governance with partners, with a continued focus on strengthening community alternatives to admission and discharge pathways. Work also progressed to develop intermediate care and reablement capacity, alongside prioritisation of actions intended to reduce avoidable demand and delays across the system. These arrangements were designed to support improved patient flow, reduce pressure on acute settings and create better conditions for care to be delivered closer to home where appropriate.</w:t>
      </w:r>
    </w:p>
    <w:p w14:paraId="3766B931" w14:textId="77777777" w:rsidR="007D3983" w:rsidRDefault="007D3983" w:rsidP="007D3983">
      <w:pPr>
        <w:spacing w:after="0" w:line="20" w:lineRule="atLeast"/>
        <w:rPr>
          <w:rFonts w:ascii="Arial" w:eastAsia="Aptos" w:hAnsi="Arial" w:cs="Arial"/>
          <w:color w:val="000000" w:themeColor="text1"/>
          <w:sz w:val="20"/>
          <w:szCs w:val="20"/>
        </w:rPr>
      </w:pPr>
    </w:p>
    <w:p w14:paraId="624E37D8" w14:textId="22EE9F6C" w:rsidR="007D3983" w:rsidRPr="007D3983" w:rsidRDefault="007D3983" w:rsidP="007D3983">
      <w:pPr>
        <w:spacing w:after="0" w:line="20" w:lineRule="atLeast"/>
        <w:rPr>
          <w:rFonts w:ascii="Arial" w:eastAsia="Aptos" w:hAnsi="Arial" w:cs="Arial"/>
          <w:color w:val="000000" w:themeColor="text1"/>
          <w:sz w:val="20"/>
          <w:szCs w:val="20"/>
        </w:rPr>
      </w:pPr>
      <w:r w:rsidRPr="007D3983">
        <w:rPr>
          <w:rFonts w:ascii="Arial" w:eastAsia="Aptos" w:hAnsi="Arial" w:cs="Arial"/>
          <w:color w:val="000000" w:themeColor="text1"/>
          <w:sz w:val="20"/>
          <w:szCs w:val="20"/>
        </w:rPr>
        <w:t>Key controls and sources of assurance included whole-system governance arrangements for flow and delayed discharge, agreed operational escalation processes, and performance dashboards covering discharge, intermediate care and community capacity. Additional assurance was provided through pathway reviews and improvement plans reported via the Unscheduled Care Delivery Board, with a particular focus on improving front door performance, most notably four-hour performance and ambulance stacking. Together, these controls supported oversight of system pressures, operational performance and progress against agreed improvement actions.</w:t>
      </w:r>
    </w:p>
    <w:p w14:paraId="4E119258" w14:textId="77777777" w:rsidR="007D3983" w:rsidRDefault="007D3983" w:rsidP="007D3983">
      <w:pPr>
        <w:spacing w:after="0" w:line="20" w:lineRule="atLeast"/>
        <w:rPr>
          <w:rFonts w:ascii="Arial" w:eastAsia="Aptos" w:hAnsi="Arial" w:cs="Arial"/>
          <w:color w:val="000000" w:themeColor="text1"/>
          <w:sz w:val="20"/>
          <w:szCs w:val="20"/>
        </w:rPr>
      </w:pPr>
    </w:p>
    <w:p w14:paraId="6DC13D7F" w14:textId="7ADB6729" w:rsidR="007D3983" w:rsidRPr="007D3983" w:rsidRDefault="007D3983" w:rsidP="007D3983">
      <w:pPr>
        <w:spacing w:after="0" w:line="20" w:lineRule="atLeast"/>
        <w:rPr>
          <w:rFonts w:ascii="Arial" w:eastAsia="Aptos" w:hAnsi="Arial" w:cs="Arial"/>
          <w:color w:val="000000" w:themeColor="text1"/>
          <w:sz w:val="20"/>
          <w:szCs w:val="20"/>
        </w:rPr>
      </w:pPr>
      <w:r w:rsidRPr="007D3983">
        <w:rPr>
          <w:rFonts w:ascii="Arial" w:eastAsia="Aptos" w:hAnsi="Arial" w:cs="Arial"/>
          <w:color w:val="000000" w:themeColor="text1"/>
          <w:sz w:val="20"/>
          <w:szCs w:val="20"/>
        </w:rPr>
        <w:t>During the year, work continued in the community to strengthen services that support people to leave hospital as soon as they are medically safe to do so. The continued development of Discharge to Assess and the expansion of Hospital at Home were integral to this approach and are expected to remain important in meeting demand and improving system flow. Length of stay data was also shared across inpatient areas to support action to reduce unnecessary delay and improve the timely movement of people from acute settings into rehabilitation and other appropriate community-based pathways. This work forms part of the broader whole-system response to reducing delays and improving patient flow across the health and social care system.</w:t>
      </w:r>
    </w:p>
    <w:p w14:paraId="7F185C48" w14:textId="77777777" w:rsidR="00CE2824" w:rsidRDefault="00CE2824" w:rsidP="0055473A">
      <w:pPr>
        <w:spacing w:after="0" w:line="20" w:lineRule="atLeast"/>
        <w:rPr>
          <w:rFonts w:ascii="Arial" w:eastAsia="Aptos" w:hAnsi="Arial" w:cs="Arial"/>
          <w:b/>
          <w:bCs/>
          <w:color w:val="000000" w:themeColor="text1"/>
          <w:sz w:val="20"/>
          <w:szCs w:val="20"/>
        </w:rPr>
      </w:pPr>
    </w:p>
    <w:p w14:paraId="6C18AD77" w14:textId="77777777" w:rsidR="002C2AA2" w:rsidRPr="002C2AA2" w:rsidRDefault="002C2AA2" w:rsidP="002C2AA2">
      <w:pPr>
        <w:spacing w:after="0" w:line="20" w:lineRule="atLeast"/>
        <w:rPr>
          <w:rFonts w:ascii="Arial" w:eastAsia="Aptos" w:hAnsi="Arial" w:cs="Arial"/>
          <w:b/>
          <w:bCs/>
          <w:color w:val="000000" w:themeColor="text1"/>
          <w:sz w:val="20"/>
          <w:szCs w:val="20"/>
        </w:rPr>
      </w:pPr>
      <w:r w:rsidRPr="002C2AA2">
        <w:rPr>
          <w:rFonts w:ascii="Arial" w:eastAsia="Aptos" w:hAnsi="Arial" w:cs="Arial"/>
          <w:b/>
          <w:bCs/>
          <w:color w:val="000000" w:themeColor="text1"/>
          <w:sz w:val="20"/>
          <w:szCs w:val="20"/>
        </w:rPr>
        <w:t>Hosted services</w:t>
      </w:r>
    </w:p>
    <w:p w14:paraId="09C3A6A5" w14:textId="77777777" w:rsidR="002C2AA2" w:rsidRPr="009738E0" w:rsidRDefault="002C2AA2" w:rsidP="002C2AA2">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The IJB faces a continuing risk that hosted services may not deliver the expected outcomes, may be unable to deliver required transformation, or may experience service failure, with consequent implications for performance, reputation and affordability. This risk reflects the complexity of governance and assurance arrangements where services are delivered across organisational and geographical boundaries.</w:t>
      </w:r>
    </w:p>
    <w:p w14:paraId="44F72E5D" w14:textId="77777777" w:rsidR="009738E0" w:rsidRDefault="009738E0" w:rsidP="002C2AA2">
      <w:pPr>
        <w:spacing w:after="0" w:line="20" w:lineRule="atLeast"/>
        <w:rPr>
          <w:rFonts w:ascii="Arial" w:eastAsia="Aptos" w:hAnsi="Arial" w:cs="Arial"/>
          <w:color w:val="000000" w:themeColor="text1"/>
          <w:sz w:val="20"/>
          <w:szCs w:val="20"/>
        </w:rPr>
      </w:pPr>
    </w:p>
    <w:p w14:paraId="31DCB786" w14:textId="18851805" w:rsidR="002C2AA2" w:rsidRPr="009738E0" w:rsidRDefault="002C2AA2" w:rsidP="002C2AA2">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During 2025/26, this risk was mitigated through established hosted service governance arrangements, routine performance and financial reporting, and continued engagement with partner Integration Joint Boards and host authorities. Oversight focused on service performance, affordability, delivery of planned change and escalation of risks where service delivery or transformation progress was a concern.</w:t>
      </w:r>
    </w:p>
    <w:p w14:paraId="6417DF47" w14:textId="77777777" w:rsidR="009738E0" w:rsidRDefault="009738E0" w:rsidP="002C2AA2">
      <w:pPr>
        <w:spacing w:after="0" w:line="20" w:lineRule="atLeast"/>
        <w:rPr>
          <w:rFonts w:ascii="Arial" w:eastAsia="Aptos" w:hAnsi="Arial" w:cs="Arial"/>
          <w:color w:val="000000" w:themeColor="text1"/>
          <w:sz w:val="20"/>
          <w:szCs w:val="20"/>
        </w:rPr>
      </w:pPr>
    </w:p>
    <w:p w14:paraId="7B795044" w14:textId="59BA889D" w:rsidR="002C2AA2" w:rsidRPr="009738E0" w:rsidRDefault="002C2AA2" w:rsidP="002C2AA2">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Key controls and sources of assurance included hosted service governance groups, service-level performance and finance reporting, formal partnership and host governance arrangements, and escalation routes through the IJB and its committees where required. These arrangements were intended to provide assurance over accountability, performance, risk and the delivery of expected outcomes across hosted services.</w:t>
      </w:r>
    </w:p>
    <w:p w14:paraId="072C5210" w14:textId="77777777" w:rsidR="009738E0" w:rsidRDefault="009738E0" w:rsidP="0055473A">
      <w:pPr>
        <w:spacing w:after="0" w:line="20" w:lineRule="atLeast"/>
        <w:rPr>
          <w:rFonts w:ascii="Arial" w:eastAsia="Aptos" w:hAnsi="Arial" w:cs="Arial"/>
          <w:b/>
          <w:bCs/>
          <w:color w:val="000000" w:themeColor="text1"/>
          <w:sz w:val="20"/>
          <w:szCs w:val="20"/>
        </w:rPr>
      </w:pPr>
    </w:p>
    <w:p w14:paraId="421CF65F" w14:textId="02DD8462" w:rsidR="00F43864" w:rsidRPr="0055473A" w:rsidRDefault="2D2FA9DB" w:rsidP="0055473A">
      <w:pPr>
        <w:spacing w:after="0" w:line="20" w:lineRule="atLeast"/>
        <w:rPr>
          <w:rFonts w:ascii="Arial" w:eastAsia="Aptos" w:hAnsi="Arial" w:cs="Arial"/>
          <w:b/>
          <w:bCs/>
          <w:color w:val="000000" w:themeColor="text1"/>
          <w:sz w:val="20"/>
          <w:szCs w:val="20"/>
        </w:rPr>
      </w:pPr>
      <w:r w:rsidRPr="0055473A">
        <w:rPr>
          <w:rFonts w:ascii="Arial" w:eastAsia="Aptos" w:hAnsi="Arial" w:cs="Arial"/>
          <w:b/>
          <w:bCs/>
          <w:color w:val="000000" w:themeColor="text1"/>
          <w:sz w:val="20"/>
          <w:szCs w:val="20"/>
        </w:rPr>
        <w:t>Workforce capacity, wellbeing and productivity</w:t>
      </w:r>
    </w:p>
    <w:p w14:paraId="72D48075" w14:textId="77777777" w:rsidR="008B09DF" w:rsidRPr="008B09DF" w:rsidRDefault="008B09DF" w:rsidP="008B09DF">
      <w:pPr>
        <w:spacing w:after="0" w:line="20" w:lineRule="atLeast"/>
        <w:rPr>
          <w:rFonts w:ascii="Arial" w:eastAsia="Aptos" w:hAnsi="Arial" w:cs="Arial"/>
          <w:color w:val="000000" w:themeColor="text1"/>
          <w:sz w:val="20"/>
          <w:szCs w:val="20"/>
        </w:rPr>
      </w:pPr>
      <w:r w:rsidRPr="008B09DF">
        <w:rPr>
          <w:rFonts w:ascii="Arial" w:eastAsia="Aptos" w:hAnsi="Arial" w:cs="Arial"/>
          <w:color w:val="000000" w:themeColor="text1"/>
          <w:sz w:val="20"/>
          <w:szCs w:val="20"/>
        </w:rPr>
        <w:t>The IJB faces a continuing risk that workforce shortages, recruitment and retention challenges, and rising sickness absence may reduce service capacity and increase reliance on agency and bank staffing. If this risk were to materialise, it could undermine service performance and affordability and place additional pressure on the sustainability of service delivery.</w:t>
      </w:r>
    </w:p>
    <w:p w14:paraId="57819D29" w14:textId="77777777" w:rsidR="008B09DF" w:rsidRDefault="008B09DF" w:rsidP="008B09DF">
      <w:pPr>
        <w:spacing w:after="0" w:line="20" w:lineRule="atLeast"/>
        <w:rPr>
          <w:rFonts w:ascii="Arial" w:eastAsia="Aptos" w:hAnsi="Arial" w:cs="Arial"/>
          <w:color w:val="000000" w:themeColor="text1"/>
          <w:sz w:val="20"/>
          <w:szCs w:val="20"/>
        </w:rPr>
      </w:pPr>
    </w:p>
    <w:p w14:paraId="4B11AD3C" w14:textId="77777777" w:rsidR="008B09DF" w:rsidRDefault="008B09DF" w:rsidP="008B09DF">
      <w:pPr>
        <w:spacing w:after="0" w:line="20" w:lineRule="atLeast"/>
        <w:rPr>
          <w:rFonts w:ascii="Arial" w:eastAsia="Aptos" w:hAnsi="Arial" w:cs="Arial"/>
          <w:color w:val="000000" w:themeColor="text1"/>
          <w:sz w:val="20"/>
          <w:szCs w:val="20"/>
        </w:rPr>
      </w:pPr>
      <w:r w:rsidRPr="008B09DF">
        <w:rPr>
          <w:rFonts w:ascii="Arial" w:eastAsia="Aptos" w:hAnsi="Arial" w:cs="Arial"/>
          <w:color w:val="000000" w:themeColor="text1"/>
          <w:sz w:val="20"/>
          <w:szCs w:val="20"/>
        </w:rPr>
        <w:t xml:space="preserve">During 2025/26, this risk was mitigated through workforce planning aligned to the Strategic Plan and the Medium-Term Financial Framework, alongside targeted actions to support recruitment and retention. Vacancy control arrangements linked to service redesign also remained in place, supported by a continued focus on staff wellbeing and the application of safe staffing models where required. </w:t>
      </w:r>
    </w:p>
    <w:p w14:paraId="5D50F560" w14:textId="22770543" w:rsidR="008B09DF" w:rsidRPr="008B09DF" w:rsidRDefault="008B09DF" w:rsidP="008B09DF">
      <w:pPr>
        <w:spacing w:after="0" w:line="20" w:lineRule="atLeast"/>
        <w:rPr>
          <w:rFonts w:ascii="Arial" w:eastAsia="Aptos" w:hAnsi="Arial" w:cs="Arial"/>
          <w:color w:val="000000" w:themeColor="text1"/>
          <w:sz w:val="20"/>
          <w:szCs w:val="20"/>
        </w:rPr>
      </w:pPr>
      <w:r w:rsidRPr="008B09DF">
        <w:rPr>
          <w:rFonts w:ascii="Arial" w:eastAsia="Aptos" w:hAnsi="Arial" w:cs="Arial"/>
          <w:color w:val="000000" w:themeColor="text1"/>
          <w:sz w:val="20"/>
          <w:szCs w:val="20"/>
        </w:rPr>
        <w:t>These arrangements were intended to support workforce resilience, maintain service continuity and ensure that staffing resources were deployed as effectively as possible within the available budget.</w:t>
      </w:r>
    </w:p>
    <w:p w14:paraId="43A8EB95" w14:textId="77777777" w:rsidR="008B09DF" w:rsidRDefault="008B09DF" w:rsidP="008B09DF">
      <w:pPr>
        <w:spacing w:after="0" w:line="20" w:lineRule="atLeast"/>
        <w:rPr>
          <w:rFonts w:ascii="Arial" w:eastAsia="Aptos" w:hAnsi="Arial" w:cs="Arial"/>
          <w:color w:val="000000" w:themeColor="text1"/>
          <w:sz w:val="20"/>
          <w:szCs w:val="20"/>
        </w:rPr>
      </w:pPr>
    </w:p>
    <w:p w14:paraId="05E23ADF" w14:textId="002FC518" w:rsidR="008B09DF" w:rsidRPr="008B09DF" w:rsidRDefault="008B09DF" w:rsidP="008B09DF">
      <w:pPr>
        <w:spacing w:after="0" w:line="20" w:lineRule="atLeast"/>
        <w:rPr>
          <w:rFonts w:ascii="Arial" w:eastAsia="Aptos" w:hAnsi="Arial" w:cs="Arial"/>
          <w:color w:val="000000" w:themeColor="text1"/>
          <w:sz w:val="20"/>
          <w:szCs w:val="20"/>
        </w:rPr>
      </w:pPr>
      <w:r w:rsidRPr="008B09DF">
        <w:rPr>
          <w:rFonts w:ascii="Arial" w:eastAsia="Aptos" w:hAnsi="Arial" w:cs="Arial"/>
          <w:color w:val="000000" w:themeColor="text1"/>
          <w:sz w:val="20"/>
          <w:szCs w:val="20"/>
        </w:rPr>
        <w:t>Key controls and sources of assurance included the refreshed Workforce Plan, establishment control data, recruitment and retention monitoring, sickness absence management arrangements and staff wellbeing initiatives. Additional assurance was provided through safe staffing escalation processes, where applicable, agency controls and approval arrangements, and regular workforce KPI reporting. The Senior Leadership Team also considered Governance Dashboard data on a monthly basis, including workforce information, to support oversight of emerging pressures, trends and mitigating actions.</w:t>
      </w:r>
    </w:p>
    <w:p w14:paraId="57D59C86" w14:textId="77777777" w:rsidR="008B09DF" w:rsidRDefault="008B09DF" w:rsidP="008B09DF">
      <w:pPr>
        <w:spacing w:after="0" w:line="20" w:lineRule="atLeast"/>
        <w:rPr>
          <w:rFonts w:ascii="Arial" w:eastAsia="Aptos" w:hAnsi="Arial" w:cs="Arial"/>
          <w:color w:val="000000" w:themeColor="text1"/>
          <w:sz w:val="20"/>
          <w:szCs w:val="20"/>
        </w:rPr>
      </w:pPr>
    </w:p>
    <w:p w14:paraId="60B3F429" w14:textId="530BC943" w:rsidR="00F43864" w:rsidRPr="00926B9C" w:rsidRDefault="008B09DF" w:rsidP="275D402A">
      <w:pPr>
        <w:spacing w:after="0" w:line="20" w:lineRule="atLeast"/>
        <w:rPr>
          <w:rFonts w:ascii="Arial" w:eastAsia="Aptos" w:hAnsi="Arial" w:cs="Arial"/>
          <w:color w:val="000000" w:themeColor="text1"/>
          <w:sz w:val="20"/>
          <w:szCs w:val="20"/>
        </w:rPr>
      </w:pPr>
      <w:r w:rsidRPr="008B09DF">
        <w:rPr>
          <w:rFonts w:ascii="Arial" w:eastAsia="Aptos" w:hAnsi="Arial" w:cs="Arial"/>
          <w:color w:val="000000" w:themeColor="text1"/>
          <w:sz w:val="20"/>
          <w:szCs w:val="20"/>
        </w:rPr>
        <w:t>During the year, Aberdeen City Health and Social Care Partnership continued to operate the Vacancy Assessment Protocol, which encourages services to consider alternatives to filling vacancies on a like-for-like basis. This approach operated throughout 2025/26 and has become embedded in routine practice. In addition to supporting vacancy management and redesign, it contributed to savings and strengthened the Partnership’s ability to manage workforce capacity in a more planned and sustainable way.</w:t>
      </w:r>
    </w:p>
    <w:p w14:paraId="588401C1" w14:textId="77777777" w:rsidR="009E0BA3" w:rsidRPr="00926B9C" w:rsidRDefault="009E0BA3" w:rsidP="0055473A">
      <w:pPr>
        <w:spacing w:after="0" w:line="20" w:lineRule="atLeast"/>
        <w:rPr>
          <w:rFonts w:ascii="Arial" w:eastAsia="Aptos" w:hAnsi="Arial" w:cs="Arial"/>
          <w:b/>
          <w:bCs/>
          <w:color w:val="000000" w:themeColor="text1"/>
          <w:sz w:val="20"/>
          <w:szCs w:val="20"/>
        </w:rPr>
      </w:pPr>
    </w:p>
    <w:p w14:paraId="28CBD276" w14:textId="00BAF63D" w:rsidR="00F43864" w:rsidRPr="0055473A" w:rsidRDefault="2D2FA9DB" w:rsidP="0055473A">
      <w:pPr>
        <w:spacing w:after="0" w:line="20" w:lineRule="atLeast"/>
        <w:rPr>
          <w:rFonts w:ascii="Arial" w:eastAsia="Aptos" w:hAnsi="Arial" w:cs="Arial"/>
          <w:b/>
          <w:bCs/>
          <w:color w:val="000000" w:themeColor="text1"/>
          <w:sz w:val="20"/>
          <w:szCs w:val="20"/>
        </w:rPr>
      </w:pPr>
      <w:r w:rsidRPr="0055473A">
        <w:rPr>
          <w:rFonts w:ascii="Arial" w:eastAsia="Aptos" w:hAnsi="Arial" w:cs="Arial"/>
          <w:b/>
          <w:bCs/>
          <w:color w:val="000000" w:themeColor="text1"/>
          <w:sz w:val="20"/>
          <w:szCs w:val="20"/>
        </w:rPr>
        <w:t>Deliverability of transformation and pace of change</w:t>
      </w:r>
    </w:p>
    <w:p w14:paraId="5FAAA90D" w14:textId="77777777" w:rsidR="00557F0C" w:rsidRPr="00557F0C" w:rsidRDefault="00557F0C" w:rsidP="00557F0C">
      <w:pPr>
        <w:spacing w:after="0" w:line="20" w:lineRule="atLeast"/>
        <w:rPr>
          <w:rFonts w:ascii="Arial" w:eastAsia="Aptos" w:hAnsi="Arial" w:cs="Arial"/>
          <w:color w:val="000000" w:themeColor="text1"/>
          <w:sz w:val="20"/>
          <w:szCs w:val="20"/>
        </w:rPr>
      </w:pPr>
      <w:r w:rsidRPr="00557F0C">
        <w:rPr>
          <w:rFonts w:ascii="Arial" w:eastAsia="Aptos" w:hAnsi="Arial" w:cs="Arial"/>
          <w:color w:val="000000" w:themeColor="text1"/>
          <w:sz w:val="20"/>
          <w:szCs w:val="20"/>
        </w:rPr>
        <w:t>The IJB faces a continuing risk that transformation benefits, including savings and service redesign, may not be delivered at the required pace or within the planned timescales. If this risk were to materialise, it could result in continued reliance on short-term measures and reduce the IJB’s ability to protect preventative services and other high-impact forms of support.</w:t>
      </w:r>
    </w:p>
    <w:p w14:paraId="4EB216DB" w14:textId="77777777" w:rsidR="00557F0C" w:rsidRPr="00557F0C" w:rsidRDefault="00557F0C" w:rsidP="00557F0C">
      <w:pPr>
        <w:spacing w:after="0" w:line="20" w:lineRule="atLeast"/>
        <w:rPr>
          <w:rFonts w:ascii="Arial" w:eastAsia="Aptos" w:hAnsi="Arial" w:cs="Arial"/>
          <w:color w:val="000000" w:themeColor="text1"/>
          <w:sz w:val="20"/>
          <w:szCs w:val="20"/>
        </w:rPr>
      </w:pPr>
    </w:p>
    <w:p w14:paraId="312439CE" w14:textId="6E83BB37" w:rsidR="00557F0C" w:rsidRPr="00557F0C" w:rsidRDefault="00557F0C" w:rsidP="007B3018">
      <w:pPr>
        <w:spacing w:after="0" w:line="20" w:lineRule="atLeast"/>
        <w:rPr>
          <w:rFonts w:ascii="Arial" w:eastAsia="Aptos" w:hAnsi="Arial" w:cs="Arial"/>
          <w:color w:val="000000" w:themeColor="text1"/>
          <w:sz w:val="20"/>
          <w:szCs w:val="20"/>
        </w:rPr>
      </w:pPr>
      <w:r w:rsidRPr="00557F0C">
        <w:rPr>
          <w:rFonts w:ascii="Arial" w:eastAsia="Aptos" w:hAnsi="Arial" w:cs="Arial"/>
          <w:color w:val="000000" w:themeColor="text1"/>
          <w:sz w:val="20"/>
          <w:szCs w:val="20"/>
        </w:rPr>
        <w:t>During 2025/26, this risk was mitigated through clear programme governance and a continued focus on benefits realisation. Integrated Impact Assessments were undertaken for material change proposals, alongside engagement with communities and stakeholders to inform planning and decision-making. Regular reporting on programme milestones, delivery risks and dependencies also supported oversight of progress and enabled emerging issues to be identified and addressed at an early stage.</w:t>
      </w:r>
    </w:p>
    <w:p w14:paraId="6E32563A" w14:textId="77777777" w:rsidR="00557F0C" w:rsidRPr="00557F0C" w:rsidRDefault="00557F0C" w:rsidP="007B3018">
      <w:pPr>
        <w:spacing w:after="0" w:line="20" w:lineRule="atLeast"/>
        <w:rPr>
          <w:rFonts w:ascii="Arial" w:eastAsia="Aptos" w:hAnsi="Arial" w:cs="Arial"/>
          <w:color w:val="000000" w:themeColor="text1"/>
          <w:sz w:val="20"/>
          <w:szCs w:val="20"/>
        </w:rPr>
      </w:pPr>
    </w:p>
    <w:p w14:paraId="55CA64C2" w14:textId="21239C5D" w:rsidR="00557F0C" w:rsidRPr="00557F0C" w:rsidRDefault="00557F0C" w:rsidP="007B3018">
      <w:pPr>
        <w:spacing w:after="0" w:line="20" w:lineRule="atLeast"/>
        <w:rPr>
          <w:rFonts w:ascii="Arial" w:eastAsia="Aptos" w:hAnsi="Arial" w:cs="Arial"/>
          <w:color w:val="000000" w:themeColor="text1"/>
          <w:sz w:val="20"/>
          <w:szCs w:val="20"/>
        </w:rPr>
      </w:pPr>
      <w:r w:rsidRPr="00557F0C">
        <w:rPr>
          <w:rFonts w:ascii="Arial" w:eastAsia="Aptos" w:hAnsi="Arial" w:cs="Arial"/>
          <w:color w:val="000000" w:themeColor="text1"/>
          <w:sz w:val="20"/>
          <w:szCs w:val="20"/>
        </w:rPr>
        <w:t>Key controls and sources of assurance included the Programme Management Office governance approach, with defined Senior Responsible Officers for individual programmes, a benefits realisation methodology, milestone reporting and exception escalation arrangements, Integrated Impact Assessments, and the management of dependencies and risks within each programme. Together, these controls supported a more structured and disciplined approach to transformation delivery and provided assurance over progress, governance and the management of implementation risks.</w:t>
      </w:r>
    </w:p>
    <w:p w14:paraId="016AB764" w14:textId="77777777" w:rsidR="00557F0C" w:rsidRPr="00557F0C" w:rsidRDefault="00557F0C" w:rsidP="007B3018">
      <w:pPr>
        <w:spacing w:after="0" w:line="20" w:lineRule="atLeast"/>
        <w:rPr>
          <w:rFonts w:ascii="Arial" w:eastAsia="Aptos" w:hAnsi="Arial" w:cs="Arial"/>
          <w:color w:val="000000" w:themeColor="text1"/>
          <w:sz w:val="20"/>
          <w:szCs w:val="20"/>
        </w:rPr>
      </w:pPr>
    </w:p>
    <w:p w14:paraId="508846E9" w14:textId="1C22E2FD" w:rsidR="00557F0C" w:rsidRPr="00557F0C" w:rsidRDefault="00557F0C" w:rsidP="007B3018">
      <w:pPr>
        <w:spacing w:after="0" w:line="20" w:lineRule="atLeast"/>
        <w:rPr>
          <w:rFonts w:ascii="Arial" w:eastAsia="Aptos" w:hAnsi="Arial" w:cs="Arial"/>
          <w:color w:val="000000" w:themeColor="text1"/>
          <w:sz w:val="20"/>
          <w:szCs w:val="20"/>
        </w:rPr>
      </w:pPr>
      <w:r w:rsidRPr="00557F0C">
        <w:rPr>
          <w:rFonts w:ascii="Arial" w:eastAsia="Aptos" w:hAnsi="Arial" w:cs="Arial"/>
          <w:color w:val="000000" w:themeColor="text1"/>
          <w:sz w:val="20"/>
          <w:szCs w:val="20"/>
        </w:rPr>
        <w:t>During the year, a significant development was the establishment of the Social Work Transformation Programme Board. This strengthened governance and oversight of transformation activity within social work services and provided a clearer structure for managing programme delivery, tracking progress and escalating issues where required. This is expected to support a more coordinated and sustainable approach to delivering change and securing the intended benefits of transformation over time.</w:t>
      </w:r>
    </w:p>
    <w:p w14:paraId="70A415BE" w14:textId="472DBE1D" w:rsidR="009738E0" w:rsidRPr="009738E0" w:rsidRDefault="009738E0" w:rsidP="009738E0">
      <w:pPr>
        <w:spacing w:after="0" w:line="20" w:lineRule="atLeast"/>
        <w:rPr>
          <w:rFonts w:ascii="Arial" w:eastAsia="Aptos" w:hAnsi="Arial" w:cs="Arial"/>
          <w:b/>
          <w:bCs/>
          <w:color w:val="000000" w:themeColor="text1"/>
          <w:sz w:val="20"/>
          <w:szCs w:val="20"/>
        </w:rPr>
      </w:pPr>
      <w:r w:rsidRPr="009738E0">
        <w:rPr>
          <w:rFonts w:ascii="Arial" w:eastAsia="Aptos" w:hAnsi="Arial" w:cs="Arial"/>
          <w:b/>
          <w:bCs/>
          <w:color w:val="000000" w:themeColor="text1"/>
          <w:sz w:val="20"/>
          <w:szCs w:val="20"/>
        </w:rPr>
        <w:t>Performance and standards</w:t>
      </w:r>
    </w:p>
    <w:p w14:paraId="61E31641" w14:textId="77777777" w:rsidR="009738E0" w:rsidRPr="009738E0" w:rsidRDefault="009738E0" w:rsidP="009738E0">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The IJB also faces a continuing risk that services it directs, or over which it has operational oversight, may not consistently meet required national, regulatory or local standards. If this risk were to materialise, it could adversely affect quality, safety, user experience, compliance and public confidence.</w:t>
      </w:r>
    </w:p>
    <w:p w14:paraId="1411DDC8" w14:textId="77777777" w:rsidR="009738E0" w:rsidRDefault="009738E0" w:rsidP="009738E0">
      <w:pPr>
        <w:spacing w:after="0" w:line="20" w:lineRule="atLeast"/>
        <w:rPr>
          <w:rFonts w:ascii="Arial" w:eastAsia="Aptos" w:hAnsi="Arial" w:cs="Arial"/>
          <w:color w:val="000000" w:themeColor="text1"/>
          <w:sz w:val="20"/>
          <w:szCs w:val="20"/>
        </w:rPr>
      </w:pPr>
    </w:p>
    <w:p w14:paraId="5FD99BBF" w14:textId="025F10BD" w:rsidR="009738E0" w:rsidRPr="009738E0" w:rsidRDefault="009738E0" w:rsidP="009738E0">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During 2025/26, this risk was mitigated through established performance management and governance arrangements, including routine monitoring of service performance, quality and compliance, alongside scrutiny through the IJB’s governance structures. Improvement activity was progressed where performance issues or areas of non-compliance were identified.</w:t>
      </w:r>
    </w:p>
    <w:p w14:paraId="2618CD35" w14:textId="77777777" w:rsidR="009738E0" w:rsidRDefault="009738E0" w:rsidP="009738E0">
      <w:pPr>
        <w:spacing w:after="0" w:line="20" w:lineRule="atLeast"/>
        <w:rPr>
          <w:rFonts w:ascii="Arial" w:eastAsia="Aptos" w:hAnsi="Arial" w:cs="Arial"/>
          <w:color w:val="000000" w:themeColor="text1"/>
          <w:sz w:val="20"/>
          <w:szCs w:val="20"/>
        </w:rPr>
      </w:pPr>
    </w:p>
    <w:p w14:paraId="3A38C9F3" w14:textId="0C760134" w:rsidR="009738E0" w:rsidRPr="009738E0" w:rsidRDefault="009738E0" w:rsidP="009738E0">
      <w:pPr>
        <w:spacing w:after="0" w:line="20" w:lineRule="atLeast"/>
        <w:rPr>
          <w:rFonts w:ascii="Arial" w:eastAsia="Aptos" w:hAnsi="Arial" w:cs="Arial"/>
          <w:color w:val="000000" w:themeColor="text1"/>
          <w:sz w:val="20"/>
          <w:szCs w:val="20"/>
        </w:rPr>
      </w:pPr>
      <w:r w:rsidRPr="009738E0">
        <w:rPr>
          <w:rFonts w:ascii="Arial" w:eastAsia="Aptos" w:hAnsi="Arial" w:cs="Arial"/>
          <w:color w:val="000000" w:themeColor="text1"/>
          <w:sz w:val="20"/>
          <w:szCs w:val="20"/>
        </w:rPr>
        <w:t>Key controls and sources of assurance included performance dashboards, regulatory and quality monitoring, clinical and care governance arrangements, service reviews, internal audit activity where relevant, and reporting through the Senior Leadership Team, Clinical and Care Governance structures, the Risk, Audit and Performance Committee and the IJB. Together, these arrangements supported oversight of service quality, standards and improvement activity across the Partnership.</w:t>
      </w:r>
    </w:p>
    <w:p w14:paraId="54E8CF21" w14:textId="77777777" w:rsidR="009738E0" w:rsidRDefault="009738E0" w:rsidP="00DD15C6">
      <w:pPr>
        <w:spacing w:after="0" w:line="20" w:lineRule="atLeast"/>
        <w:rPr>
          <w:rFonts w:ascii="Arial" w:eastAsia="Aptos" w:hAnsi="Arial" w:cs="Arial"/>
          <w:b/>
          <w:bCs/>
          <w:color w:val="000000" w:themeColor="text1"/>
          <w:sz w:val="20"/>
          <w:szCs w:val="20"/>
        </w:rPr>
      </w:pPr>
    </w:p>
    <w:p w14:paraId="298BD085" w14:textId="235026AF" w:rsidR="00DD15C6" w:rsidRPr="00DD15C6" w:rsidRDefault="00DD15C6" w:rsidP="00DD15C6">
      <w:pPr>
        <w:spacing w:after="0" w:line="20" w:lineRule="atLeast"/>
        <w:rPr>
          <w:rFonts w:ascii="Arial" w:eastAsia="Aptos" w:hAnsi="Arial" w:cs="Arial"/>
          <w:b/>
          <w:bCs/>
          <w:color w:val="000000" w:themeColor="text1"/>
          <w:sz w:val="20"/>
          <w:szCs w:val="20"/>
        </w:rPr>
      </w:pPr>
      <w:r w:rsidRPr="00DD15C6">
        <w:rPr>
          <w:rFonts w:ascii="Arial" w:eastAsia="Aptos" w:hAnsi="Arial" w:cs="Arial"/>
          <w:b/>
          <w:bCs/>
          <w:color w:val="000000" w:themeColor="text1"/>
          <w:sz w:val="20"/>
          <w:szCs w:val="20"/>
        </w:rPr>
        <w:t>Additional assurance and horizon scanning</w:t>
      </w:r>
    </w:p>
    <w:p w14:paraId="56264EF3" w14:textId="77777777" w:rsidR="00184235" w:rsidRPr="00184235" w:rsidRDefault="00184235" w:rsidP="00184235">
      <w:pPr>
        <w:spacing w:after="0" w:line="20" w:lineRule="atLeast"/>
        <w:rPr>
          <w:rFonts w:ascii="Arial" w:eastAsia="Aptos" w:hAnsi="Arial" w:cs="Arial"/>
          <w:color w:val="000000" w:themeColor="text1"/>
          <w:sz w:val="20"/>
          <w:szCs w:val="20"/>
        </w:rPr>
      </w:pPr>
      <w:r w:rsidRPr="00184235">
        <w:rPr>
          <w:rFonts w:ascii="Arial" w:eastAsia="Aptos" w:hAnsi="Arial" w:cs="Arial"/>
          <w:color w:val="000000" w:themeColor="text1"/>
          <w:sz w:val="20"/>
          <w:szCs w:val="20"/>
        </w:rPr>
        <w:t>In addition to the principal risks above, the IJB continues to receive assurance and oversight in relation to other important areas, including health and safety, emergency planning, information governance, cyber security, fraud prevention and wider compliance matters. In many of these areas, the IJB draws assurance from Aberdeen City Council and NHS Grampian as partner organisations, alongside its own governance processes.</w:t>
      </w:r>
    </w:p>
    <w:p w14:paraId="48EFDD63" w14:textId="77777777" w:rsidR="00184235" w:rsidRDefault="00184235" w:rsidP="00184235">
      <w:pPr>
        <w:spacing w:after="0" w:line="20" w:lineRule="atLeast"/>
        <w:rPr>
          <w:rFonts w:ascii="Arial" w:eastAsia="Aptos" w:hAnsi="Arial" w:cs="Arial"/>
          <w:color w:val="000000" w:themeColor="text1"/>
          <w:sz w:val="20"/>
          <w:szCs w:val="20"/>
        </w:rPr>
      </w:pPr>
    </w:p>
    <w:p w14:paraId="16AF9925" w14:textId="392B307C" w:rsidR="00184235" w:rsidRPr="00184235" w:rsidRDefault="00184235" w:rsidP="00184235">
      <w:pPr>
        <w:spacing w:after="0" w:line="20" w:lineRule="atLeast"/>
        <w:rPr>
          <w:rFonts w:ascii="Arial" w:eastAsia="Aptos" w:hAnsi="Arial" w:cs="Arial"/>
          <w:color w:val="000000" w:themeColor="text1"/>
          <w:sz w:val="20"/>
          <w:szCs w:val="20"/>
        </w:rPr>
      </w:pPr>
      <w:r w:rsidRPr="00184235">
        <w:rPr>
          <w:rFonts w:ascii="Arial" w:eastAsia="Aptos" w:hAnsi="Arial" w:cs="Arial"/>
          <w:color w:val="000000" w:themeColor="text1"/>
          <w:sz w:val="20"/>
          <w:szCs w:val="20"/>
        </w:rPr>
        <w:t>The Senior Leadership Team also undertakes horizon scanning to identify emerging risks. This is important in a volatile external environment where national, economic or supply-related disruption could affect service continuity. Emerging risks are considered through established governance routes and escalated where appropriate.</w:t>
      </w:r>
    </w:p>
    <w:p w14:paraId="7B7D24F7" w14:textId="77777777" w:rsidR="00184235" w:rsidRDefault="00184235" w:rsidP="003E4F52">
      <w:pPr>
        <w:spacing w:after="0" w:line="20" w:lineRule="atLeast"/>
        <w:rPr>
          <w:rFonts w:ascii="Arial" w:eastAsia="Aptos" w:hAnsi="Arial" w:cs="Arial"/>
          <w:b/>
          <w:bCs/>
          <w:color w:val="000000" w:themeColor="text1"/>
          <w:sz w:val="20"/>
          <w:szCs w:val="20"/>
        </w:rPr>
      </w:pPr>
    </w:p>
    <w:p w14:paraId="371BF1DA" w14:textId="77777777" w:rsidR="00E81DD2" w:rsidRPr="00E81DD2" w:rsidRDefault="00E81DD2" w:rsidP="00E81DD2">
      <w:pPr>
        <w:spacing w:after="0" w:line="20" w:lineRule="atLeast"/>
        <w:rPr>
          <w:rFonts w:ascii="Arial" w:eastAsia="Aptos" w:hAnsi="Arial" w:cs="Arial"/>
          <w:color w:val="000000" w:themeColor="text1"/>
          <w:sz w:val="20"/>
          <w:szCs w:val="20"/>
        </w:rPr>
      </w:pPr>
      <w:r w:rsidRPr="00E81DD2">
        <w:rPr>
          <w:rFonts w:ascii="Arial" w:eastAsia="Aptos" w:hAnsi="Arial" w:cs="Arial"/>
          <w:color w:val="000000" w:themeColor="text1"/>
          <w:sz w:val="20"/>
          <w:szCs w:val="20"/>
        </w:rPr>
        <w:t>Community engagement and involvement in decision-making also remains an important area of strategic risk. In a period of financial constraint and service redesign, the IJB recognises that effective engagement with communities, carers, providers, staff and people with lived experience is essential to transparent decision-making, impact assessment and the successful delivery of change. During 2025/26, this was supported through structured engagement activity linked to transformation, budget development and Integrated Impact Assessments.</w:t>
      </w:r>
    </w:p>
    <w:p w14:paraId="62F27A9F" w14:textId="77777777" w:rsidR="00E81DD2" w:rsidRPr="00E81DD2" w:rsidRDefault="00E81DD2" w:rsidP="003E4F52">
      <w:pPr>
        <w:spacing w:after="0" w:line="20" w:lineRule="atLeast"/>
        <w:rPr>
          <w:rFonts w:ascii="Arial" w:eastAsia="Aptos" w:hAnsi="Arial" w:cs="Arial"/>
          <w:color w:val="000000" w:themeColor="text1"/>
          <w:sz w:val="20"/>
          <w:szCs w:val="20"/>
        </w:rPr>
      </w:pPr>
    </w:p>
    <w:p w14:paraId="7CE76C48" w14:textId="77777777" w:rsidR="009638BD" w:rsidRPr="009638BD" w:rsidRDefault="2D2FA9DB" w:rsidP="009638BD">
      <w:pPr>
        <w:spacing w:after="0" w:line="20" w:lineRule="atLeast"/>
        <w:rPr>
          <w:rFonts w:ascii="Arial" w:eastAsia="Aptos" w:hAnsi="Arial" w:cs="Arial"/>
          <w:color w:val="000000" w:themeColor="text1"/>
          <w:sz w:val="20"/>
          <w:szCs w:val="20"/>
        </w:rPr>
      </w:pPr>
      <w:r w:rsidRPr="00C9207C">
        <w:rPr>
          <w:rFonts w:ascii="Arial" w:eastAsia="Aptos" w:hAnsi="Arial" w:cs="Arial"/>
          <w:b/>
          <w:bCs/>
          <w:color w:val="000000" w:themeColor="text1"/>
          <w:sz w:val="20"/>
          <w:szCs w:val="20"/>
        </w:rPr>
        <w:t>Outlook (2026/27 and beyond)</w:t>
      </w:r>
      <w:r w:rsidR="00F43864">
        <w:br/>
      </w:r>
      <w:r w:rsidR="009638BD" w:rsidRPr="009638BD">
        <w:rPr>
          <w:rFonts w:ascii="Arial" w:eastAsia="Aptos" w:hAnsi="Arial" w:cs="Arial"/>
          <w:color w:val="000000" w:themeColor="text1"/>
          <w:sz w:val="20"/>
          <w:szCs w:val="20"/>
        </w:rPr>
        <w:t>Looking ahead, the IJB’s overall risk profile remains heightened. While the improved 2025/26 year-end position has provided some short-term resilience and enabled the rebuilding of uncommitted reserves, this does not remove the underlying requirement to achieve recurring financial balance through sustained savings delivery, service redesign and tighter management of demand-led pressures. The most material risks entering 2026/27 remain financial sustainability, workforce capacity, commissioned service resilience, whole-system flow and the deliverability of transformation at the pace required.</w:t>
      </w:r>
    </w:p>
    <w:p w14:paraId="55320156" w14:textId="77777777" w:rsidR="009638BD" w:rsidRPr="009638BD" w:rsidRDefault="009638BD" w:rsidP="009638BD">
      <w:pPr>
        <w:spacing w:after="0" w:line="20" w:lineRule="atLeast"/>
        <w:rPr>
          <w:rFonts w:ascii="Arial" w:eastAsia="Aptos" w:hAnsi="Arial" w:cs="Arial"/>
          <w:color w:val="000000" w:themeColor="text1"/>
          <w:sz w:val="20"/>
          <w:szCs w:val="20"/>
        </w:rPr>
      </w:pPr>
      <w:r w:rsidRPr="009638BD">
        <w:rPr>
          <w:rFonts w:ascii="Arial" w:eastAsia="Aptos" w:hAnsi="Arial" w:cs="Arial"/>
          <w:color w:val="000000" w:themeColor="text1"/>
          <w:sz w:val="20"/>
          <w:szCs w:val="20"/>
        </w:rPr>
        <w:t>These risks are closely interrelated. For example, constraints in community workforce capacity or commissioned provision can increase delayed discharge and whole-system pressure; delays in transformation can prolong reliance on short-term measures; and sustained demand and cost pressures in high-cost and complex services can undermine financial resilience and reduce the scope to invest in prevention and earlier intervention. The key challenge for the IJB in 2026/27 will therefore be not only to maintain effective oversight of individual risks, but to ensure that mitigating actions across the system translate into measurable improvement in affordability, service sustainability and outcomes.</w:t>
      </w:r>
    </w:p>
    <w:p w14:paraId="264FD026" w14:textId="77777777" w:rsidR="009638BD" w:rsidRDefault="009638BD" w:rsidP="009638BD">
      <w:pPr>
        <w:spacing w:after="0" w:line="20" w:lineRule="atLeast"/>
        <w:rPr>
          <w:rFonts w:ascii="Arial" w:eastAsia="Aptos" w:hAnsi="Arial" w:cs="Arial"/>
          <w:color w:val="000000" w:themeColor="text1"/>
          <w:sz w:val="20"/>
          <w:szCs w:val="20"/>
        </w:rPr>
      </w:pPr>
    </w:p>
    <w:p w14:paraId="7A6A31C1" w14:textId="0818465B" w:rsidR="009638BD" w:rsidRPr="009638BD" w:rsidRDefault="009638BD" w:rsidP="009638BD">
      <w:pPr>
        <w:spacing w:after="0" w:line="20" w:lineRule="atLeast"/>
        <w:rPr>
          <w:rFonts w:ascii="Arial" w:eastAsia="Aptos" w:hAnsi="Arial" w:cs="Arial"/>
          <w:color w:val="000000" w:themeColor="text1"/>
          <w:sz w:val="20"/>
          <w:szCs w:val="20"/>
        </w:rPr>
      </w:pPr>
      <w:r w:rsidRPr="009638BD">
        <w:rPr>
          <w:rFonts w:ascii="Arial" w:eastAsia="Aptos" w:hAnsi="Arial" w:cs="Arial"/>
          <w:color w:val="000000" w:themeColor="text1"/>
          <w:sz w:val="20"/>
          <w:szCs w:val="20"/>
        </w:rPr>
        <w:t>In response, the IJB will continue to focus on maintaining safe, person-centred services while strengthening in-year financial control, improving forecasting, accelerating recurring savings, stabilising and reshaping commissioned services, supporting workforce resilience, improving system flow and strengthening programme governance for transformation. This will require clear prioritisation, difficult decisions and sustained collaboration with partner organisations, providers and wider stakeholders.</w:t>
      </w:r>
    </w:p>
    <w:p w14:paraId="62681E7E" w14:textId="77777777" w:rsidR="009638BD" w:rsidRDefault="009638BD" w:rsidP="009638BD">
      <w:pPr>
        <w:spacing w:after="0" w:line="20" w:lineRule="atLeast"/>
        <w:rPr>
          <w:rFonts w:ascii="Arial" w:eastAsia="Aptos" w:hAnsi="Arial" w:cs="Arial"/>
          <w:color w:val="000000" w:themeColor="text1"/>
          <w:sz w:val="20"/>
          <w:szCs w:val="20"/>
        </w:rPr>
      </w:pPr>
    </w:p>
    <w:p w14:paraId="6240AB17" w14:textId="5EF11965" w:rsidR="009638BD" w:rsidRDefault="009638BD" w:rsidP="009638BD">
      <w:pPr>
        <w:spacing w:after="0" w:line="20" w:lineRule="atLeast"/>
        <w:rPr>
          <w:rFonts w:ascii="Arial" w:eastAsia="Aptos" w:hAnsi="Arial" w:cs="Arial"/>
          <w:color w:val="000000" w:themeColor="text1"/>
          <w:sz w:val="20"/>
          <w:szCs w:val="20"/>
        </w:rPr>
      </w:pPr>
      <w:r w:rsidRPr="009638BD">
        <w:rPr>
          <w:rFonts w:ascii="Arial" w:eastAsia="Aptos" w:hAnsi="Arial" w:cs="Arial"/>
          <w:color w:val="000000" w:themeColor="text1"/>
          <w:sz w:val="20"/>
          <w:szCs w:val="20"/>
        </w:rPr>
        <w:t xml:space="preserve">The IJB also recognises the need to maintain oversight of emerging external risks that could affect service continuity, operating costs or delivery capacity during 2026/27. This includes the potential for supply-side disruption, such as fuel availability, which could have implications for transport-dependent and community-based services. Such risks will continue to be monitored through horizon scanning, business continuity and emergency planning arrangements, with critical services identified and </w:t>
      </w:r>
      <w:r w:rsidRPr="009638BD">
        <w:rPr>
          <w:rFonts w:ascii="Arial" w:eastAsia="Aptos" w:hAnsi="Arial" w:cs="Arial"/>
          <w:color w:val="000000" w:themeColor="text1"/>
          <w:sz w:val="20"/>
          <w:szCs w:val="20"/>
        </w:rPr>
        <w:lastRenderedPageBreak/>
        <w:t>prioritised where necessary through established local and national resilience arrangements, including the UK Government’s National Emergency Plan for Fuel.</w:t>
      </w:r>
    </w:p>
    <w:p w14:paraId="53FF66D1" w14:textId="77777777" w:rsidR="009638BD" w:rsidRDefault="009638BD" w:rsidP="009638BD">
      <w:pPr>
        <w:spacing w:after="0" w:line="20" w:lineRule="atLeast"/>
        <w:rPr>
          <w:rFonts w:ascii="Arial" w:eastAsia="Aptos" w:hAnsi="Arial" w:cs="Arial"/>
          <w:color w:val="000000" w:themeColor="text1"/>
          <w:sz w:val="20"/>
          <w:szCs w:val="20"/>
        </w:rPr>
      </w:pPr>
    </w:p>
    <w:p w14:paraId="324FED13" w14:textId="77777777" w:rsidR="007F4978" w:rsidRPr="007F4978" w:rsidRDefault="2D2FA9DB" w:rsidP="007F4978">
      <w:pPr>
        <w:spacing w:after="0" w:line="20" w:lineRule="atLeast"/>
        <w:rPr>
          <w:rFonts w:ascii="Arial" w:eastAsia="Aptos" w:hAnsi="Arial" w:cs="Arial"/>
          <w:color w:val="000000" w:themeColor="text1"/>
          <w:sz w:val="20"/>
          <w:szCs w:val="20"/>
        </w:rPr>
      </w:pPr>
      <w:r w:rsidRPr="00C9207C">
        <w:rPr>
          <w:rFonts w:ascii="Arial" w:eastAsia="Aptos" w:hAnsi="Arial" w:cs="Arial"/>
          <w:b/>
          <w:bCs/>
          <w:color w:val="000000" w:themeColor="text1"/>
          <w:sz w:val="20"/>
          <w:szCs w:val="20"/>
        </w:rPr>
        <w:t>Continuous improvement of risk reporting</w:t>
      </w:r>
      <w:r w:rsidR="00F43864">
        <w:br/>
      </w:r>
      <w:r w:rsidR="007F4978" w:rsidRPr="007F4978">
        <w:rPr>
          <w:rFonts w:ascii="Arial" w:eastAsia="Aptos" w:hAnsi="Arial" w:cs="Arial"/>
          <w:color w:val="000000" w:themeColor="text1"/>
          <w:sz w:val="20"/>
          <w:szCs w:val="20"/>
        </w:rPr>
        <w:t>An audit of the Strategic Risk Register was undertaken during 2025/26, with the findings informing a programme of improvements to be implemented in 2026/27. These improvements will include clearer review dates for each risk, a more explicit articulation of risk appetite, and clearer assurance routes and reporting arrangements. They will also strengthen the linkage between principal risks, key controls, available sources of assurance, including internal audit activity, and any identified assurance gaps.</w:t>
      </w:r>
    </w:p>
    <w:p w14:paraId="55AE3A7E" w14:textId="77777777" w:rsidR="007F4978" w:rsidRDefault="007F4978" w:rsidP="007F4978">
      <w:pPr>
        <w:spacing w:after="0" w:line="20" w:lineRule="atLeast"/>
        <w:rPr>
          <w:rFonts w:ascii="Arial" w:eastAsia="Aptos" w:hAnsi="Arial" w:cs="Arial"/>
          <w:color w:val="000000" w:themeColor="text1"/>
          <w:sz w:val="20"/>
          <w:szCs w:val="20"/>
        </w:rPr>
      </w:pPr>
    </w:p>
    <w:p w14:paraId="3F46C9F2" w14:textId="765FD654" w:rsidR="007F4978" w:rsidRPr="007F4978" w:rsidRDefault="007F4978" w:rsidP="007F4978">
      <w:pPr>
        <w:spacing w:after="0" w:line="20" w:lineRule="atLeast"/>
        <w:rPr>
          <w:rFonts w:ascii="Arial" w:eastAsia="Aptos" w:hAnsi="Arial" w:cs="Arial"/>
          <w:color w:val="000000" w:themeColor="text1"/>
          <w:sz w:val="20"/>
          <w:szCs w:val="20"/>
        </w:rPr>
      </w:pPr>
      <w:r w:rsidRPr="007F4978">
        <w:rPr>
          <w:rFonts w:ascii="Arial" w:eastAsia="Aptos" w:hAnsi="Arial" w:cs="Arial"/>
          <w:color w:val="000000" w:themeColor="text1"/>
          <w:sz w:val="20"/>
          <w:szCs w:val="20"/>
        </w:rPr>
        <w:t>As a result, the Strategic Risk Register will be updated to reflect the audit findings. This work will be led by the Business, Resilience and Communications Lead, working with risk owners, in July 2026. The revised format will then be reported to the Risk, Audit and Performance Committee in November 2026.</w:t>
      </w:r>
    </w:p>
    <w:p w14:paraId="122916D1" w14:textId="3F8F1BE2" w:rsidR="000107E1" w:rsidRPr="00C9207C" w:rsidRDefault="00B8715B" w:rsidP="00A51927">
      <w:pPr>
        <w:pStyle w:val="Heading2"/>
        <w:jc w:val="left"/>
        <w:rPr>
          <w:rFonts w:ascii="Arial" w:hAnsi="Arial" w:cs="Arial"/>
          <w:kern w:val="2"/>
          <w14:ligatures w14:val="standardContextual"/>
        </w:rPr>
      </w:pPr>
      <w:bookmarkStart w:id="13" w:name="_Toc232169344"/>
      <w:r w:rsidRPr="00C9207C">
        <w:rPr>
          <w:rFonts w:ascii="Arial" w:hAnsi="Arial" w:cs="Arial"/>
        </w:rPr>
        <w:t xml:space="preserve">1.6 </w:t>
      </w:r>
      <w:r w:rsidR="00EB5579" w:rsidRPr="00C9207C">
        <w:rPr>
          <w:rFonts w:ascii="Arial" w:hAnsi="Arial" w:cs="Arial"/>
        </w:rPr>
        <w:t>Our p</w:t>
      </w:r>
      <w:r w:rsidR="000107E1" w:rsidRPr="00C9207C">
        <w:rPr>
          <w:rFonts w:ascii="Arial" w:hAnsi="Arial" w:cs="Arial"/>
        </w:rPr>
        <w:t xml:space="preserve">riorities and plans for </w:t>
      </w:r>
      <w:r w:rsidR="00EB5579" w:rsidRPr="00C9207C">
        <w:rPr>
          <w:rFonts w:ascii="Arial" w:hAnsi="Arial" w:cs="Arial"/>
        </w:rPr>
        <w:t>the years ahead</w:t>
      </w:r>
      <w:bookmarkEnd w:id="13"/>
    </w:p>
    <w:p w14:paraId="3511E5DB" w14:textId="3F759A95" w:rsidR="00531AB7" w:rsidRPr="00C9207C" w:rsidRDefault="00531AB7">
      <w:pPr>
        <w:spacing w:after="0"/>
        <w:rPr>
          <w:rFonts w:ascii="Arial" w:hAnsi="Arial" w:cs="Arial"/>
          <w:sz w:val="20"/>
          <w:szCs w:val="20"/>
          <w:shd w:val="clear" w:color="auto" w:fill="FFFF00"/>
        </w:rPr>
      </w:pPr>
    </w:p>
    <w:p w14:paraId="23CE9FE1" w14:textId="067D5886" w:rsidR="00E44049" w:rsidRPr="005223A6" w:rsidRDefault="00E44049" w:rsidP="005D126E">
      <w:pPr>
        <w:spacing w:after="0" w:line="20" w:lineRule="atLeast"/>
        <w:rPr>
          <w:rFonts w:ascii="Arial" w:eastAsia="Aptos" w:hAnsi="Arial" w:cs="Arial"/>
          <w:color w:val="000000" w:themeColor="text1"/>
          <w:sz w:val="20"/>
          <w:szCs w:val="20"/>
        </w:rPr>
      </w:pPr>
      <w:r w:rsidRPr="005223A6">
        <w:rPr>
          <w:rFonts w:ascii="Arial" w:eastAsia="Aptos" w:hAnsi="Arial" w:cs="Arial"/>
          <w:color w:val="000000" w:themeColor="text1"/>
          <w:sz w:val="20"/>
          <w:szCs w:val="20"/>
        </w:rPr>
        <w:t xml:space="preserve">Looking ahead to 2026/27 and beyond, our priorities are set out in the Strategic Plan 2025–2029 and its Route Map for Delivery. Over the coming years, the Partnership will focus on modernising our approach to service delivery and shifting further towards prevention and early intervention, while maintaining safe, person-centred services and improving outcomes. Delivering this will require sustained transformation, strong financial </w:t>
      </w:r>
      <w:r w:rsidR="00DB7502" w:rsidRPr="005223A6">
        <w:rPr>
          <w:rFonts w:ascii="Arial" w:eastAsia="Aptos" w:hAnsi="Arial" w:cs="Arial"/>
          <w:color w:val="000000" w:themeColor="text1"/>
          <w:sz w:val="20"/>
          <w:szCs w:val="20"/>
        </w:rPr>
        <w:t>resilience</w:t>
      </w:r>
      <w:r w:rsidRPr="005223A6">
        <w:rPr>
          <w:rFonts w:ascii="Arial" w:eastAsia="Aptos" w:hAnsi="Arial" w:cs="Arial"/>
          <w:color w:val="000000" w:themeColor="text1"/>
          <w:sz w:val="20"/>
          <w:szCs w:val="20"/>
        </w:rPr>
        <w:t xml:space="preserve"> and clear prioritisation to ensure services remain sustainable and deliver best value.</w:t>
      </w:r>
    </w:p>
    <w:p w14:paraId="1AC6613F" w14:textId="77777777" w:rsidR="00D9646F" w:rsidRPr="005223A6" w:rsidRDefault="00D9646F" w:rsidP="005D126E">
      <w:pPr>
        <w:spacing w:after="0" w:line="20" w:lineRule="atLeast"/>
        <w:rPr>
          <w:rFonts w:ascii="Arial" w:eastAsia="Aptos" w:hAnsi="Arial" w:cs="Arial"/>
          <w:color w:val="000000" w:themeColor="text1"/>
          <w:sz w:val="20"/>
          <w:szCs w:val="20"/>
        </w:rPr>
      </w:pPr>
    </w:p>
    <w:p w14:paraId="725092B5" w14:textId="2882EB18" w:rsidR="00F6419A" w:rsidRPr="005223A6" w:rsidRDefault="00F6419A" w:rsidP="005D126E">
      <w:pPr>
        <w:spacing w:after="0" w:line="20" w:lineRule="atLeast"/>
        <w:rPr>
          <w:rFonts w:ascii="Arial" w:eastAsia="Aptos" w:hAnsi="Arial" w:cs="Arial"/>
          <w:color w:val="000000" w:themeColor="text1"/>
          <w:sz w:val="20"/>
          <w:szCs w:val="20"/>
        </w:rPr>
      </w:pPr>
      <w:r w:rsidRPr="005223A6">
        <w:rPr>
          <w:rFonts w:ascii="Arial" w:eastAsia="Aptos" w:hAnsi="Arial" w:cs="Arial"/>
          <w:color w:val="000000" w:themeColor="text1"/>
          <w:sz w:val="20"/>
          <w:szCs w:val="20"/>
        </w:rPr>
        <w:t>In 2025/26, the improved year-end position provided welcome resilience, but it does not remove the underlying requirement for recurring savings and service redesign; the MTFF sets out the outlook and the scale of change required from 2026/27 onwards.</w:t>
      </w:r>
    </w:p>
    <w:p w14:paraId="192D2698" w14:textId="77777777" w:rsidR="000E3E22" w:rsidRDefault="000E3E22" w:rsidP="005D126E">
      <w:pPr>
        <w:spacing w:after="0" w:line="20" w:lineRule="atLeast"/>
        <w:rPr>
          <w:rFonts w:ascii="Arial" w:hAnsi="Arial" w:cs="Arial"/>
          <w:b/>
          <w:bCs/>
          <w:sz w:val="20"/>
          <w:szCs w:val="20"/>
        </w:rPr>
      </w:pPr>
    </w:p>
    <w:p w14:paraId="4BDB9C72" w14:textId="781362EE" w:rsidR="004F3E49" w:rsidRDefault="004F3E49" w:rsidP="005D126E">
      <w:pPr>
        <w:spacing w:after="0" w:line="20" w:lineRule="atLeast"/>
        <w:rPr>
          <w:rFonts w:ascii="Arial" w:hAnsi="Arial" w:cs="Arial"/>
          <w:b/>
          <w:bCs/>
          <w:sz w:val="20"/>
          <w:szCs w:val="20"/>
        </w:rPr>
      </w:pPr>
      <w:r w:rsidRPr="00C9207C">
        <w:rPr>
          <w:rFonts w:ascii="Arial" w:hAnsi="Arial" w:cs="Arial"/>
          <w:b/>
          <w:bCs/>
          <w:sz w:val="20"/>
          <w:szCs w:val="20"/>
        </w:rPr>
        <w:t>Medium-Term Financial Framework (MTFF): priorities, delivery approach and outlook</w:t>
      </w:r>
    </w:p>
    <w:p w14:paraId="3122E9C2" w14:textId="77777777" w:rsidR="000E3E22" w:rsidRPr="00C9207C" w:rsidRDefault="000E3E22" w:rsidP="005D126E">
      <w:pPr>
        <w:spacing w:after="0" w:line="20" w:lineRule="atLeast"/>
        <w:rPr>
          <w:rFonts w:ascii="Arial" w:hAnsi="Arial" w:cs="Arial"/>
          <w:sz w:val="20"/>
          <w:szCs w:val="20"/>
        </w:rPr>
      </w:pPr>
    </w:p>
    <w:p w14:paraId="0AAB1065" w14:textId="751B1CEF" w:rsidR="00E44049" w:rsidRPr="00C9207C" w:rsidRDefault="00E44049" w:rsidP="005D126E">
      <w:pPr>
        <w:spacing w:after="0" w:line="20" w:lineRule="atLeast"/>
        <w:rPr>
          <w:rFonts w:ascii="Arial" w:hAnsi="Arial" w:cs="Arial"/>
          <w:sz w:val="20"/>
          <w:szCs w:val="20"/>
        </w:rPr>
      </w:pPr>
      <w:r w:rsidRPr="00C9207C">
        <w:rPr>
          <w:rFonts w:ascii="Arial" w:hAnsi="Arial" w:cs="Arial"/>
          <w:sz w:val="20"/>
          <w:szCs w:val="20"/>
        </w:rPr>
        <w:t>Approved by the IJB in March 2026, the Medium-Term Financial Framework (MTFF) for 2026/27–2030/31 sets out the scale of the medium-term financial challenge and the approach required to achieve sustainability through recurring savings and service redesign, aligned to the Strategic Plan 2025–2029.</w:t>
      </w:r>
    </w:p>
    <w:p w14:paraId="0562F00B" w14:textId="77777777" w:rsidR="005C01B4" w:rsidRDefault="005C01B4" w:rsidP="005D126E">
      <w:pPr>
        <w:spacing w:after="0" w:line="20" w:lineRule="atLeast"/>
        <w:rPr>
          <w:rFonts w:ascii="Arial" w:hAnsi="Arial" w:cs="Arial"/>
          <w:sz w:val="20"/>
          <w:szCs w:val="20"/>
        </w:rPr>
      </w:pPr>
    </w:p>
    <w:p w14:paraId="0D0CF8E8" w14:textId="179D3766" w:rsidR="004F3E49" w:rsidRPr="00C9207C" w:rsidRDefault="004F3E49" w:rsidP="005D126E">
      <w:pPr>
        <w:spacing w:after="0" w:line="20" w:lineRule="atLeast"/>
        <w:rPr>
          <w:rFonts w:ascii="Arial" w:hAnsi="Arial" w:cs="Arial"/>
          <w:sz w:val="20"/>
          <w:szCs w:val="20"/>
        </w:rPr>
      </w:pPr>
      <w:r w:rsidRPr="00C9207C">
        <w:rPr>
          <w:rFonts w:ascii="Arial" w:hAnsi="Arial" w:cs="Arial"/>
          <w:sz w:val="20"/>
          <w:szCs w:val="20"/>
        </w:rPr>
        <w:t>The MTFF indicates a persistent underlying funding gap, with a requirement for £17.128m of recurring savings in 2026/27, rising to £36.519m by 2030/31. In parallel, the IJB must reduce reliance on non</w:t>
      </w:r>
      <w:r w:rsidRPr="00C9207C">
        <w:rPr>
          <w:rFonts w:ascii="Arial" w:hAnsi="Arial" w:cs="Arial"/>
          <w:sz w:val="20"/>
          <w:szCs w:val="20"/>
        </w:rPr>
        <w:noBreakHyphen/>
        <w:t>recurring measures and strengthen financial resilience over time.</w:t>
      </w:r>
    </w:p>
    <w:p w14:paraId="5C4E49C6" w14:textId="77777777" w:rsidR="0005235A" w:rsidRDefault="0005235A" w:rsidP="005D126E">
      <w:pPr>
        <w:spacing w:after="0" w:line="20" w:lineRule="atLeast"/>
        <w:rPr>
          <w:rFonts w:ascii="Arial" w:hAnsi="Arial" w:cs="Arial"/>
          <w:sz w:val="20"/>
          <w:szCs w:val="20"/>
        </w:rPr>
      </w:pPr>
    </w:p>
    <w:p w14:paraId="515948CC" w14:textId="01C0CB92" w:rsidR="00E44049" w:rsidRPr="00C9207C" w:rsidRDefault="00E44049" w:rsidP="005D126E">
      <w:pPr>
        <w:spacing w:after="0" w:line="20" w:lineRule="atLeast"/>
        <w:rPr>
          <w:rFonts w:ascii="Arial" w:hAnsi="Arial" w:cs="Arial"/>
          <w:sz w:val="20"/>
          <w:szCs w:val="20"/>
        </w:rPr>
      </w:pPr>
      <w:r w:rsidRPr="00C9207C">
        <w:rPr>
          <w:rFonts w:ascii="Arial" w:hAnsi="Arial" w:cs="Arial"/>
          <w:sz w:val="20"/>
          <w:szCs w:val="20"/>
        </w:rPr>
        <w:t>To respond to this, the MTFF sets out a four</w:t>
      </w:r>
      <w:r w:rsidRPr="00C9207C">
        <w:rPr>
          <w:rFonts w:ascii="Arial" w:hAnsi="Arial" w:cs="Arial"/>
          <w:sz w:val="20"/>
          <w:szCs w:val="20"/>
        </w:rPr>
        <w:noBreakHyphen/>
        <w:t>pillar savings and reform programme that focuses on shifting capacity and spend towards the right care, in the right place, at the right time—while protecting core statutory services and high</w:t>
      </w:r>
      <w:r w:rsidRPr="00C9207C">
        <w:rPr>
          <w:rFonts w:ascii="Arial" w:hAnsi="Arial" w:cs="Arial"/>
          <w:sz w:val="20"/>
          <w:szCs w:val="20"/>
        </w:rPr>
        <w:noBreakHyphen/>
        <w:t>impact preventative support.</w:t>
      </w:r>
    </w:p>
    <w:p w14:paraId="32632128" w14:textId="77777777" w:rsidR="000E3E22" w:rsidRDefault="000E3E22" w:rsidP="005D126E">
      <w:pPr>
        <w:spacing w:after="0" w:line="20" w:lineRule="atLeast"/>
        <w:rPr>
          <w:rFonts w:ascii="Arial" w:hAnsi="Arial" w:cs="Arial"/>
          <w:b/>
          <w:bCs/>
          <w:sz w:val="20"/>
          <w:szCs w:val="20"/>
        </w:rPr>
      </w:pPr>
    </w:p>
    <w:p w14:paraId="7273C477" w14:textId="30E6F253" w:rsidR="004F3E49" w:rsidRDefault="004F3E49" w:rsidP="005D126E">
      <w:pPr>
        <w:spacing w:after="0" w:line="20" w:lineRule="atLeast"/>
        <w:rPr>
          <w:rFonts w:ascii="Arial" w:hAnsi="Arial" w:cs="Arial"/>
          <w:b/>
          <w:bCs/>
          <w:sz w:val="20"/>
          <w:szCs w:val="20"/>
        </w:rPr>
      </w:pPr>
      <w:r w:rsidRPr="00C9207C">
        <w:rPr>
          <w:rFonts w:ascii="Arial" w:hAnsi="Arial" w:cs="Arial"/>
          <w:b/>
          <w:bCs/>
          <w:sz w:val="20"/>
          <w:szCs w:val="20"/>
        </w:rPr>
        <w:t>Four</w:t>
      </w:r>
      <w:r w:rsidRPr="00C9207C">
        <w:rPr>
          <w:rFonts w:ascii="Arial" w:hAnsi="Arial" w:cs="Arial"/>
          <w:sz w:val="20"/>
          <w:szCs w:val="20"/>
        </w:rPr>
        <w:noBreakHyphen/>
      </w:r>
      <w:r w:rsidRPr="00C9207C">
        <w:rPr>
          <w:rFonts w:ascii="Arial" w:hAnsi="Arial" w:cs="Arial"/>
          <w:b/>
          <w:bCs/>
          <w:sz w:val="20"/>
          <w:szCs w:val="20"/>
        </w:rPr>
        <w:t xml:space="preserve">pillar savings and reform programme </w:t>
      </w:r>
    </w:p>
    <w:p w14:paraId="57CF40CE" w14:textId="77777777" w:rsidR="0067534B" w:rsidRPr="00C9207C" w:rsidRDefault="0067534B" w:rsidP="005D126E">
      <w:pPr>
        <w:spacing w:after="0" w:line="20" w:lineRule="atLeast"/>
        <w:rPr>
          <w:rFonts w:ascii="Arial" w:hAnsi="Arial" w:cs="Arial"/>
          <w:b/>
          <w:bCs/>
          <w:sz w:val="20"/>
          <w:szCs w:val="20"/>
        </w:rPr>
      </w:pPr>
    </w:p>
    <w:p w14:paraId="2F66A828" w14:textId="77777777" w:rsidR="004F3E49" w:rsidRPr="00C9207C" w:rsidRDefault="004F3E49" w:rsidP="005D126E">
      <w:pPr>
        <w:pStyle w:val="ListParagraph"/>
        <w:numPr>
          <w:ilvl w:val="0"/>
          <w:numId w:val="13"/>
        </w:numPr>
        <w:spacing w:afterLines="120" w:after="288" w:line="20" w:lineRule="atLeast"/>
        <w:ind w:left="714" w:hanging="357"/>
        <w:rPr>
          <w:rFonts w:ascii="Arial" w:hAnsi="Arial" w:cs="Arial"/>
          <w:kern w:val="2"/>
          <w:sz w:val="20"/>
          <w:szCs w:val="20"/>
          <w14:ligatures w14:val="standardContextual"/>
        </w:rPr>
      </w:pPr>
      <w:r w:rsidRPr="00C9207C">
        <w:rPr>
          <w:rFonts w:ascii="Arial" w:hAnsi="Arial" w:cs="Arial"/>
          <w:b/>
          <w:bCs/>
          <w:sz w:val="20"/>
          <w:szCs w:val="20"/>
        </w:rPr>
        <w:t>Pillar A – Right care, right place: shifting the balance sustainably:</w:t>
      </w:r>
      <w:r w:rsidRPr="00C9207C">
        <w:rPr>
          <w:rFonts w:ascii="Arial" w:hAnsi="Arial" w:cs="Arial"/>
          <w:sz w:val="20"/>
          <w:szCs w:val="20"/>
        </w:rPr>
        <w:t xml:space="preserve"> scaling community alternatives to admission and supporting earlier discharge (including Hospital at Home / urgent care at home, urgent community response for frailty, and intermediate care and reablement).</w:t>
      </w:r>
    </w:p>
    <w:p w14:paraId="104DC865" w14:textId="34DE2C35" w:rsidR="004F3E49" w:rsidRPr="00C9207C" w:rsidRDefault="004F3E49" w:rsidP="005D126E">
      <w:pPr>
        <w:pStyle w:val="ListParagraph"/>
        <w:numPr>
          <w:ilvl w:val="0"/>
          <w:numId w:val="13"/>
        </w:numPr>
        <w:spacing w:afterLines="120" w:after="288" w:line="20" w:lineRule="atLeast"/>
        <w:ind w:left="714" w:hanging="357"/>
        <w:rPr>
          <w:rFonts w:ascii="Arial" w:hAnsi="Arial" w:cs="Arial"/>
          <w:sz w:val="20"/>
          <w:szCs w:val="20"/>
        </w:rPr>
      </w:pPr>
      <w:r w:rsidRPr="00C9207C">
        <w:rPr>
          <w:rFonts w:ascii="Arial" w:hAnsi="Arial" w:cs="Arial"/>
          <w:b/>
          <w:bCs/>
          <w:sz w:val="20"/>
          <w:szCs w:val="20"/>
        </w:rPr>
        <w:t>Pillar B – Commissioning for outcomes and value:</w:t>
      </w:r>
      <w:r w:rsidRPr="00C9207C">
        <w:rPr>
          <w:rFonts w:ascii="Arial" w:hAnsi="Arial" w:cs="Arial"/>
          <w:sz w:val="20"/>
          <w:szCs w:val="20"/>
        </w:rPr>
        <w:t xml:space="preserve"> improving value and outcomes in commissioned services, including learning disability and complex care redesign (reducing reliance on out</w:t>
      </w:r>
      <w:r>
        <w:noBreakHyphen/>
      </w:r>
      <w:r w:rsidRPr="00C9207C">
        <w:rPr>
          <w:rFonts w:ascii="Arial" w:hAnsi="Arial" w:cs="Arial"/>
          <w:sz w:val="20"/>
          <w:szCs w:val="20"/>
        </w:rPr>
        <w:t>of</w:t>
      </w:r>
      <w:r>
        <w:noBreakHyphen/>
      </w:r>
      <w:r w:rsidRPr="00C9207C">
        <w:rPr>
          <w:rFonts w:ascii="Arial" w:hAnsi="Arial" w:cs="Arial"/>
          <w:sz w:val="20"/>
          <w:szCs w:val="20"/>
        </w:rPr>
        <w:t xml:space="preserve">area placements), and </w:t>
      </w:r>
      <w:r w:rsidR="638DB018" w:rsidRPr="4449DC48">
        <w:rPr>
          <w:rFonts w:ascii="Arial" w:hAnsi="Arial" w:cs="Arial"/>
          <w:sz w:val="20"/>
          <w:szCs w:val="20"/>
        </w:rPr>
        <w:t>home</w:t>
      </w:r>
      <w:r w:rsidR="6168F123" w:rsidRPr="4449DC48">
        <w:rPr>
          <w:rFonts w:ascii="Arial" w:hAnsi="Arial" w:cs="Arial"/>
          <w:sz w:val="20"/>
          <w:szCs w:val="20"/>
        </w:rPr>
        <w:t xml:space="preserve"> </w:t>
      </w:r>
      <w:r w:rsidR="638DB018" w:rsidRPr="4449DC48">
        <w:rPr>
          <w:rFonts w:ascii="Arial" w:hAnsi="Arial" w:cs="Arial"/>
          <w:sz w:val="20"/>
          <w:szCs w:val="20"/>
        </w:rPr>
        <w:t>care</w:t>
      </w:r>
      <w:r w:rsidRPr="00C9207C">
        <w:rPr>
          <w:rFonts w:ascii="Arial" w:hAnsi="Arial" w:cs="Arial"/>
          <w:sz w:val="20"/>
          <w:szCs w:val="20"/>
        </w:rPr>
        <w:t xml:space="preserve"> modernisation (outcomes-based commissioning, stabilising supply and productivity).</w:t>
      </w:r>
    </w:p>
    <w:p w14:paraId="130D9792" w14:textId="32B6979D" w:rsidR="004F3E49" w:rsidRPr="00C9207C" w:rsidRDefault="004F3E49" w:rsidP="005D126E">
      <w:pPr>
        <w:pStyle w:val="ListParagraph"/>
        <w:numPr>
          <w:ilvl w:val="0"/>
          <w:numId w:val="13"/>
        </w:numPr>
        <w:spacing w:afterLines="120" w:after="288" w:line="20" w:lineRule="atLeast"/>
        <w:ind w:left="714" w:hanging="357"/>
        <w:rPr>
          <w:rFonts w:ascii="Arial" w:hAnsi="Arial" w:cs="Arial"/>
          <w:sz w:val="20"/>
          <w:szCs w:val="20"/>
        </w:rPr>
      </w:pPr>
      <w:r w:rsidRPr="00C9207C">
        <w:rPr>
          <w:rFonts w:ascii="Arial" w:hAnsi="Arial" w:cs="Arial"/>
          <w:b/>
          <w:bCs/>
          <w:sz w:val="20"/>
          <w:szCs w:val="20"/>
        </w:rPr>
        <w:t>Pillar C – Prescribing and clinical effectiveness:</w:t>
      </w:r>
      <w:r w:rsidRPr="00C9207C">
        <w:rPr>
          <w:rFonts w:ascii="Arial" w:hAnsi="Arial" w:cs="Arial"/>
          <w:sz w:val="20"/>
          <w:szCs w:val="20"/>
        </w:rPr>
        <w:t xml:space="preserve"> reducing unwarranted variation and containing prescribing inflation through formulary adherence, medication reviews at scale, and stronger management of high</w:t>
      </w:r>
      <w:r w:rsidR="00400D33" w:rsidRPr="4449DC48">
        <w:rPr>
          <w:rFonts w:ascii="Arial" w:hAnsi="Arial" w:cs="Arial"/>
          <w:sz w:val="20"/>
          <w:szCs w:val="20"/>
        </w:rPr>
        <w:t>-</w:t>
      </w:r>
      <w:r w:rsidRPr="00C9207C">
        <w:rPr>
          <w:rFonts w:ascii="Arial" w:hAnsi="Arial" w:cs="Arial"/>
          <w:sz w:val="20"/>
          <w:szCs w:val="20"/>
        </w:rPr>
        <w:t>cost drug pathways.</w:t>
      </w:r>
    </w:p>
    <w:p w14:paraId="1BEBAABF" w14:textId="14C96A39" w:rsidR="000E3E22" w:rsidRDefault="004F3E49" w:rsidP="005D126E">
      <w:pPr>
        <w:pStyle w:val="ListParagraph"/>
        <w:numPr>
          <w:ilvl w:val="0"/>
          <w:numId w:val="13"/>
        </w:numPr>
        <w:spacing w:afterLines="120" w:after="288" w:line="20" w:lineRule="atLeast"/>
        <w:ind w:left="714" w:hanging="357"/>
        <w:rPr>
          <w:rFonts w:ascii="Arial" w:hAnsi="Arial" w:cs="Arial"/>
          <w:b/>
          <w:bCs/>
          <w:sz w:val="20"/>
          <w:szCs w:val="20"/>
        </w:rPr>
      </w:pPr>
      <w:r w:rsidRPr="00D9646F">
        <w:rPr>
          <w:rFonts w:ascii="Arial" w:hAnsi="Arial" w:cs="Arial"/>
          <w:b/>
          <w:bCs/>
          <w:sz w:val="20"/>
          <w:szCs w:val="20"/>
        </w:rPr>
        <w:lastRenderedPageBreak/>
        <w:t>Pillar D – Corporate efficiency and enablers:</w:t>
      </w:r>
      <w:r w:rsidRPr="00D9646F">
        <w:rPr>
          <w:rFonts w:ascii="Arial" w:hAnsi="Arial" w:cs="Arial"/>
          <w:sz w:val="20"/>
          <w:szCs w:val="20"/>
        </w:rPr>
        <w:t xml:space="preserve"> improving productivity through vacancy and skill</w:t>
      </w:r>
      <w:r w:rsidR="10C540CA" w:rsidRPr="4449DC48">
        <w:rPr>
          <w:rFonts w:ascii="Arial" w:hAnsi="Arial" w:cs="Arial"/>
          <w:sz w:val="20"/>
          <w:szCs w:val="20"/>
        </w:rPr>
        <w:t xml:space="preserve"> </w:t>
      </w:r>
      <w:r w:rsidRPr="00D9646F">
        <w:rPr>
          <w:rFonts w:ascii="Arial" w:hAnsi="Arial" w:cs="Arial"/>
          <w:sz w:val="20"/>
          <w:szCs w:val="20"/>
        </w:rPr>
        <w:t>mix control linked to redesign, estate and digital rationalisation, and shared services/back</w:t>
      </w:r>
      <w:r w:rsidR="00400D33" w:rsidRPr="4449DC48">
        <w:rPr>
          <w:rFonts w:ascii="Arial" w:hAnsi="Arial" w:cs="Arial"/>
          <w:sz w:val="20"/>
          <w:szCs w:val="20"/>
        </w:rPr>
        <w:t>-</w:t>
      </w:r>
      <w:r w:rsidRPr="00D9646F">
        <w:rPr>
          <w:rFonts w:ascii="Arial" w:hAnsi="Arial" w:cs="Arial"/>
          <w:sz w:val="20"/>
          <w:szCs w:val="20"/>
        </w:rPr>
        <w:t>office efficiencies.</w:t>
      </w:r>
    </w:p>
    <w:p w14:paraId="47111497" w14:textId="7523AE54" w:rsidR="004F3E49" w:rsidRPr="00C9207C" w:rsidRDefault="004F3E49" w:rsidP="005D126E">
      <w:pPr>
        <w:spacing w:after="0" w:line="20" w:lineRule="atLeast"/>
        <w:rPr>
          <w:rFonts w:ascii="Arial" w:hAnsi="Arial" w:cs="Arial"/>
          <w:b/>
          <w:bCs/>
          <w:sz w:val="20"/>
          <w:szCs w:val="20"/>
        </w:rPr>
      </w:pPr>
      <w:r w:rsidRPr="00C9207C">
        <w:rPr>
          <w:rFonts w:ascii="Arial" w:hAnsi="Arial" w:cs="Arial"/>
          <w:b/>
          <w:bCs/>
          <w:sz w:val="20"/>
          <w:szCs w:val="20"/>
        </w:rPr>
        <w:t>Reserves, non</w:t>
      </w:r>
      <w:r w:rsidRPr="00C9207C">
        <w:rPr>
          <w:rFonts w:ascii="Arial" w:hAnsi="Arial" w:cs="Arial"/>
          <w:sz w:val="20"/>
          <w:szCs w:val="20"/>
        </w:rPr>
        <w:noBreakHyphen/>
      </w:r>
      <w:r w:rsidRPr="00C9207C">
        <w:rPr>
          <w:rFonts w:ascii="Arial" w:hAnsi="Arial" w:cs="Arial"/>
          <w:b/>
          <w:bCs/>
          <w:sz w:val="20"/>
          <w:szCs w:val="20"/>
        </w:rPr>
        <w:t xml:space="preserve">recurring reliance and financial </w:t>
      </w:r>
      <w:r w:rsidR="00323127">
        <w:rPr>
          <w:rFonts w:ascii="Arial" w:hAnsi="Arial" w:cs="Arial"/>
          <w:b/>
          <w:bCs/>
          <w:sz w:val="20"/>
          <w:szCs w:val="20"/>
        </w:rPr>
        <w:t>resilience</w:t>
      </w:r>
    </w:p>
    <w:p w14:paraId="5C68371E" w14:textId="77777777" w:rsidR="000E3E22" w:rsidRDefault="000E3E22" w:rsidP="005D126E">
      <w:pPr>
        <w:spacing w:after="0" w:line="20" w:lineRule="atLeast"/>
        <w:rPr>
          <w:rFonts w:ascii="Arial" w:hAnsi="Arial" w:cs="Arial"/>
          <w:sz w:val="20"/>
          <w:szCs w:val="20"/>
        </w:rPr>
      </w:pPr>
    </w:p>
    <w:p w14:paraId="6C551213" w14:textId="77777777" w:rsidR="005966B8" w:rsidRPr="00C9207C" w:rsidRDefault="005966B8" w:rsidP="005D126E">
      <w:pPr>
        <w:spacing w:after="0" w:line="20" w:lineRule="atLeast"/>
        <w:rPr>
          <w:rFonts w:ascii="Arial" w:hAnsi="Arial" w:cs="Arial"/>
          <w:kern w:val="2"/>
          <w:sz w:val="20"/>
          <w:szCs w:val="20"/>
          <w14:ligatures w14:val="standardContextual"/>
        </w:rPr>
      </w:pPr>
      <w:r w:rsidRPr="00C9207C">
        <w:rPr>
          <w:rFonts w:ascii="Arial" w:hAnsi="Arial" w:cs="Arial"/>
          <w:sz w:val="20"/>
          <w:szCs w:val="20"/>
        </w:rPr>
        <w:t>The MTFF sets an intent to rebuild contingency reserves over the medium term (targeting 2–4% of net expenditure across the planning period) and to reduce reliance on non</w:t>
      </w:r>
      <w:r w:rsidRPr="00C9207C">
        <w:rPr>
          <w:rFonts w:ascii="Arial" w:hAnsi="Arial" w:cs="Arial"/>
          <w:sz w:val="20"/>
          <w:szCs w:val="20"/>
        </w:rPr>
        <w:noBreakHyphen/>
        <w:t>recurring solutions (including a stated ambition to cap non</w:t>
      </w:r>
      <w:r w:rsidRPr="00C9207C">
        <w:rPr>
          <w:rFonts w:ascii="Arial" w:hAnsi="Arial" w:cs="Arial"/>
          <w:sz w:val="20"/>
          <w:szCs w:val="20"/>
        </w:rPr>
        <w:noBreakHyphen/>
        <w:t>recurring “plugs” to below 0.5% of net budget by 2027/28). We will set realistic budgets that minimise reliance on in-year partner contributions and non-recurring interventions, recognising that these cannot provide a sustainable solution to the underlying funding gap. This reinforces the importance of disciplined in</w:t>
      </w:r>
      <w:r w:rsidRPr="00C9207C">
        <w:rPr>
          <w:rFonts w:ascii="Arial" w:hAnsi="Arial" w:cs="Arial"/>
          <w:sz w:val="20"/>
          <w:szCs w:val="20"/>
        </w:rPr>
        <w:noBreakHyphen/>
        <w:t>year financial management and delivery of recurring savings at pace. Reserves provide limited but important resilience, but they are not a substitute for recurring savings or the affordability and prioritisation decisions required to achieve sustainable services.</w:t>
      </w:r>
    </w:p>
    <w:p w14:paraId="0B252923" w14:textId="77777777" w:rsidR="000E3E22" w:rsidRDefault="000E3E22" w:rsidP="005D126E">
      <w:pPr>
        <w:spacing w:after="0" w:line="20" w:lineRule="atLeast"/>
        <w:rPr>
          <w:rFonts w:ascii="Arial" w:hAnsi="Arial" w:cs="Arial"/>
          <w:sz w:val="20"/>
          <w:szCs w:val="20"/>
        </w:rPr>
      </w:pPr>
    </w:p>
    <w:p w14:paraId="536AB7D5" w14:textId="2ABA53B8" w:rsidR="00D9646F" w:rsidRDefault="0086532E" w:rsidP="005D126E">
      <w:pPr>
        <w:spacing w:after="0" w:line="20" w:lineRule="atLeast"/>
        <w:rPr>
          <w:rFonts w:ascii="Arial" w:hAnsi="Arial" w:cs="Arial"/>
          <w:b/>
          <w:bCs/>
          <w:sz w:val="20"/>
          <w:szCs w:val="20"/>
        </w:rPr>
      </w:pPr>
      <w:r w:rsidRPr="00C9207C">
        <w:rPr>
          <w:rFonts w:ascii="Arial" w:hAnsi="Arial" w:cs="Arial"/>
          <w:sz w:val="20"/>
          <w:szCs w:val="20"/>
        </w:rPr>
        <w:t>Given the scale of the financial challenge, delivering the MTFF will require timely decisions on affordability and prioritisation, including changes to service models and, where necessary, reducing or stopping lower-impact activity to protect statutory duties and services for people with the greatest need.</w:t>
      </w:r>
    </w:p>
    <w:p w14:paraId="463CF82A" w14:textId="77777777" w:rsidR="0067534B" w:rsidRDefault="0067534B" w:rsidP="005D126E">
      <w:pPr>
        <w:spacing w:after="0" w:line="20" w:lineRule="atLeast"/>
        <w:rPr>
          <w:rFonts w:ascii="Arial" w:hAnsi="Arial" w:cs="Arial"/>
          <w:b/>
          <w:bCs/>
          <w:sz w:val="20"/>
          <w:szCs w:val="20"/>
        </w:rPr>
      </w:pPr>
    </w:p>
    <w:p w14:paraId="5EFE5FA9" w14:textId="5043706D" w:rsidR="004F3E49" w:rsidRPr="00C9207C" w:rsidRDefault="004F3E49" w:rsidP="005D126E">
      <w:pPr>
        <w:spacing w:after="0" w:line="20" w:lineRule="atLeast"/>
        <w:rPr>
          <w:rFonts w:ascii="Arial" w:hAnsi="Arial" w:cs="Arial"/>
          <w:b/>
          <w:bCs/>
          <w:sz w:val="20"/>
          <w:szCs w:val="20"/>
        </w:rPr>
      </w:pPr>
      <w:r w:rsidRPr="00C9207C">
        <w:rPr>
          <w:rFonts w:ascii="Arial" w:hAnsi="Arial" w:cs="Arial"/>
          <w:b/>
          <w:bCs/>
          <w:sz w:val="20"/>
          <w:szCs w:val="20"/>
        </w:rPr>
        <w:t>Key dependencies and risks</w:t>
      </w:r>
    </w:p>
    <w:p w14:paraId="61E5D9BD" w14:textId="77777777" w:rsidR="000E3E22" w:rsidRDefault="000E3E22" w:rsidP="005D126E">
      <w:pPr>
        <w:spacing w:after="0" w:line="20" w:lineRule="atLeast"/>
        <w:rPr>
          <w:rFonts w:ascii="Arial" w:hAnsi="Arial" w:cs="Arial"/>
          <w:sz w:val="20"/>
          <w:szCs w:val="20"/>
        </w:rPr>
      </w:pPr>
    </w:p>
    <w:p w14:paraId="4BCDD8D0" w14:textId="357CA3BB" w:rsidR="004F3E49" w:rsidRPr="00C9207C" w:rsidRDefault="004F3E49" w:rsidP="005D126E">
      <w:pPr>
        <w:spacing w:after="0" w:line="20" w:lineRule="atLeast"/>
        <w:rPr>
          <w:rFonts w:ascii="Arial" w:hAnsi="Arial" w:cs="Arial"/>
          <w:sz w:val="20"/>
          <w:szCs w:val="20"/>
        </w:rPr>
      </w:pPr>
      <w:r w:rsidRPr="00C9207C">
        <w:rPr>
          <w:rFonts w:ascii="Arial" w:hAnsi="Arial" w:cs="Arial"/>
          <w:sz w:val="20"/>
          <w:szCs w:val="20"/>
        </w:rPr>
        <w:t>The MTFF highlights that successful delivery is dependent on whole</w:t>
      </w:r>
      <w:r w:rsidRPr="00C9207C">
        <w:rPr>
          <w:rFonts w:ascii="Arial" w:hAnsi="Arial" w:cs="Arial"/>
          <w:sz w:val="20"/>
          <w:szCs w:val="20"/>
        </w:rPr>
        <w:noBreakHyphen/>
        <w:t>system improvement and a sustained pace of change, including:</w:t>
      </w:r>
    </w:p>
    <w:p w14:paraId="35C2B0A2" w14:textId="77777777" w:rsidR="00B67AC6" w:rsidRPr="00C9207C" w:rsidRDefault="00B67AC6" w:rsidP="005D126E">
      <w:pPr>
        <w:spacing w:after="0" w:line="20" w:lineRule="atLeast"/>
        <w:rPr>
          <w:rFonts w:ascii="Arial" w:hAnsi="Arial" w:cs="Arial"/>
          <w:sz w:val="20"/>
          <w:szCs w:val="20"/>
        </w:rPr>
      </w:pPr>
    </w:p>
    <w:p w14:paraId="44D802D0" w14:textId="07B92C6C" w:rsidR="004F3E49" w:rsidRPr="00C9207C" w:rsidRDefault="004F3E49" w:rsidP="005D126E">
      <w:pPr>
        <w:pStyle w:val="ListParagraph"/>
        <w:numPr>
          <w:ilvl w:val="0"/>
          <w:numId w:val="14"/>
        </w:numPr>
        <w:spacing w:after="120" w:line="20" w:lineRule="atLeast"/>
        <w:ind w:left="714" w:hanging="357"/>
        <w:rPr>
          <w:rFonts w:ascii="Arial" w:hAnsi="Arial" w:cs="Arial"/>
          <w:kern w:val="2"/>
          <w:sz w:val="20"/>
          <w:szCs w:val="20"/>
          <w14:ligatures w14:val="standardContextual"/>
        </w:rPr>
      </w:pPr>
      <w:r w:rsidRPr="00C9207C">
        <w:rPr>
          <w:rFonts w:ascii="Arial" w:hAnsi="Arial" w:cs="Arial"/>
          <w:b/>
          <w:bCs/>
          <w:sz w:val="20"/>
          <w:szCs w:val="20"/>
        </w:rPr>
        <w:t>Demand growth and complexity</w:t>
      </w:r>
      <w:r w:rsidRPr="00C9207C">
        <w:rPr>
          <w:rFonts w:ascii="Arial" w:hAnsi="Arial" w:cs="Arial"/>
          <w:sz w:val="20"/>
          <w:szCs w:val="20"/>
        </w:rPr>
        <w:t>, including frailty, learning disability transitions/complex care, mental health demand patterns, and high</w:t>
      </w:r>
      <w:r w:rsidR="00B26F75" w:rsidRPr="4449DC48">
        <w:rPr>
          <w:rFonts w:ascii="Arial" w:hAnsi="Arial" w:cs="Arial"/>
          <w:sz w:val="20"/>
          <w:szCs w:val="20"/>
        </w:rPr>
        <w:t>-</w:t>
      </w:r>
      <w:r w:rsidRPr="00C9207C">
        <w:rPr>
          <w:rFonts w:ascii="Arial" w:hAnsi="Arial" w:cs="Arial"/>
          <w:sz w:val="20"/>
          <w:szCs w:val="20"/>
        </w:rPr>
        <w:t>cost packages.</w:t>
      </w:r>
    </w:p>
    <w:p w14:paraId="2DF0C685" w14:textId="77777777" w:rsidR="004F3E49" w:rsidRPr="00C9207C" w:rsidRDefault="004F3E49" w:rsidP="005D126E">
      <w:pPr>
        <w:pStyle w:val="ListParagraph"/>
        <w:numPr>
          <w:ilvl w:val="0"/>
          <w:numId w:val="14"/>
        </w:numPr>
        <w:spacing w:after="120" w:line="20" w:lineRule="atLeast"/>
        <w:ind w:left="714" w:hanging="357"/>
        <w:rPr>
          <w:rFonts w:ascii="Arial" w:hAnsi="Arial" w:cs="Arial"/>
          <w:sz w:val="20"/>
          <w:szCs w:val="20"/>
        </w:rPr>
      </w:pPr>
      <w:r w:rsidRPr="00C9207C">
        <w:rPr>
          <w:rFonts w:ascii="Arial" w:hAnsi="Arial" w:cs="Arial"/>
          <w:b/>
          <w:bCs/>
          <w:sz w:val="20"/>
          <w:szCs w:val="20"/>
        </w:rPr>
        <w:t>Acute system flow</w:t>
      </w:r>
      <w:r w:rsidRPr="00C9207C">
        <w:rPr>
          <w:rFonts w:ascii="Arial" w:hAnsi="Arial" w:cs="Arial"/>
          <w:sz w:val="20"/>
          <w:szCs w:val="20"/>
        </w:rPr>
        <w:t>, including delayed discharge and avoidable admissions, with community cost pressures strongly influenced by hospital flow and capacity constraints.</w:t>
      </w:r>
    </w:p>
    <w:p w14:paraId="08FCB7CF" w14:textId="77777777" w:rsidR="004F3E49" w:rsidRPr="00C9207C" w:rsidRDefault="004F3E49" w:rsidP="005D126E">
      <w:pPr>
        <w:pStyle w:val="ListParagraph"/>
        <w:numPr>
          <w:ilvl w:val="0"/>
          <w:numId w:val="14"/>
        </w:numPr>
        <w:spacing w:after="120" w:line="20" w:lineRule="atLeast"/>
        <w:ind w:left="714" w:hanging="357"/>
        <w:rPr>
          <w:rFonts w:ascii="Arial" w:hAnsi="Arial" w:cs="Arial"/>
          <w:sz w:val="20"/>
          <w:szCs w:val="20"/>
        </w:rPr>
      </w:pPr>
      <w:r w:rsidRPr="00C9207C">
        <w:rPr>
          <w:rFonts w:ascii="Arial" w:hAnsi="Arial" w:cs="Arial"/>
          <w:b/>
          <w:bCs/>
          <w:sz w:val="20"/>
          <w:szCs w:val="20"/>
        </w:rPr>
        <w:t>Commissioned services inflation and market fragility</w:t>
      </w:r>
      <w:r w:rsidRPr="00C9207C">
        <w:rPr>
          <w:rFonts w:ascii="Arial" w:hAnsi="Arial" w:cs="Arial"/>
          <w:sz w:val="20"/>
          <w:szCs w:val="20"/>
        </w:rPr>
        <w:t>, including Real Living Wage impacts and national contract uplifts (including National Care Home Contract pressures).</w:t>
      </w:r>
    </w:p>
    <w:p w14:paraId="62242B5B" w14:textId="77777777" w:rsidR="004F3E49" w:rsidRPr="00C9207C" w:rsidRDefault="004F3E49" w:rsidP="005D126E">
      <w:pPr>
        <w:pStyle w:val="ListParagraph"/>
        <w:numPr>
          <w:ilvl w:val="0"/>
          <w:numId w:val="14"/>
        </w:numPr>
        <w:spacing w:after="120" w:line="20" w:lineRule="atLeast"/>
        <w:ind w:left="714" w:hanging="357"/>
        <w:rPr>
          <w:rFonts w:ascii="Arial" w:hAnsi="Arial" w:cs="Arial"/>
          <w:sz w:val="20"/>
          <w:szCs w:val="20"/>
        </w:rPr>
      </w:pPr>
      <w:r w:rsidRPr="00C9207C">
        <w:rPr>
          <w:rFonts w:ascii="Arial" w:hAnsi="Arial" w:cs="Arial"/>
          <w:b/>
          <w:bCs/>
          <w:sz w:val="20"/>
          <w:szCs w:val="20"/>
        </w:rPr>
        <w:t>Prescribing volatility</w:t>
      </w:r>
      <w:r w:rsidRPr="00C9207C">
        <w:rPr>
          <w:rFonts w:ascii="Arial" w:hAnsi="Arial" w:cs="Arial"/>
          <w:sz w:val="20"/>
          <w:szCs w:val="20"/>
        </w:rPr>
        <w:t>, where relatively small deviations from assumptions can create significant in</w:t>
      </w:r>
      <w:r w:rsidRPr="00C9207C">
        <w:rPr>
          <w:rFonts w:ascii="Arial" w:hAnsi="Arial" w:cs="Arial"/>
          <w:sz w:val="20"/>
          <w:szCs w:val="20"/>
        </w:rPr>
        <w:noBreakHyphen/>
        <w:t>year pressure.</w:t>
      </w:r>
    </w:p>
    <w:p w14:paraId="20A033E0" w14:textId="77777777" w:rsidR="004F3E49" w:rsidRPr="00C9207C" w:rsidRDefault="004F3E49" w:rsidP="005D126E">
      <w:pPr>
        <w:pStyle w:val="ListParagraph"/>
        <w:numPr>
          <w:ilvl w:val="0"/>
          <w:numId w:val="14"/>
        </w:numPr>
        <w:spacing w:after="120" w:line="20" w:lineRule="atLeast"/>
        <w:ind w:left="714" w:hanging="357"/>
        <w:rPr>
          <w:rFonts w:ascii="Arial" w:hAnsi="Arial" w:cs="Arial"/>
          <w:sz w:val="20"/>
          <w:szCs w:val="20"/>
        </w:rPr>
      </w:pPr>
      <w:r w:rsidRPr="00C9207C">
        <w:rPr>
          <w:rFonts w:ascii="Arial" w:hAnsi="Arial" w:cs="Arial"/>
          <w:b/>
          <w:bCs/>
          <w:sz w:val="20"/>
          <w:szCs w:val="20"/>
        </w:rPr>
        <w:t>Deliverability and timing of savings</w:t>
      </w:r>
      <w:r w:rsidRPr="00C9207C">
        <w:rPr>
          <w:rFonts w:ascii="Arial" w:hAnsi="Arial" w:cs="Arial"/>
          <w:sz w:val="20"/>
          <w:szCs w:val="20"/>
        </w:rPr>
        <w:t>, recognising that delays in implementation can create material in</w:t>
      </w:r>
      <w:r w:rsidRPr="00C9207C">
        <w:rPr>
          <w:rFonts w:ascii="Arial" w:hAnsi="Arial" w:cs="Arial"/>
          <w:sz w:val="20"/>
          <w:szCs w:val="20"/>
        </w:rPr>
        <w:noBreakHyphen/>
        <w:t>year pressures.</w:t>
      </w:r>
    </w:p>
    <w:p w14:paraId="14921DE1" w14:textId="0FEED21C" w:rsidR="004F3E49" w:rsidRPr="00C9207C" w:rsidRDefault="004F3E49" w:rsidP="005D126E">
      <w:pPr>
        <w:spacing w:after="0" w:line="20" w:lineRule="atLeast"/>
        <w:rPr>
          <w:rFonts w:ascii="Arial" w:hAnsi="Arial" w:cs="Arial"/>
          <w:b/>
          <w:bCs/>
          <w:sz w:val="20"/>
          <w:szCs w:val="20"/>
        </w:rPr>
      </w:pPr>
      <w:r w:rsidRPr="00C9207C">
        <w:rPr>
          <w:rFonts w:ascii="Arial" w:hAnsi="Arial" w:cs="Arial"/>
          <w:b/>
          <w:bCs/>
          <w:sz w:val="20"/>
          <w:szCs w:val="20"/>
        </w:rPr>
        <w:t>Governance and engagement</w:t>
      </w:r>
    </w:p>
    <w:p w14:paraId="0BB3B864" w14:textId="77777777" w:rsidR="000E3E22" w:rsidRDefault="000E3E22" w:rsidP="005D126E">
      <w:pPr>
        <w:spacing w:after="0" w:line="20" w:lineRule="atLeast"/>
        <w:rPr>
          <w:rFonts w:ascii="Arial" w:hAnsi="Arial" w:cs="Arial"/>
          <w:sz w:val="20"/>
          <w:szCs w:val="20"/>
        </w:rPr>
      </w:pPr>
    </w:p>
    <w:p w14:paraId="39AB93AA" w14:textId="19A5F652" w:rsidR="00845E98" w:rsidRPr="001B5B14" w:rsidRDefault="00845E98" w:rsidP="005D126E">
      <w:pPr>
        <w:spacing w:after="0" w:line="20" w:lineRule="atLeast"/>
        <w:rPr>
          <w:rFonts w:ascii="Arial" w:hAnsi="Arial" w:cs="Arial"/>
          <w:sz w:val="20"/>
          <w:szCs w:val="20"/>
        </w:rPr>
      </w:pPr>
      <w:r w:rsidRPr="001B5B14">
        <w:rPr>
          <w:rFonts w:ascii="Arial" w:hAnsi="Arial" w:cs="Arial"/>
          <w:sz w:val="20"/>
          <w:szCs w:val="20"/>
        </w:rPr>
        <w:t>The MTFF also emphasises the need for strong programme governance, routine performance and finance reporting, and continued use of Integrated Impact Assessments for material changes, alongside engagement with communities, carers, third sector and people with lived experience to support transparent decision-making and mitigate adverse impacts. Delivery will be supported through strengthened oversight arrangements, including the Budget Savings Oversight Group</w:t>
      </w:r>
      <w:r w:rsidR="001B5B14">
        <w:rPr>
          <w:rFonts w:ascii="Arial" w:hAnsi="Arial" w:cs="Arial"/>
          <w:sz w:val="20"/>
          <w:szCs w:val="20"/>
        </w:rPr>
        <w:t xml:space="preserve"> (BSOG)</w:t>
      </w:r>
      <w:r w:rsidRPr="001B5B14">
        <w:rPr>
          <w:rFonts w:ascii="Arial" w:hAnsi="Arial" w:cs="Arial"/>
          <w:sz w:val="20"/>
          <w:szCs w:val="20"/>
        </w:rPr>
        <w:t>, which monitors savings delivery, risks, mitigations and escalation requirements alongside regular reporting on programme milestones and benefits realisation to the Board and its committees. We will communicate clearly and transparently with communities, staff and partners about why changes are required, the options considered, and the likely impacts, and we will use Integrated Impact Assessments and engagement to inform decisions and identify mitigations.</w:t>
      </w:r>
    </w:p>
    <w:p w14:paraId="373BDA9A" w14:textId="77777777" w:rsidR="000E3E22" w:rsidRDefault="000E3E22" w:rsidP="005D126E">
      <w:pPr>
        <w:spacing w:after="0" w:line="20" w:lineRule="atLeast"/>
        <w:rPr>
          <w:rFonts w:ascii="Arial" w:hAnsi="Arial" w:cs="Arial"/>
          <w:b/>
          <w:bCs/>
          <w:sz w:val="20"/>
          <w:szCs w:val="20"/>
        </w:rPr>
      </w:pPr>
    </w:p>
    <w:p w14:paraId="4D7972CB" w14:textId="23DEAAAE" w:rsidR="00F6419A" w:rsidRPr="00C9207C" w:rsidRDefault="00F6419A" w:rsidP="005D126E">
      <w:pPr>
        <w:spacing w:after="0" w:line="20" w:lineRule="atLeast"/>
        <w:rPr>
          <w:rFonts w:ascii="Arial" w:hAnsi="Arial" w:cs="Arial"/>
          <w:b/>
          <w:bCs/>
          <w:sz w:val="20"/>
          <w:szCs w:val="20"/>
        </w:rPr>
      </w:pPr>
      <w:r w:rsidRPr="00C9207C">
        <w:rPr>
          <w:rFonts w:ascii="Arial" w:hAnsi="Arial" w:cs="Arial"/>
          <w:b/>
          <w:bCs/>
          <w:sz w:val="20"/>
          <w:szCs w:val="20"/>
        </w:rPr>
        <w:t>Priorities for 2026/27</w:t>
      </w:r>
    </w:p>
    <w:p w14:paraId="6B4E1599" w14:textId="77777777" w:rsidR="00B67AC6" w:rsidRPr="00C9207C" w:rsidRDefault="00B67AC6" w:rsidP="005D126E">
      <w:pPr>
        <w:spacing w:after="0" w:line="20" w:lineRule="atLeast"/>
        <w:rPr>
          <w:rFonts w:ascii="Arial" w:hAnsi="Arial" w:cs="Arial"/>
          <w:b/>
          <w:bCs/>
          <w:sz w:val="20"/>
          <w:szCs w:val="20"/>
        </w:rPr>
      </w:pPr>
    </w:p>
    <w:p w14:paraId="0762422A" w14:textId="206C14EB" w:rsidR="00F6419A" w:rsidRPr="00C9207C" w:rsidRDefault="00F6419A" w:rsidP="005D126E">
      <w:pPr>
        <w:pStyle w:val="ListParagraph"/>
        <w:numPr>
          <w:ilvl w:val="0"/>
          <w:numId w:val="15"/>
        </w:numPr>
        <w:spacing w:after="120" w:line="20" w:lineRule="atLeast"/>
        <w:ind w:left="714" w:hanging="357"/>
        <w:rPr>
          <w:rFonts w:ascii="Arial" w:hAnsi="Arial" w:cs="Arial"/>
          <w:kern w:val="2"/>
          <w:sz w:val="20"/>
          <w:szCs w:val="20"/>
          <w14:ligatures w14:val="standardContextual"/>
        </w:rPr>
      </w:pPr>
      <w:r w:rsidRPr="00C9207C">
        <w:rPr>
          <w:rFonts w:ascii="Arial" w:hAnsi="Arial" w:cs="Arial"/>
          <w:sz w:val="20"/>
          <w:szCs w:val="20"/>
        </w:rPr>
        <w:t xml:space="preserve">Maintain safe, person-centred services while delivering a balanced budget and strengthening in-year financial </w:t>
      </w:r>
      <w:r w:rsidR="00DB7502">
        <w:rPr>
          <w:rFonts w:ascii="Arial" w:hAnsi="Arial" w:cs="Arial"/>
          <w:sz w:val="20"/>
          <w:szCs w:val="20"/>
        </w:rPr>
        <w:t>resilience</w:t>
      </w:r>
      <w:r w:rsidRPr="00C9207C">
        <w:rPr>
          <w:rFonts w:ascii="Arial" w:hAnsi="Arial" w:cs="Arial"/>
          <w:sz w:val="20"/>
          <w:szCs w:val="20"/>
        </w:rPr>
        <w:t xml:space="preserve"> and forecasting.</w:t>
      </w:r>
    </w:p>
    <w:p w14:paraId="5F91004D" w14:textId="77777777" w:rsidR="00F6419A" w:rsidRPr="00C9207C" w:rsidRDefault="00F6419A" w:rsidP="005D126E">
      <w:pPr>
        <w:pStyle w:val="ListParagraph"/>
        <w:numPr>
          <w:ilvl w:val="0"/>
          <w:numId w:val="15"/>
        </w:numPr>
        <w:spacing w:after="120" w:line="20" w:lineRule="atLeast"/>
        <w:ind w:left="714" w:hanging="357"/>
        <w:rPr>
          <w:rFonts w:ascii="Arial" w:hAnsi="Arial" w:cs="Arial"/>
          <w:sz w:val="20"/>
          <w:szCs w:val="20"/>
        </w:rPr>
      </w:pPr>
      <w:r w:rsidRPr="00C9207C">
        <w:rPr>
          <w:rFonts w:ascii="Arial" w:hAnsi="Arial" w:cs="Arial"/>
          <w:sz w:val="20"/>
          <w:szCs w:val="20"/>
        </w:rPr>
        <w:t>Improve system flow by expanding community alternatives to admission and accelerating discharge (including Hospital at Home/urgent care at home, urgent community response and intermediate care/reablement).</w:t>
      </w:r>
    </w:p>
    <w:p w14:paraId="58C568E8" w14:textId="77777777" w:rsidR="00F6419A" w:rsidRPr="00C9207C" w:rsidRDefault="00F6419A" w:rsidP="005D126E">
      <w:pPr>
        <w:pStyle w:val="ListParagraph"/>
        <w:numPr>
          <w:ilvl w:val="0"/>
          <w:numId w:val="15"/>
        </w:numPr>
        <w:spacing w:after="120" w:line="20" w:lineRule="atLeast"/>
        <w:ind w:left="714" w:hanging="357"/>
        <w:rPr>
          <w:rFonts w:ascii="Arial" w:hAnsi="Arial" w:cs="Arial"/>
          <w:sz w:val="20"/>
          <w:szCs w:val="20"/>
        </w:rPr>
      </w:pPr>
      <w:r w:rsidRPr="00C9207C">
        <w:rPr>
          <w:rFonts w:ascii="Arial" w:hAnsi="Arial" w:cs="Arial"/>
          <w:sz w:val="20"/>
          <w:szCs w:val="20"/>
        </w:rPr>
        <w:lastRenderedPageBreak/>
        <w:t>Stabilise and reshape commissioned services, with a focus on homecare modernisation and market capacity/sustainability (including managing Real Living Wage and national contract uplift pressures through improved productivity and commissioning for outcomes).</w:t>
      </w:r>
    </w:p>
    <w:p w14:paraId="28566B71" w14:textId="77777777" w:rsidR="00F6419A" w:rsidRPr="00C9207C" w:rsidRDefault="00F6419A" w:rsidP="005D126E">
      <w:pPr>
        <w:pStyle w:val="ListParagraph"/>
        <w:numPr>
          <w:ilvl w:val="0"/>
          <w:numId w:val="15"/>
        </w:numPr>
        <w:spacing w:after="120" w:line="20" w:lineRule="atLeast"/>
        <w:ind w:left="714" w:hanging="357"/>
        <w:rPr>
          <w:rFonts w:ascii="Arial" w:hAnsi="Arial" w:cs="Arial"/>
          <w:sz w:val="20"/>
          <w:szCs w:val="20"/>
        </w:rPr>
      </w:pPr>
      <w:r w:rsidRPr="00C9207C">
        <w:rPr>
          <w:rFonts w:ascii="Arial" w:hAnsi="Arial" w:cs="Arial"/>
          <w:sz w:val="20"/>
          <w:szCs w:val="20"/>
        </w:rPr>
        <w:t>Reduce the growth in high-cost packages and placements by progressing learning disability and complex care redesign (including reducing reliance on out-of-area placements where possible).</w:t>
      </w:r>
    </w:p>
    <w:p w14:paraId="16649BC1" w14:textId="77777777" w:rsidR="00F6419A" w:rsidRPr="00C9207C" w:rsidRDefault="00F6419A" w:rsidP="005D126E">
      <w:pPr>
        <w:pStyle w:val="ListParagraph"/>
        <w:numPr>
          <w:ilvl w:val="0"/>
          <w:numId w:val="15"/>
        </w:numPr>
        <w:spacing w:after="120" w:line="20" w:lineRule="atLeast"/>
        <w:ind w:left="714" w:hanging="357"/>
        <w:rPr>
          <w:rFonts w:ascii="Arial" w:hAnsi="Arial" w:cs="Arial"/>
          <w:sz w:val="20"/>
          <w:szCs w:val="20"/>
        </w:rPr>
      </w:pPr>
      <w:r w:rsidRPr="00C9207C">
        <w:rPr>
          <w:rFonts w:ascii="Arial" w:hAnsi="Arial" w:cs="Arial"/>
          <w:sz w:val="20"/>
          <w:szCs w:val="20"/>
        </w:rPr>
        <w:t>Contain prescribing inflation and volatility through clinical effectiveness and medicines optimisation, including formulary adherence and scaled medication review programmes.</w:t>
      </w:r>
    </w:p>
    <w:p w14:paraId="2CB7FC74" w14:textId="77777777" w:rsidR="00F6419A" w:rsidRPr="00C9207C" w:rsidRDefault="00F6419A" w:rsidP="005D126E">
      <w:pPr>
        <w:pStyle w:val="ListParagraph"/>
        <w:numPr>
          <w:ilvl w:val="0"/>
          <w:numId w:val="15"/>
        </w:numPr>
        <w:spacing w:after="120" w:line="20" w:lineRule="atLeast"/>
        <w:ind w:left="714" w:hanging="357"/>
        <w:rPr>
          <w:rFonts w:ascii="Arial" w:hAnsi="Arial" w:cs="Arial"/>
          <w:sz w:val="20"/>
          <w:szCs w:val="20"/>
        </w:rPr>
      </w:pPr>
      <w:r w:rsidRPr="00C9207C">
        <w:rPr>
          <w:rFonts w:ascii="Arial" w:hAnsi="Arial" w:cs="Arial"/>
          <w:sz w:val="20"/>
          <w:szCs w:val="20"/>
        </w:rPr>
        <w:t>Strengthen programme governance and benefits realisation, ensuring Integrated Impact Assessments and engagement are embedded for material change and that delivery risks are actively managed.</w:t>
      </w:r>
    </w:p>
    <w:p w14:paraId="7783AC93" w14:textId="4C069875" w:rsidR="003875E5" w:rsidRPr="00C9207C" w:rsidRDefault="003875E5" w:rsidP="005D126E">
      <w:pPr>
        <w:spacing w:after="0" w:line="20" w:lineRule="atLeast"/>
        <w:jc w:val="both"/>
        <w:rPr>
          <w:rFonts w:ascii="Arial" w:eastAsia="Times New Roman" w:hAnsi="Arial" w:cs="Arial"/>
          <w:b/>
          <w:bCs/>
          <w:sz w:val="20"/>
          <w:szCs w:val="20"/>
          <w:lang w:val="en-AU"/>
        </w:rPr>
      </w:pPr>
      <w:r w:rsidRPr="00C9207C">
        <w:rPr>
          <w:rFonts w:ascii="Arial" w:eastAsia="Times New Roman" w:hAnsi="Arial" w:cs="Arial"/>
          <w:b/>
          <w:bCs/>
          <w:sz w:val="20"/>
          <w:szCs w:val="20"/>
          <w:lang w:val="en-AU"/>
        </w:rPr>
        <w:t>Chief Officers</w:t>
      </w:r>
    </w:p>
    <w:p w14:paraId="1180888E" w14:textId="77777777" w:rsidR="003875E5" w:rsidRPr="00C9207C" w:rsidRDefault="003875E5" w:rsidP="005D126E">
      <w:pPr>
        <w:spacing w:after="0" w:line="20" w:lineRule="atLeast"/>
        <w:jc w:val="both"/>
        <w:rPr>
          <w:rFonts w:ascii="Arial" w:eastAsia="Times New Roman" w:hAnsi="Arial" w:cs="Arial"/>
          <w:sz w:val="20"/>
          <w:szCs w:val="20"/>
          <w:lang w:val="en-AU"/>
        </w:rPr>
      </w:pPr>
    </w:p>
    <w:p w14:paraId="055B2764" w14:textId="77777777" w:rsidR="00313615" w:rsidRPr="00C9207C" w:rsidRDefault="00313615" w:rsidP="005D126E">
      <w:pPr>
        <w:spacing w:after="0" w:line="20" w:lineRule="atLeast"/>
        <w:jc w:val="both"/>
        <w:rPr>
          <w:rFonts w:ascii="Arial" w:hAnsi="Arial" w:cs="Arial"/>
          <w:sz w:val="20"/>
          <w:szCs w:val="20"/>
        </w:rPr>
      </w:pPr>
      <w:r w:rsidRPr="00C9207C">
        <w:rPr>
          <w:rFonts w:ascii="Arial" w:hAnsi="Arial" w:cs="Arial"/>
          <w:sz w:val="20"/>
          <w:szCs w:val="20"/>
        </w:rPr>
        <w:t xml:space="preserve">There were two Chief Finance Officers and a Deputy Chief Finance Officer during the year. Amy McDonald was appointed as CFO in December 2024 and resigned in July 2025 and Jonathan Belford, Chief Officer – Finance, Aberdeen City Council was appointed as interim CFO. Jonathan Belford took up the post in July 2025 in addition to his council responsibilities and was the CFO as </w:t>
      </w:r>
      <w:r>
        <w:rPr>
          <w:rFonts w:ascii="Arial" w:hAnsi="Arial" w:cs="Arial"/>
          <w:sz w:val="20"/>
          <w:szCs w:val="20"/>
        </w:rPr>
        <w:t>a</w:t>
      </w:r>
      <w:r w:rsidRPr="00C9207C">
        <w:rPr>
          <w:rFonts w:ascii="Arial" w:hAnsi="Arial" w:cs="Arial"/>
          <w:sz w:val="20"/>
          <w:szCs w:val="20"/>
        </w:rPr>
        <w:t>t 31 March 2026. Lakshmi Kudlur joined as Deputy</w:t>
      </w:r>
      <w:r w:rsidRPr="00C9207C">
        <w:rPr>
          <w:rFonts w:ascii="Arial" w:eastAsia="Times New Roman" w:hAnsi="Arial" w:cs="Arial"/>
          <w:sz w:val="20"/>
          <w:szCs w:val="20"/>
        </w:rPr>
        <w:t xml:space="preserve"> Chief Finance Officer w.e.f. 16 February 2026.</w:t>
      </w:r>
    </w:p>
    <w:p w14:paraId="1AB47D3B" w14:textId="77777777" w:rsidR="003875E5" w:rsidRPr="00C9207C" w:rsidRDefault="003875E5" w:rsidP="003875E5">
      <w:pPr>
        <w:spacing w:after="0" w:line="240" w:lineRule="auto"/>
        <w:jc w:val="both"/>
        <w:rPr>
          <w:rFonts w:ascii="Arial" w:eastAsia="Times New Roman" w:hAnsi="Arial" w:cs="Arial"/>
          <w:sz w:val="20"/>
          <w:szCs w:val="20"/>
        </w:rPr>
      </w:pPr>
    </w:p>
    <w:p w14:paraId="1934FCE7" w14:textId="77777777" w:rsidR="003875E5" w:rsidRPr="00C9207C" w:rsidRDefault="003875E5" w:rsidP="003875E5">
      <w:pPr>
        <w:spacing w:after="0" w:line="240" w:lineRule="auto"/>
        <w:jc w:val="both"/>
        <w:rPr>
          <w:rFonts w:ascii="Arial" w:eastAsia="Times New Roman" w:hAnsi="Arial" w:cs="Arial"/>
          <w:sz w:val="20"/>
          <w:szCs w:val="20"/>
        </w:rPr>
      </w:pPr>
    </w:p>
    <w:p w14:paraId="20D6F3CD" w14:textId="77777777" w:rsidR="003875E5" w:rsidRPr="00C9207C" w:rsidRDefault="003875E5" w:rsidP="003875E5">
      <w:pPr>
        <w:spacing w:after="0" w:line="240" w:lineRule="auto"/>
        <w:jc w:val="both"/>
        <w:rPr>
          <w:rFonts w:ascii="Arial" w:eastAsia="Times New Roman" w:hAnsi="Arial" w:cs="Arial"/>
          <w:sz w:val="20"/>
          <w:szCs w:val="20"/>
        </w:rPr>
      </w:pPr>
    </w:p>
    <w:p w14:paraId="77CE3C7B" w14:textId="77777777" w:rsidR="003875E5" w:rsidRPr="00C9207C" w:rsidRDefault="003875E5" w:rsidP="003875E5">
      <w:pPr>
        <w:spacing w:after="0" w:line="240" w:lineRule="auto"/>
        <w:jc w:val="both"/>
        <w:rPr>
          <w:rFonts w:ascii="Arial" w:eastAsia="Times New Roman" w:hAnsi="Arial" w:cs="Arial"/>
          <w:sz w:val="20"/>
          <w:szCs w:val="20"/>
          <w:highlight w:val="yellow"/>
          <w:lang w:val="en-AU"/>
        </w:rPr>
      </w:pPr>
    </w:p>
    <w:p w14:paraId="3DF33C89" w14:textId="77777777" w:rsidR="003875E5" w:rsidRPr="00C9207C" w:rsidRDefault="003875E5" w:rsidP="003875E5">
      <w:pPr>
        <w:spacing w:after="0" w:line="240" w:lineRule="auto"/>
        <w:jc w:val="both"/>
        <w:rPr>
          <w:rFonts w:ascii="Arial" w:eastAsia="Times New Roman" w:hAnsi="Arial" w:cs="Arial"/>
          <w:sz w:val="20"/>
          <w:szCs w:val="20"/>
          <w:highlight w:val="yellow"/>
          <w:lang w:val="en-AU"/>
        </w:rPr>
      </w:pPr>
    </w:p>
    <w:p w14:paraId="3766255E" w14:textId="77777777" w:rsidR="003875E5" w:rsidRPr="00C9207C" w:rsidRDefault="003875E5" w:rsidP="003875E5">
      <w:pPr>
        <w:spacing w:after="0" w:line="240" w:lineRule="auto"/>
        <w:jc w:val="both"/>
        <w:rPr>
          <w:rFonts w:ascii="Arial" w:eastAsia="Times New Roman" w:hAnsi="Arial" w:cs="Arial"/>
          <w:sz w:val="20"/>
          <w:szCs w:val="20"/>
          <w:highlight w:val="yellow"/>
          <w:lang w:val="en-AU"/>
        </w:rPr>
      </w:pPr>
    </w:p>
    <w:p w14:paraId="64B45991" w14:textId="77777777" w:rsidR="003875E5" w:rsidRPr="00C9207C" w:rsidRDefault="003875E5" w:rsidP="003875E5">
      <w:pPr>
        <w:spacing w:after="0" w:line="240" w:lineRule="auto"/>
        <w:jc w:val="both"/>
        <w:rPr>
          <w:rFonts w:ascii="Arial" w:eastAsia="Times New Roman" w:hAnsi="Arial" w:cs="Arial"/>
          <w:sz w:val="20"/>
          <w:szCs w:val="20"/>
          <w:lang w:val="en-AU"/>
        </w:rPr>
      </w:pPr>
    </w:p>
    <w:tbl>
      <w:tblPr>
        <w:tblStyle w:val="TableGrid"/>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709"/>
        <w:gridCol w:w="2126"/>
        <w:gridCol w:w="709"/>
        <w:gridCol w:w="2552"/>
      </w:tblGrid>
      <w:tr w:rsidR="003875E5" w:rsidRPr="00C9207C" w14:paraId="7D416210" w14:textId="77777777">
        <w:trPr>
          <w:jc w:val="center"/>
        </w:trPr>
        <w:tc>
          <w:tcPr>
            <w:tcW w:w="2830" w:type="dxa"/>
            <w:tcBorders>
              <w:bottom w:val="single" w:sz="12" w:space="0" w:color="auto"/>
            </w:tcBorders>
          </w:tcPr>
          <w:p w14:paraId="75DD0862" w14:textId="77777777" w:rsidR="003875E5" w:rsidRPr="00C9207C" w:rsidRDefault="003875E5">
            <w:pPr>
              <w:spacing w:after="0" w:line="240" w:lineRule="auto"/>
              <w:jc w:val="both"/>
              <w:rPr>
                <w:rFonts w:ascii="Arial" w:eastAsia="Times New Roman" w:hAnsi="Arial" w:cs="Arial"/>
                <w:sz w:val="20"/>
                <w:szCs w:val="20"/>
                <w:lang w:val="en-AU"/>
              </w:rPr>
            </w:pPr>
          </w:p>
        </w:tc>
        <w:tc>
          <w:tcPr>
            <w:tcW w:w="709" w:type="dxa"/>
          </w:tcPr>
          <w:p w14:paraId="3B978958" w14:textId="77777777" w:rsidR="003875E5" w:rsidRPr="00C9207C" w:rsidRDefault="003875E5">
            <w:pPr>
              <w:spacing w:after="0" w:line="240" w:lineRule="auto"/>
              <w:jc w:val="both"/>
              <w:rPr>
                <w:rFonts w:ascii="Arial" w:eastAsia="Times New Roman" w:hAnsi="Arial" w:cs="Arial"/>
                <w:sz w:val="20"/>
                <w:szCs w:val="20"/>
                <w:lang w:val="en-AU"/>
              </w:rPr>
            </w:pPr>
          </w:p>
        </w:tc>
        <w:tc>
          <w:tcPr>
            <w:tcW w:w="2126" w:type="dxa"/>
            <w:tcBorders>
              <w:bottom w:val="single" w:sz="12" w:space="0" w:color="auto"/>
            </w:tcBorders>
          </w:tcPr>
          <w:p w14:paraId="3F7CC49E" w14:textId="77777777" w:rsidR="003875E5" w:rsidRPr="00C9207C" w:rsidRDefault="003875E5">
            <w:pPr>
              <w:spacing w:after="0" w:line="240" w:lineRule="auto"/>
              <w:jc w:val="both"/>
              <w:rPr>
                <w:rFonts w:ascii="Arial" w:eastAsia="Times New Roman" w:hAnsi="Arial" w:cs="Arial"/>
                <w:sz w:val="20"/>
                <w:szCs w:val="20"/>
                <w:lang w:val="en-AU"/>
              </w:rPr>
            </w:pPr>
          </w:p>
        </w:tc>
        <w:tc>
          <w:tcPr>
            <w:tcW w:w="709" w:type="dxa"/>
          </w:tcPr>
          <w:p w14:paraId="308FBE76" w14:textId="77777777" w:rsidR="003875E5" w:rsidRPr="00C9207C" w:rsidRDefault="003875E5">
            <w:pPr>
              <w:spacing w:after="0" w:line="240" w:lineRule="auto"/>
              <w:jc w:val="both"/>
              <w:rPr>
                <w:rFonts w:ascii="Arial" w:eastAsia="Times New Roman" w:hAnsi="Arial" w:cs="Arial"/>
                <w:sz w:val="20"/>
                <w:szCs w:val="20"/>
                <w:lang w:val="en-AU"/>
              </w:rPr>
            </w:pPr>
          </w:p>
        </w:tc>
        <w:tc>
          <w:tcPr>
            <w:tcW w:w="2552" w:type="dxa"/>
            <w:tcBorders>
              <w:bottom w:val="single" w:sz="12" w:space="0" w:color="auto"/>
            </w:tcBorders>
          </w:tcPr>
          <w:p w14:paraId="158A7F46" w14:textId="77777777" w:rsidR="003875E5" w:rsidRPr="00C9207C" w:rsidRDefault="003875E5">
            <w:pPr>
              <w:spacing w:after="0" w:line="240" w:lineRule="auto"/>
              <w:jc w:val="both"/>
              <w:rPr>
                <w:rFonts w:ascii="Arial" w:eastAsia="Times New Roman" w:hAnsi="Arial" w:cs="Arial"/>
                <w:sz w:val="20"/>
                <w:szCs w:val="20"/>
                <w:lang w:val="en-AU"/>
              </w:rPr>
            </w:pPr>
          </w:p>
        </w:tc>
      </w:tr>
      <w:tr w:rsidR="003875E5" w:rsidRPr="00C9207C" w14:paraId="3468423F" w14:textId="77777777">
        <w:trPr>
          <w:jc w:val="center"/>
        </w:trPr>
        <w:tc>
          <w:tcPr>
            <w:tcW w:w="2830" w:type="dxa"/>
            <w:tcBorders>
              <w:top w:val="single" w:sz="12" w:space="0" w:color="auto"/>
            </w:tcBorders>
          </w:tcPr>
          <w:p w14:paraId="505C0483" w14:textId="77777777" w:rsidR="003875E5" w:rsidRPr="00C9207C" w:rsidRDefault="003875E5">
            <w:pPr>
              <w:spacing w:after="0" w:line="240" w:lineRule="auto"/>
              <w:jc w:val="both"/>
              <w:rPr>
                <w:rFonts w:ascii="Arial" w:eastAsia="Times New Roman" w:hAnsi="Arial" w:cs="Arial"/>
                <w:b/>
                <w:bCs/>
                <w:sz w:val="20"/>
                <w:szCs w:val="20"/>
                <w:lang w:val="en-AU"/>
              </w:rPr>
            </w:pPr>
            <w:r w:rsidRPr="00C9207C">
              <w:rPr>
                <w:rFonts w:ascii="Arial" w:eastAsia="Times New Roman" w:hAnsi="Arial" w:cs="Arial"/>
                <w:b/>
                <w:bCs/>
                <w:sz w:val="20"/>
                <w:szCs w:val="20"/>
                <w:lang w:val="en-AU"/>
              </w:rPr>
              <w:t>Hussein Patwa</w:t>
            </w:r>
          </w:p>
        </w:tc>
        <w:tc>
          <w:tcPr>
            <w:tcW w:w="709" w:type="dxa"/>
          </w:tcPr>
          <w:p w14:paraId="7525E370" w14:textId="77777777" w:rsidR="003875E5" w:rsidRPr="00C9207C" w:rsidRDefault="003875E5">
            <w:pPr>
              <w:spacing w:after="0" w:line="240" w:lineRule="auto"/>
              <w:jc w:val="both"/>
              <w:rPr>
                <w:rFonts w:ascii="Arial" w:eastAsia="Times New Roman" w:hAnsi="Arial" w:cs="Arial"/>
                <w:b/>
                <w:bCs/>
                <w:sz w:val="20"/>
                <w:szCs w:val="20"/>
                <w:lang w:val="en-AU"/>
              </w:rPr>
            </w:pPr>
          </w:p>
        </w:tc>
        <w:tc>
          <w:tcPr>
            <w:tcW w:w="2126" w:type="dxa"/>
            <w:tcBorders>
              <w:top w:val="single" w:sz="12" w:space="0" w:color="auto"/>
            </w:tcBorders>
          </w:tcPr>
          <w:p w14:paraId="49933553" w14:textId="77777777" w:rsidR="003875E5" w:rsidRPr="00C9207C" w:rsidRDefault="003875E5">
            <w:pPr>
              <w:spacing w:after="0" w:line="240" w:lineRule="auto"/>
              <w:jc w:val="both"/>
              <w:rPr>
                <w:rFonts w:ascii="Arial" w:eastAsia="Times New Roman" w:hAnsi="Arial" w:cs="Arial"/>
                <w:b/>
                <w:bCs/>
                <w:sz w:val="20"/>
                <w:szCs w:val="20"/>
                <w:lang w:val="en-AU"/>
              </w:rPr>
            </w:pPr>
            <w:r w:rsidRPr="00C9207C">
              <w:rPr>
                <w:rFonts w:ascii="Arial" w:eastAsia="Times New Roman" w:hAnsi="Arial" w:cs="Arial"/>
                <w:b/>
                <w:sz w:val="20"/>
                <w:szCs w:val="20"/>
                <w:lang w:val="en-AU"/>
              </w:rPr>
              <w:t>Fiona Mitchelhill</w:t>
            </w:r>
          </w:p>
        </w:tc>
        <w:tc>
          <w:tcPr>
            <w:tcW w:w="709" w:type="dxa"/>
          </w:tcPr>
          <w:p w14:paraId="2F7191E3" w14:textId="77777777" w:rsidR="003875E5" w:rsidRPr="00C9207C" w:rsidRDefault="003875E5">
            <w:pPr>
              <w:spacing w:after="0" w:line="240" w:lineRule="auto"/>
              <w:jc w:val="both"/>
              <w:rPr>
                <w:rFonts w:ascii="Arial" w:eastAsia="Times New Roman" w:hAnsi="Arial" w:cs="Arial"/>
                <w:b/>
                <w:bCs/>
                <w:sz w:val="20"/>
                <w:szCs w:val="20"/>
                <w:lang w:val="en-AU"/>
              </w:rPr>
            </w:pPr>
          </w:p>
        </w:tc>
        <w:tc>
          <w:tcPr>
            <w:tcW w:w="2552" w:type="dxa"/>
            <w:tcBorders>
              <w:top w:val="single" w:sz="12" w:space="0" w:color="auto"/>
            </w:tcBorders>
          </w:tcPr>
          <w:p w14:paraId="32F6780C" w14:textId="77777777" w:rsidR="003875E5" w:rsidRPr="00C9207C" w:rsidRDefault="003875E5">
            <w:pPr>
              <w:spacing w:after="0" w:line="240" w:lineRule="auto"/>
              <w:jc w:val="both"/>
              <w:rPr>
                <w:rFonts w:ascii="Arial" w:eastAsia="Times New Roman" w:hAnsi="Arial" w:cs="Arial"/>
                <w:b/>
                <w:bCs/>
                <w:sz w:val="20"/>
                <w:szCs w:val="20"/>
                <w:lang w:val="en-AU"/>
              </w:rPr>
            </w:pPr>
            <w:r w:rsidRPr="00C9207C">
              <w:rPr>
                <w:rFonts w:ascii="Arial" w:eastAsia="Times New Roman" w:hAnsi="Arial" w:cs="Arial"/>
                <w:b/>
                <w:bCs/>
                <w:sz w:val="20"/>
                <w:szCs w:val="20"/>
                <w:lang w:val="en-AU"/>
              </w:rPr>
              <w:t>Jonathan Belford</w:t>
            </w:r>
          </w:p>
        </w:tc>
      </w:tr>
      <w:tr w:rsidR="003875E5" w:rsidRPr="00C9207C" w14:paraId="676A1391" w14:textId="77777777">
        <w:trPr>
          <w:jc w:val="center"/>
        </w:trPr>
        <w:tc>
          <w:tcPr>
            <w:tcW w:w="2830" w:type="dxa"/>
          </w:tcPr>
          <w:p w14:paraId="1EC23538" w14:textId="77777777" w:rsidR="003875E5" w:rsidRPr="00C9207C" w:rsidRDefault="003875E5">
            <w:pPr>
              <w:spacing w:after="0" w:line="240" w:lineRule="auto"/>
              <w:jc w:val="both"/>
              <w:rPr>
                <w:rFonts w:ascii="Arial" w:eastAsia="Times New Roman" w:hAnsi="Arial" w:cs="Arial"/>
                <w:sz w:val="20"/>
                <w:szCs w:val="20"/>
                <w:lang w:val="en-AU"/>
              </w:rPr>
            </w:pPr>
            <w:r w:rsidRPr="00C9207C">
              <w:rPr>
                <w:rFonts w:ascii="Arial" w:eastAsia="Times New Roman" w:hAnsi="Arial" w:cs="Arial"/>
                <w:sz w:val="20"/>
                <w:szCs w:val="20"/>
                <w:lang w:val="en-AU"/>
              </w:rPr>
              <w:t>IJB Chair</w:t>
            </w:r>
          </w:p>
        </w:tc>
        <w:tc>
          <w:tcPr>
            <w:tcW w:w="709" w:type="dxa"/>
          </w:tcPr>
          <w:p w14:paraId="1B806004" w14:textId="77777777" w:rsidR="003875E5" w:rsidRPr="00C9207C" w:rsidRDefault="003875E5">
            <w:pPr>
              <w:spacing w:after="0" w:line="240" w:lineRule="auto"/>
              <w:jc w:val="both"/>
              <w:rPr>
                <w:rFonts w:ascii="Arial" w:eastAsia="Times New Roman" w:hAnsi="Arial" w:cs="Arial"/>
                <w:sz w:val="20"/>
                <w:szCs w:val="20"/>
                <w:lang w:val="en-AU"/>
              </w:rPr>
            </w:pPr>
          </w:p>
        </w:tc>
        <w:tc>
          <w:tcPr>
            <w:tcW w:w="2126" w:type="dxa"/>
          </w:tcPr>
          <w:p w14:paraId="26F0358C" w14:textId="77777777" w:rsidR="003875E5" w:rsidRPr="00C9207C" w:rsidRDefault="003875E5">
            <w:pPr>
              <w:spacing w:after="0" w:line="240" w:lineRule="auto"/>
              <w:jc w:val="both"/>
              <w:rPr>
                <w:rFonts w:ascii="Arial" w:eastAsia="Times New Roman" w:hAnsi="Arial" w:cs="Arial"/>
                <w:sz w:val="20"/>
                <w:szCs w:val="20"/>
                <w:lang w:val="en-AU"/>
              </w:rPr>
            </w:pPr>
            <w:r w:rsidRPr="00C9207C">
              <w:rPr>
                <w:rFonts w:ascii="Arial" w:eastAsia="Times New Roman" w:hAnsi="Arial" w:cs="Arial"/>
                <w:sz w:val="20"/>
                <w:szCs w:val="20"/>
                <w:lang w:val="en-AU"/>
              </w:rPr>
              <w:t>Chief Officer</w:t>
            </w:r>
          </w:p>
        </w:tc>
        <w:tc>
          <w:tcPr>
            <w:tcW w:w="709" w:type="dxa"/>
          </w:tcPr>
          <w:p w14:paraId="68430942" w14:textId="77777777" w:rsidR="003875E5" w:rsidRPr="00C9207C" w:rsidRDefault="003875E5">
            <w:pPr>
              <w:spacing w:after="0" w:line="240" w:lineRule="auto"/>
              <w:jc w:val="both"/>
              <w:rPr>
                <w:rFonts w:ascii="Arial" w:eastAsia="Times New Roman" w:hAnsi="Arial" w:cs="Arial"/>
                <w:sz w:val="20"/>
                <w:szCs w:val="20"/>
                <w:lang w:val="en-AU"/>
              </w:rPr>
            </w:pPr>
          </w:p>
        </w:tc>
        <w:tc>
          <w:tcPr>
            <w:tcW w:w="2552" w:type="dxa"/>
          </w:tcPr>
          <w:p w14:paraId="6EC71B2A" w14:textId="77777777" w:rsidR="003875E5" w:rsidRPr="00C9207C" w:rsidRDefault="003875E5">
            <w:pPr>
              <w:spacing w:after="0" w:line="240" w:lineRule="auto"/>
              <w:jc w:val="both"/>
              <w:rPr>
                <w:rFonts w:ascii="Arial" w:eastAsia="Times New Roman" w:hAnsi="Arial" w:cs="Arial"/>
                <w:sz w:val="20"/>
                <w:szCs w:val="20"/>
                <w:lang w:val="en-AU"/>
              </w:rPr>
            </w:pPr>
            <w:r w:rsidRPr="00C9207C">
              <w:rPr>
                <w:rFonts w:ascii="Arial" w:eastAsia="Times New Roman" w:hAnsi="Arial" w:cs="Arial"/>
                <w:sz w:val="20"/>
                <w:szCs w:val="20"/>
                <w:lang w:val="en-AU"/>
              </w:rPr>
              <w:t>Interim Chief Finance Officer</w:t>
            </w:r>
          </w:p>
        </w:tc>
      </w:tr>
      <w:tr w:rsidR="003875E5" w:rsidRPr="00C9207C" w14:paraId="558752F2" w14:textId="77777777">
        <w:trPr>
          <w:jc w:val="center"/>
        </w:trPr>
        <w:tc>
          <w:tcPr>
            <w:tcW w:w="2830" w:type="dxa"/>
          </w:tcPr>
          <w:p w14:paraId="6B7D7E82" w14:textId="77777777" w:rsidR="003875E5" w:rsidRPr="00C9207C" w:rsidRDefault="003875E5">
            <w:pPr>
              <w:spacing w:after="0" w:line="240" w:lineRule="auto"/>
              <w:jc w:val="both"/>
              <w:rPr>
                <w:rFonts w:ascii="Arial" w:eastAsia="Times New Roman" w:hAnsi="Arial" w:cs="Arial"/>
                <w:sz w:val="20"/>
                <w:szCs w:val="20"/>
                <w:lang w:val="en-AU"/>
              </w:rPr>
            </w:pPr>
          </w:p>
        </w:tc>
        <w:tc>
          <w:tcPr>
            <w:tcW w:w="709" w:type="dxa"/>
          </w:tcPr>
          <w:p w14:paraId="486B4374" w14:textId="77777777" w:rsidR="003875E5" w:rsidRPr="00C9207C" w:rsidRDefault="003875E5">
            <w:pPr>
              <w:spacing w:after="0" w:line="240" w:lineRule="auto"/>
              <w:jc w:val="both"/>
              <w:rPr>
                <w:rFonts w:ascii="Arial" w:eastAsia="Times New Roman" w:hAnsi="Arial" w:cs="Arial"/>
                <w:sz w:val="20"/>
                <w:szCs w:val="20"/>
                <w:lang w:val="en-AU"/>
              </w:rPr>
            </w:pPr>
          </w:p>
        </w:tc>
        <w:tc>
          <w:tcPr>
            <w:tcW w:w="2126" w:type="dxa"/>
          </w:tcPr>
          <w:p w14:paraId="5607874A" w14:textId="77777777" w:rsidR="003875E5" w:rsidRPr="00C9207C" w:rsidRDefault="003875E5">
            <w:pPr>
              <w:spacing w:after="0" w:line="240" w:lineRule="auto"/>
              <w:jc w:val="both"/>
              <w:rPr>
                <w:rFonts w:ascii="Arial" w:eastAsia="Times New Roman" w:hAnsi="Arial" w:cs="Arial"/>
                <w:sz w:val="20"/>
                <w:szCs w:val="20"/>
                <w:lang w:val="en-AU"/>
              </w:rPr>
            </w:pPr>
          </w:p>
        </w:tc>
        <w:tc>
          <w:tcPr>
            <w:tcW w:w="709" w:type="dxa"/>
          </w:tcPr>
          <w:p w14:paraId="79DE0D07" w14:textId="77777777" w:rsidR="003875E5" w:rsidRPr="00C9207C" w:rsidRDefault="003875E5">
            <w:pPr>
              <w:spacing w:after="0" w:line="240" w:lineRule="auto"/>
              <w:jc w:val="both"/>
              <w:rPr>
                <w:rFonts w:ascii="Arial" w:eastAsia="Times New Roman" w:hAnsi="Arial" w:cs="Arial"/>
                <w:sz w:val="20"/>
                <w:szCs w:val="20"/>
                <w:lang w:val="en-AU"/>
              </w:rPr>
            </w:pPr>
          </w:p>
        </w:tc>
        <w:tc>
          <w:tcPr>
            <w:tcW w:w="2552" w:type="dxa"/>
          </w:tcPr>
          <w:p w14:paraId="56A6BC01" w14:textId="77777777" w:rsidR="003875E5" w:rsidRPr="00C9207C" w:rsidRDefault="003875E5">
            <w:pPr>
              <w:spacing w:after="0" w:line="240" w:lineRule="auto"/>
              <w:jc w:val="both"/>
              <w:rPr>
                <w:rFonts w:ascii="Arial" w:eastAsia="Times New Roman" w:hAnsi="Arial" w:cs="Arial"/>
                <w:sz w:val="20"/>
                <w:szCs w:val="20"/>
                <w:lang w:val="en-AU"/>
              </w:rPr>
            </w:pPr>
          </w:p>
        </w:tc>
      </w:tr>
      <w:tr w:rsidR="003875E5" w:rsidRPr="00C9207C" w14:paraId="4043473A" w14:textId="77777777">
        <w:trPr>
          <w:jc w:val="center"/>
        </w:trPr>
        <w:tc>
          <w:tcPr>
            <w:tcW w:w="2830" w:type="dxa"/>
          </w:tcPr>
          <w:p w14:paraId="4385ECEC" w14:textId="77777777" w:rsidR="003875E5" w:rsidRPr="00C9207C" w:rsidRDefault="003875E5">
            <w:pPr>
              <w:spacing w:after="0" w:line="240" w:lineRule="auto"/>
              <w:jc w:val="both"/>
              <w:rPr>
                <w:rFonts w:ascii="Arial" w:hAnsi="Arial" w:cs="Arial"/>
                <w:sz w:val="20"/>
                <w:szCs w:val="20"/>
              </w:rPr>
            </w:pPr>
            <w:r w:rsidRPr="00C9207C">
              <w:rPr>
                <w:rFonts w:ascii="Arial" w:hAnsi="Arial" w:cs="Arial"/>
                <w:noProof/>
                <w:sz w:val="20"/>
                <w:szCs w:val="20"/>
              </w:rPr>
              <w:drawing>
                <wp:inline distT="0" distB="0" distL="0" distR="0" wp14:anchorId="701044C0" wp14:editId="1CEC6B57">
                  <wp:extent cx="1381125" cy="1657350"/>
                  <wp:effectExtent l="0" t="0" r="0" b="0"/>
                  <wp:docPr id="161644188" name="drawing" descr="Image of Hussein Ptwa, IJB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188" name="drawing" descr="Image of Hussein Ptwa, IJB Chai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1125" cy="1657350"/>
                          </a:xfrm>
                          <a:prstGeom prst="rect">
                            <a:avLst/>
                          </a:prstGeom>
                        </pic:spPr>
                      </pic:pic>
                    </a:graphicData>
                  </a:graphic>
                </wp:inline>
              </w:drawing>
            </w:r>
          </w:p>
        </w:tc>
        <w:tc>
          <w:tcPr>
            <w:tcW w:w="709" w:type="dxa"/>
          </w:tcPr>
          <w:p w14:paraId="03DEFFDE" w14:textId="77777777" w:rsidR="003875E5" w:rsidRPr="00C9207C" w:rsidRDefault="003875E5">
            <w:pPr>
              <w:spacing w:after="0" w:line="240" w:lineRule="auto"/>
              <w:jc w:val="both"/>
              <w:rPr>
                <w:rFonts w:ascii="Arial" w:hAnsi="Arial" w:cs="Arial"/>
                <w:noProof/>
                <w:sz w:val="20"/>
                <w:szCs w:val="20"/>
              </w:rPr>
            </w:pPr>
          </w:p>
        </w:tc>
        <w:tc>
          <w:tcPr>
            <w:tcW w:w="2126" w:type="dxa"/>
          </w:tcPr>
          <w:p w14:paraId="1D0A8ADE" w14:textId="77777777" w:rsidR="003875E5" w:rsidRPr="00C9207C" w:rsidRDefault="003875E5">
            <w:pPr>
              <w:spacing w:after="0" w:line="240" w:lineRule="auto"/>
              <w:jc w:val="both"/>
              <w:rPr>
                <w:rFonts w:ascii="Arial" w:hAnsi="Arial" w:cs="Arial"/>
                <w:sz w:val="20"/>
                <w:szCs w:val="20"/>
              </w:rPr>
            </w:pPr>
            <w:r w:rsidRPr="00C9207C">
              <w:rPr>
                <w:rFonts w:ascii="Arial" w:hAnsi="Arial" w:cs="Arial"/>
                <w:noProof/>
                <w:sz w:val="20"/>
                <w:szCs w:val="20"/>
              </w:rPr>
              <w:drawing>
                <wp:inline distT="0" distB="0" distL="0" distR="0" wp14:anchorId="62EF4CED" wp14:editId="4CB06928">
                  <wp:extent cx="1242009" cy="1656000"/>
                  <wp:effectExtent l="0" t="0" r="0" b="0"/>
                  <wp:docPr id="437169152" name="drawing" descr="Image of Fiona Mitchelhill, Chief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169152" name="drawing" descr="Image of Fiona Mitchelhill, Chief Officer"/>
                          <pic:cNvPicPr/>
                        </pic:nvPicPr>
                        <pic:blipFill>
                          <a:blip r:embed="rId52">
                            <a:extLst>
                              <a:ext uri="{28A0092B-C50C-407E-A947-70E740481C1C}">
                                <a14:useLocalDpi xmlns:a14="http://schemas.microsoft.com/office/drawing/2010/main"/>
                              </a:ext>
                            </a:extLst>
                          </a:blip>
                          <a:stretch>
                            <a:fillRect/>
                          </a:stretch>
                        </pic:blipFill>
                        <pic:spPr>
                          <a:xfrm>
                            <a:off x="0" y="0"/>
                            <a:ext cx="1242009" cy="1656000"/>
                          </a:xfrm>
                          <a:prstGeom prst="rect">
                            <a:avLst/>
                          </a:prstGeom>
                        </pic:spPr>
                      </pic:pic>
                    </a:graphicData>
                  </a:graphic>
                </wp:inline>
              </w:drawing>
            </w:r>
          </w:p>
        </w:tc>
        <w:tc>
          <w:tcPr>
            <w:tcW w:w="709" w:type="dxa"/>
          </w:tcPr>
          <w:p w14:paraId="387E285D" w14:textId="77777777" w:rsidR="003875E5" w:rsidRPr="00C9207C" w:rsidRDefault="003875E5">
            <w:pPr>
              <w:spacing w:after="0" w:line="240" w:lineRule="auto"/>
              <w:jc w:val="both"/>
              <w:rPr>
                <w:rFonts w:ascii="Arial" w:eastAsia="Times New Roman" w:hAnsi="Arial" w:cs="Arial"/>
                <w:sz w:val="20"/>
                <w:szCs w:val="20"/>
                <w:lang w:val="en-AU"/>
              </w:rPr>
            </w:pPr>
          </w:p>
        </w:tc>
        <w:tc>
          <w:tcPr>
            <w:tcW w:w="2552" w:type="dxa"/>
          </w:tcPr>
          <w:p w14:paraId="5ADF36B9" w14:textId="77777777" w:rsidR="003875E5" w:rsidRPr="00C9207C" w:rsidRDefault="003875E5">
            <w:pPr>
              <w:spacing w:after="0" w:line="240" w:lineRule="auto"/>
              <w:jc w:val="both"/>
              <w:rPr>
                <w:rFonts w:ascii="Arial" w:eastAsia="Times New Roman" w:hAnsi="Arial" w:cs="Arial"/>
                <w:noProof/>
                <w:sz w:val="20"/>
                <w:szCs w:val="20"/>
                <w:lang w:val="en-AU"/>
              </w:rPr>
            </w:pPr>
            <w:r w:rsidRPr="00C9207C">
              <w:rPr>
                <w:rFonts w:ascii="Arial" w:eastAsia="Times New Roman" w:hAnsi="Arial" w:cs="Arial"/>
                <w:noProof/>
                <w:sz w:val="20"/>
                <w:szCs w:val="20"/>
                <w:lang w:val="en-AU"/>
              </w:rPr>
              <w:t xml:space="preserve"> </w:t>
            </w:r>
            <w:r w:rsidRPr="00C9207C">
              <w:rPr>
                <w:rFonts w:ascii="Arial" w:hAnsi="Arial" w:cs="Arial"/>
                <w:noProof/>
                <w:sz w:val="20"/>
                <w:szCs w:val="20"/>
              </w:rPr>
              <w:drawing>
                <wp:inline distT="0" distB="0" distL="0" distR="0" wp14:anchorId="3A40F350" wp14:editId="19AABFFB">
                  <wp:extent cx="1382400" cy="1656000"/>
                  <wp:effectExtent l="0" t="0" r="0" b="0"/>
                  <wp:docPr id="1865770596" name="drawing" descr="Image of Jonathan Belford, Interim Chief Finance Offic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770596" name="drawing" descr="Image of Jonathan Belford, Interim Chief Finance Officer"/>
                          <pic:cNvPicPr/>
                        </pic:nvPicPr>
                        <pic:blipFill>
                          <a:blip r:embed="rId53">
                            <a:extLst>
                              <a:ext uri="{28A0092B-C50C-407E-A947-70E740481C1C}">
                                <a14:useLocalDpi xmlns:a14="http://schemas.microsoft.com/office/drawing/2010/main"/>
                              </a:ext>
                            </a:extLst>
                          </a:blip>
                          <a:stretch>
                            <a:fillRect/>
                          </a:stretch>
                        </pic:blipFill>
                        <pic:spPr>
                          <a:xfrm>
                            <a:off x="0" y="0"/>
                            <a:ext cx="1382400" cy="1656000"/>
                          </a:xfrm>
                          <a:prstGeom prst="rect">
                            <a:avLst/>
                          </a:prstGeom>
                        </pic:spPr>
                      </pic:pic>
                    </a:graphicData>
                  </a:graphic>
                </wp:inline>
              </w:drawing>
            </w:r>
          </w:p>
        </w:tc>
      </w:tr>
    </w:tbl>
    <w:p w14:paraId="6ABCE414" w14:textId="77777777" w:rsidR="009B41D4" w:rsidRPr="00C9207C" w:rsidRDefault="009B41D4" w:rsidP="00A51927">
      <w:pPr>
        <w:spacing w:after="0" w:line="240" w:lineRule="auto"/>
        <w:rPr>
          <w:rFonts w:ascii="Arial" w:eastAsia="Times New Roman" w:hAnsi="Arial" w:cs="Arial"/>
          <w:sz w:val="20"/>
          <w:szCs w:val="20"/>
          <w:highlight w:val="yellow"/>
          <w:lang w:val="en-AU"/>
        </w:rPr>
      </w:pPr>
      <w:r w:rsidRPr="00C9207C">
        <w:rPr>
          <w:rFonts w:ascii="Arial" w:eastAsia="Times New Roman" w:hAnsi="Arial" w:cs="Arial"/>
          <w:sz w:val="20"/>
          <w:szCs w:val="20"/>
          <w:highlight w:val="yellow"/>
          <w:lang w:val="en-AU"/>
        </w:rPr>
        <w:br w:type="page"/>
      </w:r>
    </w:p>
    <w:p w14:paraId="62B4DF8C" w14:textId="77777777" w:rsidR="00773FDA" w:rsidRPr="00C9207C" w:rsidRDefault="00773FDA" w:rsidP="00A51927">
      <w:pPr>
        <w:spacing w:after="0" w:line="240" w:lineRule="auto"/>
        <w:rPr>
          <w:rFonts w:ascii="Arial" w:eastAsia="Times New Roman" w:hAnsi="Arial" w:cs="Arial"/>
          <w:sz w:val="20"/>
          <w:szCs w:val="20"/>
          <w:highlight w:val="yellow"/>
          <w:lang w:val="en-AU"/>
        </w:rPr>
      </w:pPr>
      <w:commentRangeStart w:id="14"/>
    </w:p>
    <w:p w14:paraId="1B13959B" w14:textId="77777777" w:rsidR="00E96223" w:rsidRPr="00C9207C" w:rsidRDefault="00D235DC" w:rsidP="006D5013">
      <w:pPr>
        <w:pStyle w:val="Heading1"/>
        <w:numPr>
          <w:ilvl w:val="0"/>
          <w:numId w:val="11"/>
        </w:numPr>
        <w:jc w:val="left"/>
        <w:rPr>
          <w:rFonts w:ascii="Arial" w:hAnsi="Arial" w:cs="Arial"/>
          <w:highlight w:val="yellow"/>
        </w:rPr>
      </w:pPr>
      <w:bookmarkStart w:id="15" w:name="_Toc232169345"/>
      <w:commentRangeEnd w:id="14"/>
      <w:r w:rsidRPr="00C9207C">
        <w:rPr>
          <w:rStyle w:val="CommentReference"/>
          <w:rFonts w:ascii="Arial" w:hAnsi="Arial" w:cs="Arial"/>
          <w:sz w:val="20"/>
          <w:szCs w:val="20"/>
          <w:highlight w:val="yellow"/>
        </w:rPr>
        <w:commentReference w:id="14"/>
      </w:r>
      <w:r w:rsidR="00E96223" w:rsidRPr="00C9207C">
        <w:rPr>
          <w:rFonts w:ascii="Arial" w:hAnsi="Arial" w:cs="Arial"/>
          <w:highlight w:val="yellow"/>
        </w:rPr>
        <w:t>Independent auditor’s report to the members of Aberdeen City Integration Joint Board and the Accounts Commission</w:t>
      </w:r>
      <w:bookmarkEnd w:id="15"/>
    </w:p>
    <w:p w14:paraId="489CC0B3" w14:textId="5FBE63A2" w:rsidR="0F46106C" w:rsidRPr="00C9207C" w:rsidRDefault="0F46106C" w:rsidP="00A51927">
      <w:pPr>
        <w:spacing w:after="240"/>
        <w:ind w:right="1701"/>
        <w:rPr>
          <w:rFonts w:ascii="Arial" w:hAnsi="Arial" w:cs="Arial"/>
          <w:sz w:val="20"/>
          <w:szCs w:val="20"/>
          <w:highlight w:val="yellow"/>
        </w:rPr>
      </w:pPr>
      <w:r w:rsidRPr="00C9207C">
        <w:rPr>
          <w:rFonts w:ascii="Arial" w:eastAsia="Arial" w:hAnsi="Arial" w:cs="Arial"/>
          <w:b/>
          <w:bCs/>
          <w:color w:val="006B8D"/>
          <w:sz w:val="20"/>
          <w:szCs w:val="20"/>
          <w:highlight w:val="yellow"/>
        </w:rPr>
        <w:t>Reporting on the audit of the financial statements</w:t>
      </w:r>
    </w:p>
    <w:p w14:paraId="0945B951" w14:textId="3BB719DC" w:rsidR="0015650C" w:rsidRPr="00C9207C" w:rsidRDefault="00CD6A34" w:rsidP="006D5013">
      <w:pPr>
        <w:pStyle w:val="Heading1"/>
        <w:numPr>
          <w:ilvl w:val="0"/>
          <w:numId w:val="11"/>
        </w:numPr>
        <w:jc w:val="left"/>
        <w:rPr>
          <w:rFonts w:ascii="Arial" w:hAnsi="Arial" w:cs="Arial"/>
        </w:rPr>
      </w:pPr>
      <w:bookmarkStart w:id="16" w:name="_Toc232169346"/>
      <w:bookmarkStart w:id="17" w:name="_Toc70062049"/>
      <w:r w:rsidRPr="2E569EB3">
        <w:rPr>
          <w:rFonts w:ascii="Arial" w:hAnsi="Arial" w:cs="Arial"/>
        </w:rPr>
        <w:t>Governance</w:t>
      </w:r>
      <w:r w:rsidR="0015650C" w:rsidRPr="2E569EB3">
        <w:rPr>
          <w:rFonts w:ascii="Arial" w:hAnsi="Arial" w:cs="Arial"/>
        </w:rPr>
        <w:t xml:space="preserve"> and Accountability</w:t>
      </w:r>
      <w:bookmarkEnd w:id="16"/>
    </w:p>
    <w:p w14:paraId="49DD51F2" w14:textId="77777777" w:rsidR="0015650C" w:rsidRPr="00C9207C" w:rsidRDefault="0015650C" w:rsidP="00A51927">
      <w:pPr>
        <w:spacing w:after="0" w:line="240" w:lineRule="auto"/>
        <w:rPr>
          <w:rFonts w:ascii="Arial" w:eastAsia="Times New Roman" w:hAnsi="Arial" w:cs="Arial"/>
          <w:b/>
          <w:sz w:val="20"/>
          <w:szCs w:val="20"/>
          <w:u w:val="single"/>
        </w:rPr>
      </w:pPr>
    </w:p>
    <w:p w14:paraId="4610BAFC" w14:textId="59026B91" w:rsidR="00BE1A5A" w:rsidRPr="00C9207C" w:rsidRDefault="00C43C8F" w:rsidP="00A51927">
      <w:pPr>
        <w:spacing w:after="0"/>
        <w:rPr>
          <w:rFonts w:ascii="Arial" w:eastAsia="Aptos" w:hAnsi="Arial" w:cs="Arial"/>
          <w:sz w:val="20"/>
          <w:szCs w:val="20"/>
        </w:rPr>
      </w:pPr>
      <w:r w:rsidRPr="2E569EB3">
        <w:rPr>
          <w:rFonts w:ascii="Arial" w:eastAsia="Aptos" w:hAnsi="Arial" w:cs="Arial"/>
          <w:b/>
          <w:sz w:val="20"/>
          <w:szCs w:val="20"/>
        </w:rPr>
        <w:t xml:space="preserve">3.1 </w:t>
      </w:r>
      <w:r w:rsidR="00BE1A5A" w:rsidRPr="2E569EB3">
        <w:rPr>
          <w:rFonts w:ascii="Arial" w:eastAsia="Aptos" w:hAnsi="Arial" w:cs="Arial"/>
          <w:b/>
          <w:sz w:val="20"/>
          <w:szCs w:val="20"/>
        </w:rPr>
        <w:t>IJB and Sub Committees Membership</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BE1A5A" w:rsidRPr="00C9207C" w14:paraId="20FEC920" w14:textId="77777777">
        <w:trPr>
          <w:trHeight w:val="441"/>
        </w:trPr>
        <w:tc>
          <w:tcPr>
            <w:tcW w:w="9634" w:type="dxa"/>
            <w:vAlign w:val="center"/>
          </w:tcPr>
          <w:p w14:paraId="0AE226FF" w14:textId="77777777" w:rsidR="00BE1A5A" w:rsidRPr="00C9207C" w:rsidRDefault="00BE1A5A" w:rsidP="00A51927">
            <w:pPr>
              <w:spacing w:after="0" w:line="240" w:lineRule="auto"/>
              <w:rPr>
                <w:rFonts w:ascii="Arial" w:hAnsi="Arial" w:cs="Arial"/>
                <w:b/>
                <w:sz w:val="20"/>
                <w:szCs w:val="20"/>
                <w:u w:val="single"/>
              </w:rPr>
            </w:pPr>
          </w:p>
        </w:tc>
      </w:tr>
    </w:tbl>
    <w:tbl>
      <w:tblPr>
        <w:tblW w:w="97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2"/>
        <w:gridCol w:w="3368"/>
        <w:gridCol w:w="3298"/>
      </w:tblGrid>
      <w:tr w:rsidR="00BE1A5A" w:rsidRPr="00C9207C" w14:paraId="371B4224"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697684D9"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b/>
                <w:sz w:val="20"/>
                <w:szCs w:val="20"/>
                <w:lang w:eastAsia="en-GB"/>
              </w:rPr>
              <w:t>IJB and Sub Committees Membership</w:t>
            </w:r>
            <w:r w:rsidRPr="2E569EB3">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02D369D4"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038F9A33"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r>
      <w:tr w:rsidR="00BE1A5A" w:rsidRPr="00C9207C" w14:paraId="33CA0749"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2BC51E9C"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b/>
                <w:sz w:val="20"/>
                <w:szCs w:val="20"/>
                <w:lang w:eastAsia="en-GB"/>
              </w:rPr>
              <w:t>Integration Joint Board</w:t>
            </w:r>
            <w:r w:rsidRPr="2E569EB3">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434126D"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1CB3AB94"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r>
      <w:tr w:rsidR="00BE1A5A" w:rsidRPr="00C9207C" w14:paraId="14268801"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68865009" w14:textId="3728E40D" w:rsidR="00BE1A5A" w:rsidRPr="00C9207C" w:rsidRDefault="02E992E8"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Hussein Patwa</w:t>
            </w:r>
            <w:r w:rsidR="00BE1A5A" w:rsidRPr="2E569EB3">
              <w:rPr>
                <w:rFonts w:ascii="Arial" w:eastAsia="Times New Roman" w:hAnsi="Arial" w:cs="Arial"/>
                <w:sz w:val="20"/>
                <w:szCs w:val="20"/>
                <w:lang w:eastAsia="en-GB"/>
              </w:rPr>
              <w:t xml:space="preserve">, </w:t>
            </w:r>
            <w:r w:rsidR="00BE1A5A" w:rsidRPr="2E569EB3">
              <w:rPr>
                <w:rFonts w:ascii="Arial" w:eastAsia="Times New Roman" w:hAnsi="Arial" w:cs="Arial"/>
                <w:sz w:val="20"/>
                <w:szCs w:val="20"/>
                <w:u w:val="single"/>
                <w:lang w:eastAsia="en-GB"/>
              </w:rPr>
              <w:t>Chair</w:t>
            </w:r>
            <w:r w:rsidR="00BE1A5A" w:rsidRPr="2E569EB3">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1C110BF" w14:textId="042ADEAC" w:rsidR="00BE1A5A" w:rsidRPr="00C9207C" w:rsidRDefault="12B48321" w:rsidP="2E569EB3">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NHSG</w:t>
            </w:r>
            <w:r w:rsidR="00BE1A5A" w:rsidRPr="2E569EB3">
              <w:rPr>
                <w:rFonts w:ascii="Arial" w:eastAsia="Times New Roman" w:hAnsi="Arial" w:cs="Arial"/>
                <w:sz w:val="20"/>
                <w:szCs w:val="20"/>
                <w:lang w:eastAsia="en-GB"/>
              </w:rPr>
              <w:t xml:space="preserve"> </w:t>
            </w:r>
            <w:r w:rsidR="00BE1A5A" w:rsidRPr="2E569EB3">
              <w:rPr>
                <w:rFonts w:ascii="Arial" w:eastAsia="Times New Roman" w:hAnsi="Arial" w:cs="Arial"/>
                <w:b/>
                <w:sz w:val="20"/>
                <w:szCs w:val="20"/>
                <w:lang w:eastAsia="en-GB"/>
              </w:rPr>
              <w:t>voting</w:t>
            </w:r>
            <w:r w:rsidR="00BE1A5A" w:rsidRPr="2E569EB3">
              <w:rPr>
                <w:rFonts w:ascii="Arial" w:eastAsia="Times New Roman" w:hAnsi="Arial" w:cs="Arial"/>
                <w:sz w:val="20"/>
                <w:szCs w:val="20"/>
                <w:lang w:eastAsia="en-GB"/>
              </w:rPr>
              <w:t xml:space="preserve"> member </w:t>
            </w:r>
          </w:p>
          <w:p w14:paraId="03B96548" w14:textId="07F51465" w:rsidR="00BE1A5A" w:rsidRPr="00C9207C" w:rsidRDefault="00BE1A5A" w:rsidP="00A51927">
            <w:pPr>
              <w:spacing w:after="0" w:line="240" w:lineRule="auto"/>
              <w:textAlignment w:val="baseline"/>
              <w:rPr>
                <w:rFonts w:ascii="Arial" w:eastAsia="Times New Roman" w:hAnsi="Arial" w:cs="Arial"/>
                <w:sz w:val="20"/>
                <w:szCs w:val="20"/>
                <w:lang w:eastAsia="en-GB"/>
              </w:rPr>
            </w:pPr>
          </w:p>
        </w:tc>
        <w:tc>
          <w:tcPr>
            <w:tcW w:w="3298" w:type="dxa"/>
            <w:tcBorders>
              <w:top w:val="single" w:sz="6" w:space="0" w:color="auto"/>
              <w:left w:val="single" w:sz="6" w:space="0" w:color="auto"/>
              <w:bottom w:val="single" w:sz="6" w:space="0" w:color="auto"/>
              <w:right w:val="single" w:sz="6" w:space="0" w:color="auto"/>
            </w:tcBorders>
            <w:vAlign w:val="center"/>
            <w:hideMark/>
          </w:tcPr>
          <w:p w14:paraId="319E9B96" w14:textId="5247A31F" w:rsidR="00BE1A5A" w:rsidRPr="00C9207C" w:rsidRDefault="00BE1A5A" w:rsidP="2E569EB3">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Appointed Chair </w:t>
            </w:r>
            <w:r w:rsidR="4822E4B6" w:rsidRPr="2E569EB3">
              <w:rPr>
                <w:rFonts w:ascii="Arial" w:eastAsia="Times New Roman" w:hAnsi="Arial" w:cs="Arial"/>
                <w:sz w:val="20"/>
                <w:szCs w:val="20"/>
                <w:lang w:eastAsia="en-GB"/>
              </w:rPr>
              <w:t>26</w:t>
            </w:r>
            <w:r w:rsidRPr="2E569EB3">
              <w:rPr>
                <w:rFonts w:ascii="Arial" w:eastAsia="Times New Roman" w:hAnsi="Arial" w:cs="Arial"/>
                <w:sz w:val="20"/>
                <w:szCs w:val="20"/>
                <w:lang w:eastAsia="en-GB"/>
              </w:rPr>
              <w:t xml:space="preserve"> April </w:t>
            </w:r>
            <w:r w:rsidR="4822E4B6" w:rsidRPr="2E569EB3">
              <w:rPr>
                <w:rFonts w:ascii="Arial" w:eastAsia="Times New Roman" w:hAnsi="Arial" w:cs="Arial"/>
                <w:sz w:val="20"/>
                <w:szCs w:val="20"/>
                <w:lang w:eastAsia="en-GB"/>
              </w:rPr>
              <w:t xml:space="preserve">2025 </w:t>
            </w:r>
          </w:p>
          <w:p w14:paraId="2B2E61AF" w14:textId="7F9FB8E0" w:rsidR="00BE1A5A" w:rsidRPr="00C9207C" w:rsidRDefault="4822E4B6" w:rsidP="2E569EB3">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w:t>
            </w:r>
            <w:r w:rsidR="3A817FBA" w:rsidRPr="2E569EB3">
              <w:rPr>
                <w:rFonts w:ascii="Arial" w:eastAsia="Times New Roman" w:hAnsi="Arial" w:cs="Arial"/>
                <w:sz w:val="20"/>
                <w:szCs w:val="20"/>
                <w:lang w:eastAsia="en-GB"/>
              </w:rPr>
              <w:t xml:space="preserve">Appointed as Member 22 August </w:t>
            </w:r>
            <w:r w:rsidR="00BE1A5A" w:rsidRPr="2E569EB3">
              <w:rPr>
                <w:rFonts w:ascii="Arial" w:eastAsia="Times New Roman" w:hAnsi="Arial" w:cs="Arial"/>
                <w:sz w:val="20"/>
                <w:szCs w:val="20"/>
                <w:lang w:eastAsia="en-GB"/>
              </w:rPr>
              <w:t>2023</w:t>
            </w:r>
            <w:r w:rsidR="3A817FBA" w:rsidRPr="2E569EB3">
              <w:rPr>
                <w:rFonts w:ascii="Arial" w:eastAsia="Times New Roman" w:hAnsi="Arial" w:cs="Arial"/>
                <w:sz w:val="20"/>
                <w:szCs w:val="20"/>
                <w:lang w:eastAsia="en-GB"/>
              </w:rPr>
              <w:t xml:space="preserve">; </w:t>
            </w:r>
            <w:r w:rsidR="00BE1A5A" w:rsidRPr="2E569EB3">
              <w:rPr>
                <w:rFonts w:ascii="Arial" w:eastAsia="Times New Roman" w:hAnsi="Arial" w:cs="Arial"/>
                <w:sz w:val="20"/>
                <w:szCs w:val="20"/>
                <w:lang w:eastAsia="en-GB"/>
              </w:rPr>
              <w:t xml:space="preserve">VC from </w:t>
            </w:r>
            <w:r w:rsidR="3A817FBA" w:rsidRPr="2E569EB3">
              <w:rPr>
                <w:rFonts w:ascii="Arial" w:eastAsia="Times New Roman" w:hAnsi="Arial" w:cs="Arial"/>
                <w:sz w:val="20"/>
                <w:szCs w:val="20"/>
                <w:lang w:eastAsia="en-GB"/>
              </w:rPr>
              <w:t>10 October 2023</w:t>
            </w:r>
            <w:r w:rsidR="75F473A0" w:rsidRPr="2E569EB3">
              <w:rPr>
                <w:rFonts w:ascii="Arial" w:eastAsia="Times New Roman" w:hAnsi="Arial" w:cs="Arial"/>
                <w:sz w:val="20"/>
                <w:szCs w:val="20"/>
                <w:lang w:eastAsia="en-GB"/>
              </w:rPr>
              <w:t>)</w:t>
            </w:r>
          </w:p>
          <w:p w14:paraId="7A6F1FDE" w14:textId="7AB4B5A4" w:rsidR="00BE1A5A" w:rsidRPr="00C9207C" w:rsidRDefault="00BE1A5A" w:rsidP="00A51927">
            <w:pPr>
              <w:spacing w:after="0" w:line="240" w:lineRule="auto"/>
              <w:textAlignment w:val="baseline"/>
              <w:rPr>
                <w:rFonts w:ascii="Arial" w:eastAsia="Times New Roman" w:hAnsi="Arial" w:cs="Arial"/>
                <w:sz w:val="20"/>
                <w:szCs w:val="20"/>
                <w:lang w:eastAsia="en-GB"/>
              </w:rPr>
            </w:pPr>
          </w:p>
        </w:tc>
      </w:tr>
      <w:tr w:rsidR="00BE1A5A" w:rsidRPr="00C9207C" w14:paraId="18652F29"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253C47AF" w14:textId="4EBCC614" w:rsidR="00BE1A5A" w:rsidRPr="00C9207C" w:rsidRDefault="3F6CD2B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w:t>
            </w:r>
            <w:r w:rsidR="057CEFBA" w:rsidRPr="2E569EB3">
              <w:rPr>
                <w:rFonts w:ascii="Arial" w:eastAsia="Times New Roman" w:hAnsi="Arial" w:cs="Arial"/>
                <w:sz w:val="20"/>
                <w:szCs w:val="20"/>
                <w:lang w:eastAsia="en-GB"/>
              </w:rPr>
              <w:t>ouncillor</w:t>
            </w:r>
            <w:r w:rsidRPr="2E569EB3">
              <w:rPr>
                <w:rFonts w:ascii="Arial" w:eastAsia="Times New Roman" w:hAnsi="Arial" w:cs="Arial"/>
                <w:sz w:val="20"/>
                <w:szCs w:val="20"/>
                <w:lang w:eastAsia="en-GB"/>
              </w:rPr>
              <w:t xml:space="preserve"> J</w:t>
            </w:r>
            <w:r w:rsidR="18D8C7BD" w:rsidRPr="2E569EB3">
              <w:rPr>
                <w:rFonts w:ascii="Arial" w:eastAsia="Times New Roman" w:hAnsi="Arial" w:cs="Arial"/>
                <w:sz w:val="20"/>
                <w:szCs w:val="20"/>
                <w:lang w:eastAsia="en-GB"/>
              </w:rPr>
              <w:t>ohn</w:t>
            </w:r>
            <w:r w:rsidRPr="2E569EB3">
              <w:rPr>
                <w:rFonts w:ascii="Arial" w:eastAsia="Times New Roman" w:hAnsi="Arial" w:cs="Arial"/>
                <w:sz w:val="20"/>
                <w:szCs w:val="20"/>
                <w:lang w:eastAsia="en-GB"/>
              </w:rPr>
              <w:t xml:space="preserve"> Cooke</w:t>
            </w:r>
            <w:r w:rsidR="00BE1A5A" w:rsidRPr="2E569EB3">
              <w:rPr>
                <w:rFonts w:ascii="Arial" w:eastAsia="Times New Roman" w:hAnsi="Arial" w:cs="Arial"/>
                <w:sz w:val="20"/>
                <w:szCs w:val="20"/>
                <w:lang w:eastAsia="en-GB"/>
              </w:rPr>
              <w:t xml:space="preserve">, </w:t>
            </w:r>
            <w:r w:rsidR="00BE1A5A" w:rsidRPr="2E569EB3">
              <w:rPr>
                <w:rFonts w:ascii="Arial" w:eastAsia="Times New Roman" w:hAnsi="Arial" w:cs="Arial"/>
                <w:sz w:val="20"/>
                <w:szCs w:val="20"/>
                <w:u w:val="single"/>
                <w:lang w:eastAsia="en-GB"/>
              </w:rPr>
              <w:t>Vice Chair</w:t>
            </w:r>
            <w:r w:rsidR="00BE1A5A" w:rsidRPr="2E569EB3">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1B848C62" w14:textId="098494E2" w:rsidR="00BE1A5A" w:rsidRPr="00C9207C" w:rsidRDefault="19E6FED7" w:rsidP="2E569EB3">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ACC </w:t>
            </w:r>
            <w:r w:rsidRPr="2E569EB3">
              <w:rPr>
                <w:rFonts w:ascii="Arial" w:eastAsia="Times New Roman" w:hAnsi="Arial" w:cs="Arial"/>
                <w:b/>
                <w:bCs/>
                <w:sz w:val="20"/>
                <w:szCs w:val="20"/>
                <w:lang w:eastAsia="en-GB"/>
              </w:rPr>
              <w:t>voting</w:t>
            </w:r>
            <w:r w:rsidRPr="2E569EB3">
              <w:rPr>
                <w:rFonts w:ascii="Arial" w:eastAsia="Times New Roman" w:hAnsi="Arial" w:cs="Arial"/>
                <w:sz w:val="20"/>
                <w:szCs w:val="20"/>
                <w:lang w:eastAsia="en-GB"/>
              </w:rPr>
              <w:t xml:space="preserve"> member </w:t>
            </w:r>
          </w:p>
          <w:p w14:paraId="7A9D3D27" w14:textId="3854A023" w:rsidR="00BE1A5A" w:rsidRPr="00C9207C" w:rsidRDefault="00BE1A5A" w:rsidP="00A51927">
            <w:pPr>
              <w:spacing w:after="0" w:line="240" w:lineRule="auto"/>
              <w:textAlignment w:val="baseline"/>
              <w:rPr>
                <w:rFonts w:ascii="Arial" w:eastAsia="Times New Roman" w:hAnsi="Arial" w:cs="Arial"/>
                <w:sz w:val="20"/>
                <w:szCs w:val="20"/>
                <w:lang w:eastAsia="en-GB"/>
              </w:rPr>
            </w:pPr>
          </w:p>
        </w:tc>
        <w:tc>
          <w:tcPr>
            <w:tcW w:w="3298" w:type="dxa"/>
            <w:tcBorders>
              <w:top w:val="single" w:sz="6" w:space="0" w:color="auto"/>
              <w:left w:val="single" w:sz="6" w:space="0" w:color="auto"/>
              <w:bottom w:val="single" w:sz="6" w:space="0" w:color="auto"/>
              <w:right w:val="single" w:sz="6" w:space="0" w:color="auto"/>
            </w:tcBorders>
            <w:vAlign w:val="center"/>
            <w:hideMark/>
          </w:tcPr>
          <w:p w14:paraId="608A5F81" w14:textId="06AD8405" w:rsidR="00BE1A5A" w:rsidRPr="00C9207C" w:rsidRDefault="77E26350" w:rsidP="2E569EB3">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Vice Chair 26 April 2025 (</w:t>
            </w:r>
            <w:r w:rsidR="622CE208" w:rsidRPr="2E569EB3">
              <w:rPr>
                <w:rFonts w:ascii="Arial" w:eastAsia="Times New Roman" w:hAnsi="Arial" w:cs="Arial"/>
                <w:sz w:val="20"/>
                <w:szCs w:val="20"/>
                <w:lang w:eastAsia="en-GB"/>
              </w:rPr>
              <w:t>Chair 25 April 2023</w:t>
            </w:r>
            <w:r w:rsidR="145F702F" w:rsidRPr="2E569EB3">
              <w:rPr>
                <w:rFonts w:ascii="Arial" w:eastAsia="Times New Roman" w:hAnsi="Arial" w:cs="Arial"/>
                <w:sz w:val="20"/>
                <w:szCs w:val="20"/>
                <w:lang w:eastAsia="en-GB"/>
              </w:rPr>
              <w:t xml:space="preserve">; </w:t>
            </w:r>
            <w:r w:rsidR="622CE208" w:rsidRPr="2E569EB3">
              <w:rPr>
                <w:rFonts w:ascii="Arial" w:eastAsia="Times New Roman" w:hAnsi="Arial" w:cs="Arial"/>
                <w:sz w:val="20"/>
                <w:szCs w:val="20"/>
                <w:lang w:eastAsia="en-GB"/>
              </w:rPr>
              <w:t>VC from 7 June 2022</w:t>
            </w:r>
            <w:r w:rsidR="476E3E99" w:rsidRPr="2E569EB3">
              <w:rPr>
                <w:rFonts w:ascii="Arial" w:eastAsia="Times New Roman" w:hAnsi="Arial" w:cs="Arial"/>
                <w:sz w:val="20"/>
                <w:szCs w:val="20"/>
                <w:lang w:eastAsia="en-GB"/>
              </w:rPr>
              <w:t>)</w:t>
            </w:r>
          </w:p>
          <w:p w14:paraId="7D3FEC9D" w14:textId="13E95690" w:rsidR="00BE1A5A" w:rsidRPr="00C9207C" w:rsidRDefault="00BE1A5A" w:rsidP="00A51927">
            <w:pPr>
              <w:spacing w:after="0" w:line="240" w:lineRule="auto"/>
              <w:textAlignment w:val="baseline"/>
              <w:rPr>
                <w:rFonts w:ascii="Arial" w:eastAsia="Times New Roman" w:hAnsi="Arial" w:cs="Arial"/>
                <w:sz w:val="20"/>
                <w:szCs w:val="20"/>
                <w:lang w:eastAsia="en-GB"/>
              </w:rPr>
            </w:pPr>
          </w:p>
        </w:tc>
      </w:tr>
      <w:tr w:rsidR="00BE1A5A" w:rsidRPr="00C9207C" w14:paraId="1911A0B4"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7CCEEF90"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Prof. David Blackbourn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2E58A77E" w14:textId="1796E2A8"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NHSG </w:t>
            </w:r>
            <w:r w:rsidRPr="2E569EB3">
              <w:rPr>
                <w:rFonts w:ascii="Arial" w:eastAsia="Times New Roman" w:hAnsi="Arial" w:cs="Arial"/>
                <w:b/>
                <w:sz w:val="20"/>
                <w:szCs w:val="20"/>
                <w:lang w:eastAsia="en-GB"/>
              </w:rPr>
              <w:t>voting</w:t>
            </w:r>
            <w:r w:rsidRPr="2E569EB3">
              <w:rPr>
                <w:rFonts w:ascii="Arial" w:eastAsia="Times New Roman" w:hAnsi="Arial" w:cs="Arial"/>
                <w:sz w:val="20"/>
                <w:szCs w:val="20"/>
                <w:lang w:eastAsia="en-GB"/>
              </w:rPr>
              <w:t xml:space="preserve"> member</w:t>
            </w:r>
          </w:p>
        </w:tc>
        <w:tc>
          <w:tcPr>
            <w:tcW w:w="3298" w:type="dxa"/>
            <w:tcBorders>
              <w:top w:val="single" w:sz="6" w:space="0" w:color="auto"/>
              <w:left w:val="single" w:sz="6" w:space="0" w:color="auto"/>
              <w:bottom w:val="single" w:sz="6" w:space="0" w:color="auto"/>
              <w:right w:val="single" w:sz="6" w:space="0" w:color="auto"/>
            </w:tcBorders>
            <w:vAlign w:val="center"/>
            <w:hideMark/>
          </w:tcPr>
          <w:p w14:paraId="1A1E578E"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Nominated July 2024, noted 24 September 2024 </w:t>
            </w:r>
          </w:p>
        </w:tc>
      </w:tr>
      <w:tr w:rsidR="00BE1A5A" w:rsidRPr="00C9207C" w14:paraId="2247B84F"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44EE31F"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Ritchie Johnson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716BEBE8"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NHSG </w:t>
            </w:r>
            <w:r w:rsidRPr="2E569EB3">
              <w:rPr>
                <w:rFonts w:ascii="Arial" w:eastAsia="Times New Roman" w:hAnsi="Arial" w:cs="Arial"/>
                <w:b/>
                <w:sz w:val="20"/>
                <w:szCs w:val="20"/>
                <w:lang w:eastAsia="en-GB"/>
              </w:rPr>
              <w:t>voting</w:t>
            </w:r>
            <w:r w:rsidRPr="2E569EB3">
              <w:rPr>
                <w:rFonts w:ascii="Arial" w:eastAsia="Times New Roman" w:hAnsi="Arial" w:cs="Arial"/>
                <w:sz w:val="20"/>
                <w:szCs w:val="20"/>
                <w:lang w:eastAsia="en-GB"/>
              </w:rPr>
              <w:t xml:space="preserve"> member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544626B4"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Nominated July 2024, noted 24 September 2024 </w:t>
            </w:r>
          </w:p>
        </w:tc>
      </w:tr>
      <w:tr w:rsidR="00BE1A5A" w:rsidRPr="00C9207C" w14:paraId="3510CA84"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34767E46"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Mark Burrell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0D71986"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NHSG </w:t>
            </w:r>
            <w:r w:rsidRPr="2E569EB3">
              <w:rPr>
                <w:rFonts w:ascii="Arial" w:eastAsia="Times New Roman" w:hAnsi="Arial" w:cs="Arial"/>
                <w:b/>
                <w:sz w:val="20"/>
                <w:szCs w:val="20"/>
                <w:lang w:eastAsia="en-GB"/>
              </w:rPr>
              <w:t>voting</w:t>
            </w:r>
            <w:r w:rsidRPr="2E569EB3">
              <w:rPr>
                <w:rFonts w:ascii="Arial" w:eastAsia="Times New Roman" w:hAnsi="Arial" w:cs="Arial"/>
                <w:sz w:val="20"/>
                <w:szCs w:val="20"/>
                <w:lang w:eastAsia="en-GB"/>
              </w:rPr>
              <w:t xml:space="preserve"> member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16FAF835"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22 August 2023 </w:t>
            </w:r>
          </w:p>
        </w:tc>
      </w:tr>
      <w:tr w:rsidR="00BE1A5A" w:rsidRPr="00C9207C" w14:paraId="140E18EA"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60360BCF" w14:textId="5B9E9C15"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w:t>
            </w:r>
            <w:r w:rsidR="6189577E" w:rsidRPr="2E569EB3">
              <w:rPr>
                <w:rFonts w:ascii="Arial" w:eastAsia="Times New Roman" w:hAnsi="Arial" w:cs="Arial"/>
                <w:sz w:val="20"/>
                <w:szCs w:val="20"/>
                <w:lang w:eastAsia="en-GB"/>
              </w:rPr>
              <w:t>ouncillor</w:t>
            </w:r>
            <w:r w:rsidRPr="2E569EB3">
              <w:rPr>
                <w:rFonts w:ascii="Arial" w:eastAsia="Times New Roman" w:hAnsi="Arial" w:cs="Arial"/>
                <w:sz w:val="20"/>
                <w:szCs w:val="20"/>
                <w:lang w:eastAsia="en-GB"/>
              </w:rPr>
              <w:t xml:space="preserve"> Lee Fairfull  </w:t>
            </w:r>
          </w:p>
          <w:p w14:paraId="146FE695"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23EDA890"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ACC </w:t>
            </w:r>
            <w:r w:rsidRPr="2E569EB3">
              <w:rPr>
                <w:rFonts w:ascii="Arial" w:eastAsia="Times New Roman" w:hAnsi="Arial" w:cs="Arial"/>
                <w:b/>
                <w:sz w:val="20"/>
                <w:szCs w:val="20"/>
                <w:lang w:eastAsia="en-GB"/>
              </w:rPr>
              <w:t xml:space="preserve">voting </w:t>
            </w:r>
            <w:r w:rsidRPr="2E569EB3">
              <w:rPr>
                <w:rFonts w:ascii="Arial" w:eastAsia="Times New Roman" w:hAnsi="Arial" w:cs="Arial"/>
                <w:sz w:val="20"/>
                <w:szCs w:val="20"/>
                <w:lang w:eastAsia="en-GB"/>
              </w:rPr>
              <w:t>member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6F686C42"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22 August 2023; Last meeting 6 February 2024, reappointed 19 November 2024 </w:t>
            </w:r>
          </w:p>
        </w:tc>
      </w:tr>
      <w:tr w:rsidR="00BE1A5A" w:rsidRPr="00C9207C" w14:paraId="1F3BDB9C"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7BDE8313" w14:textId="17B1556B"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w:t>
            </w:r>
            <w:r w:rsidR="5C28472F" w:rsidRPr="2E569EB3">
              <w:rPr>
                <w:rFonts w:ascii="Arial" w:eastAsia="Times New Roman" w:hAnsi="Arial" w:cs="Arial"/>
                <w:sz w:val="20"/>
                <w:szCs w:val="20"/>
                <w:lang w:eastAsia="en-GB"/>
              </w:rPr>
              <w:t>ouncillor</w:t>
            </w:r>
            <w:r w:rsidRPr="2E569EB3">
              <w:rPr>
                <w:rFonts w:ascii="Arial" w:eastAsia="Times New Roman" w:hAnsi="Arial" w:cs="Arial"/>
                <w:sz w:val="20"/>
                <w:szCs w:val="20"/>
                <w:lang w:eastAsia="en-GB"/>
              </w:rPr>
              <w:t xml:space="preserve"> Martin Greig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22576757"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ACC </w:t>
            </w:r>
            <w:r w:rsidRPr="2E569EB3">
              <w:rPr>
                <w:rFonts w:ascii="Arial" w:eastAsia="Times New Roman" w:hAnsi="Arial" w:cs="Arial"/>
                <w:b/>
                <w:sz w:val="20"/>
                <w:szCs w:val="20"/>
                <w:lang w:eastAsia="en-GB"/>
              </w:rPr>
              <w:t>voting</w:t>
            </w:r>
            <w:r w:rsidRPr="2E569EB3">
              <w:rPr>
                <w:rFonts w:ascii="Arial" w:eastAsia="Times New Roman" w:hAnsi="Arial" w:cs="Arial"/>
                <w:sz w:val="20"/>
                <w:szCs w:val="20"/>
                <w:lang w:eastAsia="en-GB"/>
              </w:rPr>
              <w:t xml:space="preserve"> member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0E243CC4"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7 June 2022 </w:t>
            </w:r>
          </w:p>
        </w:tc>
      </w:tr>
      <w:tr w:rsidR="00BE1A5A" w:rsidRPr="00C9207C" w14:paraId="23CA9EB3" w14:textId="77777777" w:rsidTr="00126E54">
        <w:trPr>
          <w:trHeight w:val="302"/>
        </w:trPr>
        <w:tc>
          <w:tcPr>
            <w:tcW w:w="3052" w:type="dxa"/>
            <w:tcBorders>
              <w:top w:val="single" w:sz="6" w:space="0" w:color="auto"/>
              <w:left w:val="single" w:sz="6" w:space="0" w:color="auto"/>
              <w:bottom w:val="double" w:sz="18" w:space="0" w:color="auto"/>
              <w:right w:val="single" w:sz="6" w:space="0" w:color="auto"/>
            </w:tcBorders>
            <w:vAlign w:val="center"/>
            <w:hideMark/>
          </w:tcPr>
          <w:p w14:paraId="5664B02F" w14:textId="41161591"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w:t>
            </w:r>
            <w:r w:rsidR="76A2B4FB" w:rsidRPr="2E569EB3">
              <w:rPr>
                <w:rFonts w:ascii="Arial" w:eastAsia="Times New Roman" w:hAnsi="Arial" w:cs="Arial"/>
                <w:sz w:val="20"/>
                <w:szCs w:val="20"/>
                <w:lang w:eastAsia="en-GB"/>
              </w:rPr>
              <w:t>ouncillor</w:t>
            </w:r>
            <w:r w:rsidRPr="2E569EB3">
              <w:rPr>
                <w:rFonts w:ascii="Arial" w:eastAsia="Times New Roman" w:hAnsi="Arial" w:cs="Arial"/>
                <w:sz w:val="20"/>
                <w:szCs w:val="20"/>
                <w:lang w:eastAsia="en-GB"/>
              </w:rPr>
              <w:t xml:space="preserve"> </w:t>
            </w:r>
            <w:r w:rsidR="35AAF2A4" w:rsidRPr="2E569EB3">
              <w:rPr>
                <w:rFonts w:ascii="Arial" w:eastAsia="Times New Roman" w:hAnsi="Arial" w:cs="Arial"/>
                <w:sz w:val="20"/>
                <w:szCs w:val="20"/>
                <w:lang w:eastAsia="en-GB"/>
              </w:rPr>
              <w:t xml:space="preserve">M.Tauqeer </w:t>
            </w:r>
            <w:r w:rsidRPr="2E569EB3">
              <w:rPr>
                <w:rFonts w:ascii="Arial" w:eastAsia="Times New Roman" w:hAnsi="Arial" w:cs="Arial"/>
                <w:sz w:val="20"/>
                <w:szCs w:val="20"/>
                <w:lang w:eastAsia="en-GB"/>
              </w:rPr>
              <w:t>Malik </w:t>
            </w:r>
          </w:p>
        </w:tc>
        <w:tc>
          <w:tcPr>
            <w:tcW w:w="3368" w:type="dxa"/>
            <w:tcBorders>
              <w:top w:val="single" w:sz="6" w:space="0" w:color="auto"/>
              <w:left w:val="single" w:sz="6" w:space="0" w:color="auto"/>
              <w:bottom w:val="double" w:sz="18" w:space="0" w:color="auto"/>
              <w:right w:val="single" w:sz="6" w:space="0" w:color="auto"/>
            </w:tcBorders>
            <w:vAlign w:val="center"/>
            <w:hideMark/>
          </w:tcPr>
          <w:p w14:paraId="6FC7E3F9"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ACC </w:t>
            </w:r>
            <w:r w:rsidRPr="2E569EB3">
              <w:rPr>
                <w:rFonts w:ascii="Arial" w:eastAsia="Times New Roman" w:hAnsi="Arial" w:cs="Arial"/>
                <w:b/>
                <w:sz w:val="20"/>
                <w:szCs w:val="20"/>
                <w:lang w:eastAsia="en-GB"/>
              </w:rPr>
              <w:t>voting</w:t>
            </w:r>
            <w:r w:rsidRPr="2E569EB3">
              <w:rPr>
                <w:rFonts w:ascii="Arial" w:eastAsia="Times New Roman" w:hAnsi="Arial" w:cs="Arial"/>
                <w:sz w:val="20"/>
                <w:szCs w:val="20"/>
                <w:lang w:eastAsia="en-GB"/>
              </w:rPr>
              <w:t xml:space="preserve"> member </w:t>
            </w:r>
          </w:p>
        </w:tc>
        <w:tc>
          <w:tcPr>
            <w:tcW w:w="3298" w:type="dxa"/>
            <w:tcBorders>
              <w:top w:val="single" w:sz="6" w:space="0" w:color="auto"/>
              <w:left w:val="single" w:sz="6" w:space="0" w:color="auto"/>
              <w:bottom w:val="double" w:sz="18" w:space="0" w:color="auto"/>
              <w:right w:val="single" w:sz="6" w:space="0" w:color="auto"/>
            </w:tcBorders>
            <w:vAlign w:val="center"/>
            <w:hideMark/>
          </w:tcPr>
          <w:p w14:paraId="6281ACAF"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11 March 2025 </w:t>
            </w:r>
          </w:p>
        </w:tc>
      </w:tr>
      <w:tr w:rsidR="00BE1A5A" w:rsidRPr="00C9207C" w14:paraId="4B4D736A" w14:textId="77777777" w:rsidTr="00126E54">
        <w:trPr>
          <w:trHeight w:val="302"/>
        </w:trPr>
        <w:tc>
          <w:tcPr>
            <w:tcW w:w="3052" w:type="dxa"/>
            <w:tcBorders>
              <w:top w:val="double" w:sz="18" w:space="0" w:color="auto"/>
              <w:left w:val="single" w:sz="6" w:space="0" w:color="auto"/>
              <w:bottom w:val="single" w:sz="6" w:space="0" w:color="auto"/>
              <w:right w:val="single" w:sz="6" w:space="0" w:color="auto"/>
            </w:tcBorders>
            <w:vAlign w:val="center"/>
            <w:hideMark/>
          </w:tcPr>
          <w:p w14:paraId="6DF2CACB" w14:textId="5610F368"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Amanda Foster </w:t>
            </w:r>
          </w:p>
          <w:p w14:paraId="165AC20A"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Kenneth McAlpine </w:t>
            </w:r>
          </w:p>
        </w:tc>
        <w:tc>
          <w:tcPr>
            <w:tcW w:w="3368" w:type="dxa"/>
            <w:tcBorders>
              <w:top w:val="double" w:sz="18" w:space="0" w:color="auto"/>
              <w:left w:val="single" w:sz="6" w:space="0" w:color="auto"/>
              <w:bottom w:val="single" w:sz="6" w:space="0" w:color="auto"/>
              <w:right w:val="single" w:sz="6" w:space="0" w:color="auto"/>
            </w:tcBorders>
            <w:vAlign w:val="center"/>
            <w:hideMark/>
          </w:tcPr>
          <w:p w14:paraId="32D2A983"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Patient/Service User Reps </w:t>
            </w:r>
          </w:p>
        </w:tc>
        <w:tc>
          <w:tcPr>
            <w:tcW w:w="3298" w:type="dxa"/>
            <w:tcBorders>
              <w:top w:val="double" w:sz="18" w:space="0" w:color="auto"/>
              <w:left w:val="single" w:sz="6" w:space="0" w:color="auto"/>
              <w:bottom w:val="single" w:sz="6" w:space="0" w:color="auto"/>
              <w:right w:val="single" w:sz="6" w:space="0" w:color="auto"/>
            </w:tcBorders>
            <w:vAlign w:val="center"/>
            <w:hideMark/>
          </w:tcPr>
          <w:p w14:paraId="56BDE30D" w14:textId="23FA90F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9 July 2024 </w:t>
            </w:r>
          </w:p>
          <w:p w14:paraId="4DBC491B" w14:textId="1D5FFAD1" w:rsidR="00BE1A5A" w:rsidRPr="00C9207C" w:rsidRDefault="00BE1A5A" w:rsidP="00A51927">
            <w:pPr>
              <w:spacing w:after="0" w:line="240" w:lineRule="auto"/>
              <w:textAlignment w:val="baseline"/>
              <w:rPr>
                <w:rFonts w:ascii="Arial" w:eastAsia="Times New Roman" w:hAnsi="Arial" w:cs="Arial"/>
                <w:sz w:val="20"/>
                <w:szCs w:val="20"/>
                <w:lang w:eastAsia="en-GB"/>
              </w:rPr>
            </w:pPr>
          </w:p>
        </w:tc>
      </w:tr>
      <w:tr w:rsidR="00BE1A5A" w:rsidRPr="00C9207C" w14:paraId="718D7D46"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047700AC"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Jamie Donaldson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646184BF"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NHSG Staff Rep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0C2E916B"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22 August 2023 </w:t>
            </w:r>
          </w:p>
        </w:tc>
      </w:tr>
      <w:tr w:rsidR="2E569EB3" w14:paraId="46BA9D37"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254484ED" w14:textId="021E9B1D" w:rsidR="2E569EB3" w:rsidRDefault="2E569EB3" w:rsidP="2E569EB3">
            <w:pPr>
              <w:spacing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Brenda Massie</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7E2266D" w14:textId="54597583" w:rsidR="2E569EB3" w:rsidRDefault="2E569EB3" w:rsidP="2E569EB3">
            <w:pPr>
              <w:spacing w:after="0"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ACC Union Rep</w:t>
            </w:r>
          </w:p>
        </w:tc>
        <w:tc>
          <w:tcPr>
            <w:tcW w:w="3298" w:type="dxa"/>
            <w:tcBorders>
              <w:top w:val="single" w:sz="6" w:space="0" w:color="auto"/>
              <w:left w:val="single" w:sz="6" w:space="0" w:color="auto"/>
              <w:bottom w:val="single" w:sz="6" w:space="0" w:color="auto"/>
              <w:right w:val="single" w:sz="6" w:space="0" w:color="auto"/>
            </w:tcBorders>
            <w:vAlign w:val="center"/>
            <w:hideMark/>
          </w:tcPr>
          <w:p w14:paraId="48B132C3" w14:textId="6D7EDB32" w:rsidR="2E569EB3" w:rsidRDefault="2E569EB3" w:rsidP="2E569EB3">
            <w:pPr>
              <w:spacing w:after="0"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Appointed 31 July 2025</w:t>
            </w:r>
          </w:p>
        </w:tc>
      </w:tr>
      <w:tr w:rsidR="00BE1A5A" w:rsidRPr="00C9207C" w14:paraId="4CE9E783"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C0BEA9A"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Jenny Gibb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5033FFAB"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NHSG Nursing Rep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75E42845" w14:textId="77777777" w:rsidR="00BE1A5A" w:rsidRPr="00C9207C" w:rsidRDefault="00BE1A5A" w:rsidP="00A51927">
            <w:pPr>
              <w:spacing w:after="0" w:line="240" w:lineRule="auto"/>
              <w:textAlignment w:val="baseline"/>
              <w:rPr>
                <w:rFonts w:ascii="Arial" w:eastAsia="Aptos" w:hAnsi="Arial" w:cs="Arial"/>
                <w:sz w:val="20"/>
                <w:szCs w:val="20"/>
              </w:rPr>
            </w:pPr>
            <w:r w:rsidRPr="2E569EB3">
              <w:rPr>
                <w:rFonts w:ascii="Arial" w:eastAsia="Times New Roman" w:hAnsi="Arial" w:cs="Arial"/>
                <w:sz w:val="20"/>
                <w:szCs w:val="20"/>
                <w:lang w:eastAsia="en-GB"/>
              </w:rPr>
              <w:t>Continuous membership</w:t>
            </w:r>
          </w:p>
        </w:tc>
      </w:tr>
      <w:tr w:rsidR="00BE1A5A" w:rsidRPr="00C9207C" w14:paraId="4056D6C3"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330A2AE5"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Stephen Friar/ Joy Miller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281C6025"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Senior Leadership Team - Medicine and Unscheduled Care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5A3BB9E1" w14:textId="1D134B0C"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12 Feb 2025 </w:t>
            </w:r>
          </w:p>
        </w:tc>
      </w:tr>
      <w:tr w:rsidR="00BE1A5A" w:rsidRPr="00C9207C" w14:paraId="2547B13C"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E79D180"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Maggie Hepburn (ACVO)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02671377"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Third Sector Rep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4762684A"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Term extended - Reappointed 19 November 2024 </w:t>
            </w:r>
          </w:p>
        </w:tc>
      </w:tr>
      <w:tr w:rsidR="00BE1A5A" w:rsidRPr="00C9207C" w14:paraId="14849A29"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4A6706D0"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Dr Caroline Howarth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6D7D465B"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Clinical Director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7A01075E" w14:textId="73637C0E"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January 2019</w:t>
            </w:r>
          </w:p>
        </w:tc>
      </w:tr>
      <w:tr w:rsidR="00BE1A5A" w:rsidRPr="00C9207C" w14:paraId="0CC2CBF5"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10968C8" w14:textId="7A178007" w:rsidR="00BE1A5A" w:rsidRDefault="00536755" w:rsidP="00A51927">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Vick</w:t>
            </w:r>
            <w:r w:rsidR="00161018">
              <w:rPr>
                <w:rFonts w:ascii="Arial" w:eastAsia="Times New Roman" w:hAnsi="Arial" w:cs="Arial"/>
                <w:sz w:val="20"/>
                <w:szCs w:val="20"/>
                <w:lang w:eastAsia="en-GB"/>
              </w:rPr>
              <w:t>i Johnstone</w:t>
            </w:r>
          </w:p>
          <w:p w14:paraId="3E1AD7DC"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p>
        </w:tc>
        <w:tc>
          <w:tcPr>
            <w:tcW w:w="3368" w:type="dxa"/>
            <w:tcBorders>
              <w:top w:val="single" w:sz="6" w:space="0" w:color="auto"/>
              <w:left w:val="single" w:sz="6" w:space="0" w:color="auto"/>
              <w:bottom w:val="single" w:sz="6" w:space="0" w:color="auto"/>
              <w:right w:val="single" w:sz="6" w:space="0" w:color="auto"/>
            </w:tcBorders>
            <w:vAlign w:val="center"/>
            <w:hideMark/>
          </w:tcPr>
          <w:p w14:paraId="26D7D8E8"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Carer Rep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41A908C9" w14:textId="7DEA5DF5" w:rsidR="00BE1A5A" w:rsidRPr="00C9207C" w:rsidRDefault="34D07AF3" w:rsidP="00A51927">
            <w:pPr>
              <w:spacing w:after="0" w:line="240" w:lineRule="auto"/>
              <w:textAlignment w:val="baseline"/>
              <w:rPr>
                <w:rFonts w:ascii="Arial" w:eastAsia="Times New Roman" w:hAnsi="Arial" w:cs="Arial"/>
                <w:sz w:val="20"/>
                <w:szCs w:val="20"/>
                <w:highlight w:val="yellow"/>
                <w:lang w:eastAsia="en-GB"/>
              </w:rPr>
            </w:pPr>
            <w:r w:rsidRPr="2E569EB3">
              <w:rPr>
                <w:rFonts w:ascii="Arial" w:eastAsia="Times New Roman" w:hAnsi="Arial" w:cs="Arial"/>
                <w:sz w:val="20"/>
                <w:szCs w:val="20"/>
                <w:lang w:eastAsia="en-GB"/>
              </w:rPr>
              <w:t xml:space="preserve">Appointed </w:t>
            </w:r>
            <w:r w:rsidR="000B6A0D">
              <w:rPr>
                <w:rFonts w:ascii="Arial" w:eastAsia="Times New Roman" w:hAnsi="Arial" w:cs="Arial"/>
                <w:sz w:val="20"/>
                <w:szCs w:val="20"/>
                <w:lang w:eastAsia="en-GB"/>
              </w:rPr>
              <w:t xml:space="preserve">12 </w:t>
            </w:r>
            <w:r w:rsidR="00D710B9">
              <w:rPr>
                <w:rFonts w:ascii="Arial" w:eastAsia="Times New Roman" w:hAnsi="Arial" w:cs="Arial"/>
                <w:sz w:val="20"/>
                <w:szCs w:val="20"/>
                <w:lang w:eastAsia="en-GB"/>
              </w:rPr>
              <w:t>May 2026</w:t>
            </w:r>
          </w:p>
        </w:tc>
      </w:tr>
      <w:tr w:rsidR="00BE1A5A" w:rsidRPr="00C9207C" w14:paraId="641BAE5B"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28172DAD"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Phil Mackie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1C401E1E"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NHSG Depute Director of Public Health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62D01753"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Appointed 7 June 2022 </w:t>
            </w:r>
          </w:p>
        </w:tc>
      </w:tr>
      <w:tr w:rsidR="00BE1A5A" w:rsidRPr="00C9207C" w14:paraId="25915D31"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14FCC5C8"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Fiona Mitchelhill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03C52A3"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Chief Officer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653B0DE8" w14:textId="4C21A934" w:rsidR="00BE1A5A" w:rsidRPr="00C9207C" w:rsidRDefault="1FD1C0C6"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Continuous membership</w:t>
            </w:r>
          </w:p>
        </w:tc>
      </w:tr>
      <w:tr w:rsidR="2E569EB3" w14:paraId="4989A544"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4826A0CF" w14:textId="6BEF353E" w:rsidR="1BD797B7" w:rsidRDefault="1BD797B7" w:rsidP="2E569EB3">
            <w:pPr>
              <w:spacing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Jonathan Belford</w:t>
            </w:r>
          </w:p>
        </w:tc>
        <w:tc>
          <w:tcPr>
            <w:tcW w:w="3368" w:type="dxa"/>
            <w:tcBorders>
              <w:top w:val="single" w:sz="6" w:space="0" w:color="auto"/>
              <w:left w:val="single" w:sz="6" w:space="0" w:color="auto"/>
              <w:bottom w:val="single" w:sz="6" w:space="0" w:color="auto"/>
              <w:right w:val="single" w:sz="6" w:space="0" w:color="auto"/>
            </w:tcBorders>
            <w:vAlign w:val="center"/>
            <w:hideMark/>
          </w:tcPr>
          <w:p w14:paraId="7B1787CF" w14:textId="0F4A8648" w:rsidR="2E569EB3" w:rsidRDefault="2E569EB3" w:rsidP="2E569EB3">
            <w:pPr>
              <w:spacing w:after="0"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Interim Chief Finance Officer</w:t>
            </w:r>
          </w:p>
        </w:tc>
        <w:tc>
          <w:tcPr>
            <w:tcW w:w="3298" w:type="dxa"/>
            <w:tcBorders>
              <w:top w:val="single" w:sz="6" w:space="0" w:color="auto"/>
              <w:left w:val="single" w:sz="6" w:space="0" w:color="auto"/>
              <w:bottom w:val="single" w:sz="6" w:space="0" w:color="auto"/>
              <w:right w:val="single" w:sz="6" w:space="0" w:color="auto"/>
            </w:tcBorders>
            <w:vAlign w:val="center"/>
            <w:hideMark/>
          </w:tcPr>
          <w:p w14:paraId="1FD45072" w14:textId="26AB809A" w:rsidR="2E569EB3" w:rsidRDefault="2E569EB3" w:rsidP="2E569EB3">
            <w:pPr>
              <w:spacing w:after="0" w:line="240" w:lineRule="auto"/>
              <w:rPr>
                <w:rFonts w:ascii="Arial" w:eastAsia="Times New Roman" w:hAnsi="Arial" w:cs="Arial"/>
                <w:sz w:val="20"/>
                <w:szCs w:val="20"/>
                <w:lang w:eastAsia="en-GB"/>
              </w:rPr>
            </w:pPr>
            <w:r w:rsidRPr="2E569EB3">
              <w:rPr>
                <w:rFonts w:ascii="Arial" w:eastAsia="Times New Roman" w:hAnsi="Arial" w:cs="Arial"/>
                <w:sz w:val="20"/>
                <w:szCs w:val="20"/>
                <w:lang w:eastAsia="en-GB"/>
              </w:rPr>
              <w:t>Appointed July 2025</w:t>
            </w:r>
          </w:p>
        </w:tc>
      </w:tr>
      <w:tr w:rsidR="00BE1A5A" w:rsidRPr="00C9207C" w14:paraId="3A4E0CE5"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4B0E775"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Graeme Simpson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21AC585C"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ACC, Chief Social Work Officer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6BC687A1" w14:textId="05C89377" w:rsidR="00BE1A5A" w:rsidRPr="00C9207C" w:rsidRDefault="00BE1A5A" w:rsidP="00A51927">
            <w:pPr>
              <w:spacing w:after="0" w:line="240" w:lineRule="auto"/>
              <w:textAlignment w:val="baseline"/>
              <w:rPr>
                <w:rFonts w:ascii="Arial" w:eastAsia="Aptos" w:hAnsi="Arial" w:cs="Arial"/>
                <w:sz w:val="20"/>
                <w:szCs w:val="20"/>
              </w:rPr>
            </w:pPr>
            <w:r w:rsidRPr="2E569EB3">
              <w:rPr>
                <w:rFonts w:ascii="Arial" w:eastAsia="Aptos" w:hAnsi="Arial" w:cs="Arial"/>
                <w:sz w:val="20"/>
                <w:szCs w:val="20"/>
              </w:rPr>
              <w:t>Continuous membership</w:t>
            </w:r>
          </w:p>
        </w:tc>
      </w:tr>
      <w:tr w:rsidR="00BE1A5A" w:rsidRPr="00C9207C" w14:paraId="70206C8B"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5F518C20"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56751A06">
              <w:rPr>
                <w:rFonts w:ascii="Arial" w:eastAsia="Times New Roman" w:hAnsi="Arial" w:cs="Arial"/>
                <w:b/>
                <w:sz w:val="20"/>
                <w:szCs w:val="20"/>
                <w:lang w:eastAsia="en-GB"/>
              </w:rPr>
              <w:t>Resigned:</w:t>
            </w:r>
            <w:r w:rsidRPr="56751A06">
              <w:rPr>
                <w:rFonts w:ascii="Arial" w:eastAsia="Times New Roman" w:hAnsi="Arial" w:cs="Arial"/>
                <w:sz w:val="20"/>
                <w:szCs w:val="20"/>
                <w:lang w:eastAsia="en-GB"/>
              </w:rPr>
              <w:t>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567986C8"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0F349AB9" w14:textId="77777777" w:rsidR="00BE1A5A" w:rsidRPr="00C9207C" w:rsidRDefault="00BE1A5A" w:rsidP="00A51927">
            <w:pPr>
              <w:spacing w:after="0" w:line="240" w:lineRule="auto"/>
              <w:textAlignment w:val="baseline"/>
              <w:rPr>
                <w:rFonts w:ascii="Arial" w:eastAsia="Times New Roman" w:hAnsi="Arial" w:cs="Arial"/>
                <w:sz w:val="20"/>
                <w:szCs w:val="20"/>
                <w:lang w:eastAsia="en-GB"/>
              </w:rPr>
            </w:pPr>
            <w:r w:rsidRPr="2E569EB3">
              <w:rPr>
                <w:rFonts w:ascii="Arial" w:eastAsia="Times New Roman" w:hAnsi="Arial" w:cs="Arial"/>
                <w:sz w:val="20"/>
                <w:szCs w:val="20"/>
                <w:lang w:eastAsia="en-GB"/>
              </w:rPr>
              <w:t> </w:t>
            </w:r>
          </w:p>
        </w:tc>
      </w:tr>
      <w:tr w:rsidR="7F6A506C" w14:paraId="6C3B2514" w14:textId="77777777" w:rsidTr="00126E54">
        <w:trPr>
          <w:trHeight w:val="302"/>
        </w:trPr>
        <w:tc>
          <w:tcPr>
            <w:tcW w:w="3052" w:type="dxa"/>
            <w:tcBorders>
              <w:top w:val="single" w:sz="6" w:space="0" w:color="auto"/>
              <w:left w:val="single" w:sz="6" w:space="0" w:color="auto"/>
              <w:bottom w:val="single" w:sz="6" w:space="0" w:color="auto"/>
              <w:right w:val="single" w:sz="6" w:space="0" w:color="auto"/>
            </w:tcBorders>
            <w:vAlign w:val="center"/>
            <w:hideMark/>
          </w:tcPr>
          <w:p w14:paraId="1DAB0D14" w14:textId="77777777" w:rsidR="7F6A506C" w:rsidRPr="00E175BD" w:rsidRDefault="7F6A506C" w:rsidP="7F6A506C">
            <w:pPr>
              <w:spacing w:after="0" w:line="240" w:lineRule="auto"/>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Jim Currie </w:t>
            </w:r>
          </w:p>
        </w:tc>
        <w:tc>
          <w:tcPr>
            <w:tcW w:w="3368" w:type="dxa"/>
            <w:tcBorders>
              <w:top w:val="single" w:sz="6" w:space="0" w:color="auto"/>
              <w:left w:val="single" w:sz="6" w:space="0" w:color="auto"/>
              <w:bottom w:val="single" w:sz="6" w:space="0" w:color="auto"/>
              <w:right w:val="single" w:sz="6" w:space="0" w:color="auto"/>
            </w:tcBorders>
            <w:vAlign w:val="center"/>
            <w:hideMark/>
          </w:tcPr>
          <w:p w14:paraId="4F0F64D0" w14:textId="77777777" w:rsidR="7F6A506C" w:rsidRPr="00E175BD" w:rsidRDefault="7F6A506C" w:rsidP="7F6A506C">
            <w:pPr>
              <w:spacing w:after="0" w:line="240" w:lineRule="auto"/>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ACC Union Rep </w:t>
            </w:r>
          </w:p>
        </w:tc>
        <w:tc>
          <w:tcPr>
            <w:tcW w:w="3298" w:type="dxa"/>
            <w:tcBorders>
              <w:top w:val="single" w:sz="6" w:space="0" w:color="auto"/>
              <w:left w:val="single" w:sz="6" w:space="0" w:color="auto"/>
              <w:bottom w:val="single" w:sz="6" w:space="0" w:color="auto"/>
              <w:right w:val="single" w:sz="6" w:space="0" w:color="auto"/>
            </w:tcBorders>
            <w:vAlign w:val="center"/>
            <w:hideMark/>
          </w:tcPr>
          <w:p w14:paraId="014B411C" w14:textId="7718E06C" w:rsidR="7F6A506C" w:rsidRPr="00E175BD" w:rsidRDefault="54F7BDE7" w:rsidP="7F6A506C">
            <w:pPr>
              <w:spacing w:after="0" w:line="240" w:lineRule="auto"/>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Resigned 31 July 2025</w:t>
            </w:r>
          </w:p>
        </w:tc>
      </w:tr>
      <w:tr w:rsidR="00BE1A5A" w:rsidRPr="00C9207C" w14:paraId="5C996BE5" w14:textId="77777777" w:rsidTr="00126E54">
        <w:trPr>
          <w:trHeight w:val="302"/>
        </w:trPr>
        <w:tc>
          <w:tcPr>
            <w:tcW w:w="3052" w:type="dxa"/>
            <w:tcBorders>
              <w:top w:val="single" w:sz="6" w:space="0" w:color="auto"/>
              <w:left w:val="single" w:sz="6" w:space="0" w:color="auto"/>
              <w:bottom w:val="single" w:sz="4" w:space="0" w:color="auto"/>
              <w:right w:val="single" w:sz="6" w:space="0" w:color="auto"/>
            </w:tcBorders>
            <w:vAlign w:val="center"/>
          </w:tcPr>
          <w:p w14:paraId="3E6667B8" w14:textId="77777777" w:rsidR="00BE1A5A" w:rsidRPr="00C9207C" w:rsidRDefault="00BE1A5A" w:rsidP="00A51927">
            <w:pPr>
              <w:spacing w:after="0" w:line="240" w:lineRule="auto"/>
              <w:textAlignment w:val="baseline"/>
              <w:rPr>
                <w:rFonts w:ascii="Arial" w:eastAsia="Times New Roman" w:hAnsi="Arial" w:cs="Arial"/>
                <w:color w:val="808080"/>
                <w:sz w:val="20"/>
                <w:szCs w:val="20"/>
                <w:lang w:eastAsia="en-GB"/>
              </w:rPr>
            </w:pPr>
            <w:r w:rsidRPr="00E175BD">
              <w:rPr>
                <w:rFonts w:ascii="Arial" w:eastAsia="Times New Roman" w:hAnsi="Arial" w:cs="Arial"/>
                <w:color w:val="595959" w:themeColor="text1" w:themeTint="A6"/>
                <w:sz w:val="20"/>
                <w:szCs w:val="20"/>
                <w:lang w:eastAsia="en-GB"/>
              </w:rPr>
              <w:t>Amy McDonald</w:t>
            </w:r>
          </w:p>
        </w:tc>
        <w:tc>
          <w:tcPr>
            <w:tcW w:w="3368" w:type="dxa"/>
            <w:tcBorders>
              <w:top w:val="single" w:sz="6" w:space="0" w:color="auto"/>
              <w:left w:val="single" w:sz="6" w:space="0" w:color="auto"/>
              <w:bottom w:val="single" w:sz="4" w:space="0" w:color="auto"/>
              <w:right w:val="single" w:sz="6" w:space="0" w:color="auto"/>
            </w:tcBorders>
            <w:vAlign w:val="center"/>
          </w:tcPr>
          <w:p w14:paraId="79A5D282" w14:textId="77777777" w:rsidR="00BE1A5A" w:rsidRPr="00C9207C" w:rsidRDefault="00BE1A5A" w:rsidP="00A51927">
            <w:pPr>
              <w:spacing w:after="0" w:line="240" w:lineRule="auto"/>
              <w:textAlignment w:val="baseline"/>
              <w:rPr>
                <w:rFonts w:ascii="Arial" w:eastAsia="Times New Roman" w:hAnsi="Arial" w:cs="Arial"/>
                <w:color w:val="808080"/>
                <w:sz w:val="20"/>
                <w:szCs w:val="20"/>
                <w:lang w:eastAsia="en-GB"/>
              </w:rPr>
            </w:pPr>
            <w:r w:rsidRPr="00E175BD">
              <w:rPr>
                <w:rFonts w:ascii="Arial" w:eastAsia="Times New Roman" w:hAnsi="Arial" w:cs="Arial"/>
                <w:color w:val="595959" w:themeColor="text1" w:themeTint="A6"/>
                <w:sz w:val="20"/>
                <w:szCs w:val="20"/>
                <w:lang w:eastAsia="en-GB"/>
              </w:rPr>
              <w:t>Chief Finance Officer </w:t>
            </w:r>
          </w:p>
        </w:tc>
        <w:tc>
          <w:tcPr>
            <w:tcW w:w="3298" w:type="dxa"/>
            <w:tcBorders>
              <w:top w:val="single" w:sz="6" w:space="0" w:color="auto"/>
              <w:left w:val="single" w:sz="6" w:space="0" w:color="auto"/>
              <w:bottom w:val="single" w:sz="4" w:space="0" w:color="auto"/>
              <w:right w:val="single" w:sz="6" w:space="0" w:color="auto"/>
            </w:tcBorders>
            <w:vAlign w:val="center"/>
          </w:tcPr>
          <w:p w14:paraId="66DD8DE5" w14:textId="43E36CD5" w:rsidR="00BE1A5A" w:rsidRPr="00C9207C" w:rsidRDefault="00BE1A5A" w:rsidP="00A51927">
            <w:pPr>
              <w:spacing w:after="0" w:line="240" w:lineRule="auto"/>
              <w:textAlignment w:val="baseline"/>
              <w:rPr>
                <w:rFonts w:ascii="Arial" w:eastAsia="Times New Roman" w:hAnsi="Arial" w:cs="Arial"/>
                <w:color w:val="808080"/>
                <w:sz w:val="20"/>
                <w:szCs w:val="20"/>
                <w:lang w:eastAsia="en-GB"/>
              </w:rPr>
            </w:pPr>
            <w:r w:rsidRPr="00E175BD">
              <w:rPr>
                <w:rFonts w:ascii="Arial" w:eastAsia="Times New Roman" w:hAnsi="Arial" w:cs="Arial"/>
                <w:color w:val="595959" w:themeColor="text1" w:themeTint="A6"/>
                <w:sz w:val="20"/>
                <w:szCs w:val="20"/>
                <w:lang w:eastAsia="en-GB"/>
              </w:rPr>
              <w:t>Appointed December 2024; resigned 2 July 2025</w:t>
            </w:r>
          </w:p>
        </w:tc>
      </w:tr>
      <w:tr w:rsidR="00370411" w:rsidRPr="00C9207C" w14:paraId="4171D8FD" w14:textId="77777777" w:rsidTr="00126E54">
        <w:trPr>
          <w:trHeight w:val="302"/>
        </w:trPr>
        <w:tc>
          <w:tcPr>
            <w:tcW w:w="3052" w:type="dxa"/>
            <w:tcBorders>
              <w:top w:val="single" w:sz="4" w:space="0" w:color="auto"/>
              <w:left w:val="single" w:sz="6" w:space="0" w:color="auto"/>
              <w:bottom w:val="single" w:sz="6" w:space="0" w:color="auto"/>
              <w:right w:val="single" w:sz="6" w:space="0" w:color="auto"/>
            </w:tcBorders>
            <w:vAlign w:val="center"/>
          </w:tcPr>
          <w:p w14:paraId="62E6019D" w14:textId="2086B36F" w:rsidR="00370411" w:rsidRPr="00E175BD" w:rsidRDefault="00370411" w:rsidP="00C07C31">
            <w:pPr>
              <w:spacing w:after="0" w:line="240" w:lineRule="auto"/>
              <w:textAlignment w:val="baseline"/>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Shona McFarlane</w:t>
            </w:r>
          </w:p>
        </w:tc>
        <w:tc>
          <w:tcPr>
            <w:tcW w:w="3368" w:type="dxa"/>
            <w:tcBorders>
              <w:top w:val="single" w:sz="4" w:space="0" w:color="auto"/>
              <w:left w:val="single" w:sz="6" w:space="0" w:color="auto"/>
              <w:bottom w:val="single" w:sz="6" w:space="0" w:color="auto"/>
              <w:right w:val="single" w:sz="6" w:space="0" w:color="auto"/>
            </w:tcBorders>
            <w:vAlign w:val="center"/>
          </w:tcPr>
          <w:p w14:paraId="2CD8C7FE" w14:textId="387301AE" w:rsidR="00370411" w:rsidRPr="00E175BD" w:rsidRDefault="00370411" w:rsidP="00370411">
            <w:pPr>
              <w:spacing w:after="0" w:line="240" w:lineRule="auto"/>
              <w:textAlignment w:val="baseline"/>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Carer Rep </w:t>
            </w:r>
          </w:p>
        </w:tc>
        <w:tc>
          <w:tcPr>
            <w:tcW w:w="3298" w:type="dxa"/>
            <w:tcBorders>
              <w:top w:val="single" w:sz="4" w:space="0" w:color="auto"/>
              <w:left w:val="single" w:sz="6" w:space="0" w:color="auto"/>
              <w:bottom w:val="single" w:sz="6" w:space="0" w:color="auto"/>
              <w:right w:val="single" w:sz="6" w:space="0" w:color="auto"/>
            </w:tcBorders>
            <w:vAlign w:val="center"/>
          </w:tcPr>
          <w:p w14:paraId="4F9C7F3D" w14:textId="77777777" w:rsidR="00370411" w:rsidRPr="00E175BD" w:rsidRDefault="00370411" w:rsidP="00370411">
            <w:pPr>
              <w:spacing w:after="0" w:line="240" w:lineRule="auto"/>
              <w:textAlignment w:val="baseline"/>
              <w:rPr>
                <w:rFonts w:ascii="Arial" w:eastAsia="Times New Roman" w:hAnsi="Arial" w:cs="Arial"/>
                <w:color w:val="595959" w:themeColor="text1" w:themeTint="A6"/>
                <w:sz w:val="20"/>
                <w:szCs w:val="20"/>
                <w:lang w:eastAsia="en-GB"/>
              </w:rPr>
            </w:pPr>
            <w:r w:rsidRPr="00E175BD">
              <w:rPr>
                <w:rFonts w:ascii="Arial" w:eastAsia="Times New Roman" w:hAnsi="Arial" w:cs="Arial"/>
                <w:color w:val="595959" w:themeColor="text1" w:themeTint="A6"/>
                <w:sz w:val="20"/>
                <w:szCs w:val="20"/>
                <w:lang w:eastAsia="en-GB"/>
              </w:rPr>
              <w:t>Appointed March 2020</w:t>
            </w:r>
          </w:p>
          <w:p w14:paraId="137D1A97" w14:textId="15858B69" w:rsidR="00AB791C" w:rsidRPr="00402A5E" w:rsidRDefault="00AB791C" w:rsidP="00370411">
            <w:pPr>
              <w:spacing w:after="0" w:line="240" w:lineRule="auto"/>
              <w:textAlignment w:val="baseline"/>
              <w:rPr>
                <w:rFonts w:ascii="Arial" w:eastAsia="Times New Roman" w:hAnsi="Arial" w:cs="Arial"/>
                <w:color w:val="EE0000"/>
                <w:sz w:val="20"/>
                <w:szCs w:val="20"/>
                <w:lang w:eastAsia="en-GB"/>
              </w:rPr>
            </w:pPr>
            <w:r w:rsidRPr="00E175BD">
              <w:rPr>
                <w:rFonts w:ascii="Arial" w:eastAsia="Times New Roman" w:hAnsi="Arial" w:cs="Arial"/>
                <w:color w:val="595959" w:themeColor="text1" w:themeTint="A6"/>
                <w:sz w:val="20"/>
                <w:szCs w:val="20"/>
                <w:lang w:eastAsia="en-GB"/>
              </w:rPr>
              <w:t xml:space="preserve">Resigned </w:t>
            </w:r>
            <w:r w:rsidR="00402A5E" w:rsidRPr="00E175BD">
              <w:rPr>
                <w:rFonts w:ascii="Arial" w:eastAsia="Times New Roman" w:hAnsi="Arial" w:cs="Arial"/>
                <w:color w:val="595959" w:themeColor="text1" w:themeTint="A6"/>
                <w:sz w:val="20"/>
                <w:szCs w:val="20"/>
                <w:lang w:eastAsia="en-GB"/>
              </w:rPr>
              <w:t>12 May</w:t>
            </w:r>
            <w:r w:rsidR="00536755" w:rsidRPr="00E175BD">
              <w:rPr>
                <w:rFonts w:ascii="Arial" w:eastAsia="Times New Roman" w:hAnsi="Arial" w:cs="Arial"/>
                <w:color w:val="595959" w:themeColor="text1" w:themeTint="A6"/>
                <w:sz w:val="20"/>
                <w:szCs w:val="20"/>
                <w:lang w:eastAsia="en-GB"/>
              </w:rPr>
              <w:t xml:space="preserve"> 2026</w:t>
            </w:r>
          </w:p>
        </w:tc>
      </w:tr>
    </w:tbl>
    <w:p w14:paraId="04CD2B01" w14:textId="7F4F3FB6" w:rsidR="00BE1A5A" w:rsidRPr="00C9207C" w:rsidRDefault="00BE1A5A" w:rsidP="00A51927">
      <w:pPr>
        <w:rPr>
          <w:rFonts w:ascii="Arial" w:hAnsi="Arial" w:cs="Arial"/>
          <w:sz w:val="20"/>
          <w:szCs w:val="20"/>
          <w:highlight w:val="yellow"/>
        </w:rPr>
      </w:pPr>
    </w:p>
    <w:tbl>
      <w:tblPr>
        <w:tblW w:w="97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6"/>
        <w:gridCol w:w="3239"/>
        <w:gridCol w:w="3256"/>
      </w:tblGrid>
      <w:tr w:rsidR="00BE1A5A" w:rsidRPr="00C9207C" w14:paraId="7434E196" w14:textId="77777777" w:rsidTr="00126E54">
        <w:trPr>
          <w:trHeight w:val="285"/>
        </w:trPr>
        <w:tc>
          <w:tcPr>
            <w:tcW w:w="3256" w:type="dxa"/>
            <w:tcBorders>
              <w:top w:val="single" w:sz="6" w:space="0" w:color="auto"/>
              <w:left w:val="single" w:sz="6" w:space="0" w:color="auto"/>
              <w:bottom w:val="single" w:sz="6" w:space="0" w:color="auto"/>
              <w:right w:val="single" w:sz="6" w:space="0" w:color="auto"/>
            </w:tcBorders>
            <w:vAlign w:val="center"/>
            <w:hideMark/>
          </w:tcPr>
          <w:p w14:paraId="4DF76DAD" w14:textId="77777777" w:rsidR="00BE1A5A" w:rsidRPr="00C9207C" w:rsidRDefault="00BE1A5A" w:rsidP="00A51927">
            <w:pPr>
              <w:rPr>
                <w:rFonts w:ascii="Arial" w:hAnsi="Arial" w:cs="Arial"/>
                <w:sz w:val="20"/>
                <w:szCs w:val="20"/>
              </w:rPr>
            </w:pPr>
            <w:r w:rsidRPr="26BA13FD">
              <w:rPr>
                <w:rFonts w:ascii="Arial" w:hAnsi="Arial" w:cs="Arial"/>
                <w:b/>
                <w:sz w:val="20"/>
                <w:szCs w:val="20"/>
              </w:rPr>
              <w:lastRenderedPageBreak/>
              <w:t>Risk, Audit and Performance Committee</w:t>
            </w:r>
          </w:p>
        </w:tc>
        <w:tc>
          <w:tcPr>
            <w:tcW w:w="3239" w:type="dxa"/>
            <w:tcBorders>
              <w:top w:val="single" w:sz="6" w:space="0" w:color="auto"/>
              <w:left w:val="single" w:sz="6" w:space="0" w:color="auto"/>
              <w:bottom w:val="single" w:sz="6" w:space="0" w:color="auto"/>
              <w:right w:val="single" w:sz="6" w:space="0" w:color="auto"/>
            </w:tcBorders>
            <w:vAlign w:val="center"/>
            <w:hideMark/>
          </w:tcPr>
          <w:p w14:paraId="2837550C" w14:textId="77777777" w:rsidR="00BE1A5A" w:rsidRPr="00C9207C" w:rsidRDefault="00BE1A5A" w:rsidP="00A51927">
            <w:pPr>
              <w:rPr>
                <w:rFonts w:ascii="Arial" w:hAnsi="Arial" w:cs="Arial"/>
                <w:sz w:val="20"/>
                <w:szCs w:val="20"/>
              </w:rPr>
            </w:pPr>
            <w:r w:rsidRPr="26BA13FD">
              <w:rPr>
                <w:rFonts w:ascii="Arial" w:hAnsi="Arial" w:cs="Arial"/>
                <w:sz w:val="20"/>
                <w:szCs w:val="20"/>
              </w:rPr>
              <w:t> </w:t>
            </w:r>
          </w:p>
        </w:tc>
        <w:tc>
          <w:tcPr>
            <w:tcW w:w="3256" w:type="dxa"/>
            <w:tcBorders>
              <w:top w:val="single" w:sz="6" w:space="0" w:color="auto"/>
              <w:left w:val="single" w:sz="6" w:space="0" w:color="auto"/>
              <w:bottom w:val="single" w:sz="6" w:space="0" w:color="auto"/>
              <w:right w:val="single" w:sz="6" w:space="0" w:color="auto"/>
            </w:tcBorders>
            <w:vAlign w:val="center"/>
            <w:hideMark/>
          </w:tcPr>
          <w:p w14:paraId="6DC686F9" w14:textId="77777777" w:rsidR="00BE1A5A" w:rsidRPr="00C9207C" w:rsidRDefault="00BE1A5A" w:rsidP="00A51927">
            <w:pPr>
              <w:rPr>
                <w:rFonts w:ascii="Arial" w:hAnsi="Arial" w:cs="Arial"/>
                <w:sz w:val="20"/>
                <w:szCs w:val="20"/>
              </w:rPr>
            </w:pPr>
            <w:r w:rsidRPr="26BA13FD">
              <w:rPr>
                <w:rFonts w:ascii="Arial" w:hAnsi="Arial" w:cs="Arial"/>
                <w:sz w:val="20"/>
                <w:szCs w:val="20"/>
              </w:rPr>
              <w:t> </w:t>
            </w:r>
          </w:p>
        </w:tc>
      </w:tr>
      <w:tr w:rsidR="00BE1A5A" w:rsidRPr="00C9207C" w14:paraId="397A8498" w14:textId="77777777" w:rsidTr="00126E54">
        <w:trPr>
          <w:trHeight w:val="285"/>
        </w:trPr>
        <w:tc>
          <w:tcPr>
            <w:tcW w:w="3256" w:type="dxa"/>
            <w:tcBorders>
              <w:top w:val="single" w:sz="6" w:space="0" w:color="auto"/>
              <w:left w:val="single" w:sz="6" w:space="0" w:color="auto"/>
              <w:bottom w:val="single" w:sz="6" w:space="0" w:color="auto"/>
              <w:right w:val="single" w:sz="6" w:space="0" w:color="auto"/>
            </w:tcBorders>
            <w:vAlign w:val="center"/>
            <w:hideMark/>
          </w:tcPr>
          <w:p w14:paraId="2BBF1D52" w14:textId="5DE195BB" w:rsidR="00BE1A5A" w:rsidRPr="00C9207C" w:rsidRDefault="288CF0B0" w:rsidP="00A51927">
            <w:pPr>
              <w:rPr>
                <w:rFonts w:ascii="Arial" w:hAnsi="Arial" w:cs="Arial"/>
                <w:sz w:val="20"/>
                <w:szCs w:val="20"/>
              </w:rPr>
            </w:pPr>
            <w:r w:rsidRPr="26BA13FD">
              <w:rPr>
                <w:rFonts w:ascii="Arial" w:hAnsi="Arial" w:cs="Arial"/>
                <w:sz w:val="20"/>
                <w:szCs w:val="20"/>
              </w:rPr>
              <w:t>Ritchie Johnson </w:t>
            </w:r>
          </w:p>
        </w:tc>
        <w:tc>
          <w:tcPr>
            <w:tcW w:w="3239" w:type="dxa"/>
            <w:tcBorders>
              <w:top w:val="single" w:sz="6" w:space="0" w:color="auto"/>
              <w:left w:val="single" w:sz="6" w:space="0" w:color="auto"/>
              <w:bottom w:val="single" w:sz="6" w:space="0" w:color="auto"/>
              <w:right w:val="single" w:sz="6" w:space="0" w:color="auto"/>
            </w:tcBorders>
            <w:vAlign w:val="center"/>
            <w:hideMark/>
          </w:tcPr>
          <w:p w14:paraId="5DD4A6EF" w14:textId="5ADF1102" w:rsidR="00BE1A5A" w:rsidRPr="00C9207C" w:rsidRDefault="00BE1A5A" w:rsidP="00A51927">
            <w:pPr>
              <w:rPr>
                <w:rFonts w:ascii="Arial" w:hAnsi="Arial" w:cs="Arial"/>
                <w:sz w:val="20"/>
                <w:szCs w:val="20"/>
              </w:rPr>
            </w:pPr>
            <w:r w:rsidRPr="26BA13FD">
              <w:rPr>
                <w:rFonts w:ascii="Arial" w:hAnsi="Arial" w:cs="Arial"/>
                <w:sz w:val="20"/>
                <w:szCs w:val="20"/>
              </w:rPr>
              <w:t xml:space="preserve">Chair, </w:t>
            </w:r>
            <w:r w:rsidR="6B436C32" w:rsidRPr="26BA13FD">
              <w:rPr>
                <w:rFonts w:ascii="Arial" w:hAnsi="Arial" w:cs="Arial"/>
                <w:sz w:val="20"/>
                <w:szCs w:val="20"/>
              </w:rPr>
              <w:t>NHSG</w:t>
            </w:r>
          </w:p>
        </w:tc>
        <w:tc>
          <w:tcPr>
            <w:tcW w:w="3256" w:type="dxa"/>
            <w:tcBorders>
              <w:top w:val="single" w:sz="6" w:space="0" w:color="auto"/>
              <w:left w:val="single" w:sz="6" w:space="0" w:color="auto"/>
              <w:bottom w:val="single" w:sz="6" w:space="0" w:color="auto"/>
              <w:right w:val="single" w:sz="6" w:space="0" w:color="auto"/>
            </w:tcBorders>
            <w:vAlign w:val="center"/>
            <w:hideMark/>
          </w:tcPr>
          <w:p w14:paraId="4214F7FD" w14:textId="349DE102" w:rsidR="00BE1A5A" w:rsidRPr="00C9207C" w:rsidRDefault="00BE1A5A" w:rsidP="00A51927">
            <w:pPr>
              <w:rPr>
                <w:rFonts w:ascii="Arial" w:hAnsi="Arial" w:cs="Arial"/>
                <w:sz w:val="20"/>
                <w:szCs w:val="20"/>
              </w:rPr>
            </w:pPr>
            <w:r w:rsidRPr="26BA13FD">
              <w:rPr>
                <w:rFonts w:ascii="Arial" w:hAnsi="Arial" w:cs="Arial"/>
                <w:sz w:val="20"/>
                <w:szCs w:val="20"/>
              </w:rPr>
              <w:t> </w:t>
            </w:r>
            <w:r w:rsidR="4CD20777" w:rsidRPr="26BA13FD">
              <w:rPr>
                <w:rFonts w:ascii="Arial" w:hAnsi="Arial" w:cs="Arial"/>
                <w:sz w:val="20"/>
                <w:szCs w:val="20"/>
              </w:rPr>
              <w:t>Appointed Chair 30 November 2025 (Member from July 2024)</w:t>
            </w:r>
          </w:p>
        </w:tc>
      </w:tr>
      <w:tr w:rsidR="00BE1A5A" w:rsidRPr="00C9207C" w14:paraId="1356A83C" w14:textId="77777777" w:rsidTr="00126E54">
        <w:trPr>
          <w:trHeight w:val="285"/>
        </w:trPr>
        <w:tc>
          <w:tcPr>
            <w:tcW w:w="3256" w:type="dxa"/>
            <w:tcBorders>
              <w:top w:val="single" w:sz="6" w:space="0" w:color="auto"/>
              <w:left w:val="single" w:sz="6" w:space="0" w:color="auto"/>
              <w:bottom w:val="single" w:sz="6" w:space="0" w:color="auto"/>
              <w:right w:val="single" w:sz="6" w:space="0" w:color="auto"/>
            </w:tcBorders>
            <w:vAlign w:val="center"/>
            <w:hideMark/>
          </w:tcPr>
          <w:p w14:paraId="2C3D9356" w14:textId="77777777" w:rsidR="00BE1A5A" w:rsidRPr="00C9207C" w:rsidRDefault="00BE1A5A" w:rsidP="00A51927">
            <w:pPr>
              <w:rPr>
                <w:rFonts w:ascii="Arial" w:hAnsi="Arial" w:cs="Arial"/>
                <w:sz w:val="20"/>
                <w:szCs w:val="20"/>
              </w:rPr>
            </w:pPr>
            <w:r w:rsidRPr="26BA13FD">
              <w:rPr>
                <w:rFonts w:ascii="Arial" w:hAnsi="Arial" w:cs="Arial"/>
                <w:sz w:val="20"/>
                <w:szCs w:val="20"/>
              </w:rPr>
              <w:t>Hussein Patwa </w:t>
            </w:r>
          </w:p>
        </w:tc>
        <w:tc>
          <w:tcPr>
            <w:tcW w:w="3239" w:type="dxa"/>
            <w:tcBorders>
              <w:top w:val="single" w:sz="6" w:space="0" w:color="auto"/>
              <w:left w:val="single" w:sz="6" w:space="0" w:color="auto"/>
              <w:bottom w:val="single" w:sz="6" w:space="0" w:color="auto"/>
              <w:right w:val="single" w:sz="6" w:space="0" w:color="auto"/>
            </w:tcBorders>
            <w:vAlign w:val="center"/>
            <w:hideMark/>
          </w:tcPr>
          <w:p w14:paraId="514A1518" w14:textId="77777777" w:rsidR="00BE1A5A" w:rsidRPr="00C9207C" w:rsidRDefault="00BE1A5A" w:rsidP="00A51927">
            <w:pPr>
              <w:rPr>
                <w:rFonts w:ascii="Arial" w:hAnsi="Arial" w:cs="Arial"/>
                <w:sz w:val="20"/>
                <w:szCs w:val="20"/>
              </w:rPr>
            </w:pPr>
            <w:r w:rsidRPr="26BA13FD">
              <w:rPr>
                <w:rFonts w:ascii="Arial" w:hAnsi="Arial" w:cs="Arial"/>
                <w:sz w:val="20"/>
                <w:szCs w:val="20"/>
              </w:rPr>
              <w:t>NHSG </w:t>
            </w:r>
          </w:p>
        </w:tc>
        <w:tc>
          <w:tcPr>
            <w:tcW w:w="3256" w:type="dxa"/>
            <w:tcBorders>
              <w:top w:val="single" w:sz="6" w:space="0" w:color="auto"/>
              <w:left w:val="single" w:sz="6" w:space="0" w:color="auto"/>
              <w:bottom w:val="single" w:sz="6" w:space="0" w:color="auto"/>
              <w:right w:val="single" w:sz="6" w:space="0" w:color="auto"/>
            </w:tcBorders>
            <w:vAlign w:val="center"/>
            <w:hideMark/>
          </w:tcPr>
          <w:p w14:paraId="2218252B" w14:textId="77777777" w:rsidR="00BE1A5A" w:rsidRPr="00C9207C" w:rsidRDefault="00BE1A5A" w:rsidP="00A51927">
            <w:pPr>
              <w:rPr>
                <w:rFonts w:ascii="Arial" w:hAnsi="Arial" w:cs="Arial"/>
                <w:sz w:val="20"/>
                <w:szCs w:val="20"/>
              </w:rPr>
            </w:pPr>
            <w:r w:rsidRPr="26BA13FD">
              <w:rPr>
                <w:rFonts w:ascii="Arial" w:hAnsi="Arial" w:cs="Arial"/>
                <w:sz w:val="20"/>
                <w:szCs w:val="20"/>
              </w:rPr>
              <w:t>Appointed 22 August 2023 </w:t>
            </w:r>
          </w:p>
        </w:tc>
      </w:tr>
      <w:tr w:rsidR="00BE1A5A" w:rsidRPr="00C9207C" w14:paraId="2C175F47" w14:textId="77777777" w:rsidTr="00126E54">
        <w:trPr>
          <w:trHeight w:val="285"/>
        </w:trPr>
        <w:tc>
          <w:tcPr>
            <w:tcW w:w="3256" w:type="dxa"/>
            <w:tcBorders>
              <w:top w:val="single" w:sz="6" w:space="0" w:color="auto"/>
              <w:left w:val="single" w:sz="6" w:space="0" w:color="auto"/>
              <w:bottom w:val="single" w:sz="6" w:space="0" w:color="auto"/>
              <w:right w:val="single" w:sz="6" w:space="0" w:color="auto"/>
            </w:tcBorders>
            <w:vAlign w:val="center"/>
            <w:hideMark/>
          </w:tcPr>
          <w:p w14:paraId="7E80AF74" w14:textId="77777777" w:rsidR="00BE1A5A" w:rsidRPr="00C9207C" w:rsidRDefault="00BE1A5A" w:rsidP="00A51927">
            <w:pPr>
              <w:rPr>
                <w:rFonts w:ascii="Arial" w:hAnsi="Arial" w:cs="Arial"/>
                <w:sz w:val="20"/>
                <w:szCs w:val="20"/>
              </w:rPr>
            </w:pPr>
            <w:r w:rsidRPr="26BA13FD">
              <w:rPr>
                <w:rFonts w:ascii="Arial" w:hAnsi="Arial" w:cs="Arial"/>
                <w:sz w:val="20"/>
                <w:szCs w:val="20"/>
              </w:rPr>
              <w:t>Councillor John Cooke </w:t>
            </w:r>
          </w:p>
        </w:tc>
        <w:tc>
          <w:tcPr>
            <w:tcW w:w="3239" w:type="dxa"/>
            <w:tcBorders>
              <w:top w:val="single" w:sz="6" w:space="0" w:color="auto"/>
              <w:left w:val="single" w:sz="6" w:space="0" w:color="auto"/>
              <w:bottom w:val="single" w:sz="6" w:space="0" w:color="auto"/>
              <w:right w:val="single" w:sz="6" w:space="0" w:color="auto"/>
            </w:tcBorders>
            <w:vAlign w:val="center"/>
            <w:hideMark/>
          </w:tcPr>
          <w:p w14:paraId="29D7F50B" w14:textId="77777777" w:rsidR="00BE1A5A" w:rsidRPr="00C9207C" w:rsidRDefault="00BE1A5A" w:rsidP="00A51927">
            <w:pPr>
              <w:rPr>
                <w:rFonts w:ascii="Arial" w:hAnsi="Arial" w:cs="Arial"/>
                <w:sz w:val="20"/>
                <w:szCs w:val="20"/>
              </w:rPr>
            </w:pPr>
            <w:r w:rsidRPr="26BA13FD">
              <w:rPr>
                <w:rFonts w:ascii="Arial" w:hAnsi="Arial" w:cs="Arial"/>
                <w:sz w:val="20"/>
                <w:szCs w:val="20"/>
              </w:rPr>
              <w:t>ACC </w:t>
            </w:r>
          </w:p>
        </w:tc>
        <w:tc>
          <w:tcPr>
            <w:tcW w:w="3256" w:type="dxa"/>
            <w:tcBorders>
              <w:top w:val="single" w:sz="6" w:space="0" w:color="auto"/>
              <w:left w:val="single" w:sz="6" w:space="0" w:color="auto"/>
              <w:bottom w:val="single" w:sz="6" w:space="0" w:color="auto"/>
              <w:right w:val="single" w:sz="6" w:space="0" w:color="auto"/>
            </w:tcBorders>
            <w:vAlign w:val="center"/>
            <w:hideMark/>
          </w:tcPr>
          <w:p w14:paraId="5CE0833B" w14:textId="77777777" w:rsidR="00BE1A5A" w:rsidRPr="00C9207C" w:rsidRDefault="00BE1A5A" w:rsidP="00A51927">
            <w:pPr>
              <w:rPr>
                <w:rFonts w:ascii="Arial" w:hAnsi="Arial" w:cs="Arial"/>
                <w:sz w:val="20"/>
                <w:szCs w:val="20"/>
              </w:rPr>
            </w:pPr>
            <w:r w:rsidRPr="26BA13FD">
              <w:rPr>
                <w:rFonts w:ascii="Arial" w:hAnsi="Arial" w:cs="Arial"/>
                <w:sz w:val="20"/>
                <w:szCs w:val="20"/>
              </w:rPr>
              <w:t>Appointed 7 June 2022 </w:t>
            </w:r>
          </w:p>
        </w:tc>
      </w:tr>
      <w:tr w:rsidR="00BE1A5A" w:rsidRPr="00C9207C" w14:paraId="2C0CC021" w14:textId="77777777" w:rsidTr="00126E54">
        <w:trPr>
          <w:trHeight w:val="285"/>
        </w:trPr>
        <w:tc>
          <w:tcPr>
            <w:tcW w:w="3256" w:type="dxa"/>
            <w:tcBorders>
              <w:top w:val="single" w:sz="6" w:space="0" w:color="auto"/>
              <w:left w:val="single" w:sz="6" w:space="0" w:color="auto"/>
              <w:bottom w:val="double" w:sz="12" w:space="0" w:color="auto"/>
              <w:right w:val="single" w:sz="6" w:space="0" w:color="auto"/>
            </w:tcBorders>
            <w:vAlign w:val="center"/>
            <w:hideMark/>
          </w:tcPr>
          <w:p w14:paraId="17AEEF67" w14:textId="1013FA9C" w:rsidR="00BE1A5A" w:rsidRPr="00C9207C" w:rsidRDefault="13121F41" w:rsidP="00A51927">
            <w:pPr>
              <w:rPr>
                <w:rFonts w:ascii="Arial" w:hAnsi="Arial" w:cs="Arial"/>
                <w:sz w:val="20"/>
                <w:szCs w:val="20"/>
              </w:rPr>
            </w:pPr>
            <w:r w:rsidRPr="26BA13FD">
              <w:rPr>
                <w:rFonts w:ascii="Arial" w:hAnsi="Arial" w:cs="Arial"/>
                <w:sz w:val="20"/>
                <w:szCs w:val="20"/>
              </w:rPr>
              <w:t>Councillor Martin Greig </w:t>
            </w:r>
          </w:p>
        </w:tc>
        <w:tc>
          <w:tcPr>
            <w:tcW w:w="3239" w:type="dxa"/>
            <w:tcBorders>
              <w:top w:val="single" w:sz="6" w:space="0" w:color="auto"/>
              <w:left w:val="single" w:sz="6" w:space="0" w:color="auto"/>
              <w:bottom w:val="double" w:sz="12" w:space="0" w:color="auto"/>
              <w:right w:val="single" w:sz="6" w:space="0" w:color="auto"/>
            </w:tcBorders>
            <w:vAlign w:val="center"/>
            <w:hideMark/>
          </w:tcPr>
          <w:p w14:paraId="2D22F645" w14:textId="698F67E8" w:rsidR="00BE1A5A" w:rsidRPr="00C9207C" w:rsidRDefault="13121F41" w:rsidP="00A51927">
            <w:pPr>
              <w:rPr>
                <w:rFonts w:ascii="Arial" w:hAnsi="Arial" w:cs="Arial"/>
                <w:sz w:val="20"/>
                <w:szCs w:val="20"/>
              </w:rPr>
            </w:pPr>
            <w:r w:rsidRPr="26BA13FD">
              <w:rPr>
                <w:rFonts w:ascii="Arial" w:hAnsi="Arial" w:cs="Arial"/>
                <w:sz w:val="20"/>
                <w:szCs w:val="20"/>
              </w:rPr>
              <w:t>ACC</w:t>
            </w:r>
          </w:p>
        </w:tc>
        <w:tc>
          <w:tcPr>
            <w:tcW w:w="3256" w:type="dxa"/>
            <w:tcBorders>
              <w:top w:val="single" w:sz="6" w:space="0" w:color="auto"/>
              <w:left w:val="single" w:sz="6" w:space="0" w:color="auto"/>
              <w:bottom w:val="double" w:sz="12" w:space="0" w:color="auto"/>
              <w:right w:val="single" w:sz="6" w:space="0" w:color="auto"/>
            </w:tcBorders>
            <w:vAlign w:val="center"/>
            <w:hideMark/>
          </w:tcPr>
          <w:p w14:paraId="314E8338" w14:textId="2E2F6FF5" w:rsidR="00BE1A5A" w:rsidRPr="00C9207C" w:rsidRDefault="13121F41" w:rsidP="00A51927">
            <w:pPr>
              <w:rPr>
                <w:rFonts w:ascii="Arial" w:hAnsi="Arial" w:cs="Arial"/>
                <w:sz w:val="20"/>
                <w:szCs w:val="20"/>
              </w:rPr>
            </w:pPr>
            <w:r w:rsidRPr="26BA13FD">
              <w:rPr>
                <w:rFonts w:ascii="Arial" w:hAnsi="Arial" w:cs="Arial"/>
                <w:sz w:val="20"/>
                <w:szCs w:val="20"/>
              </w:rPr>
              <w:t>Chair 17 November 2022 – 30 November 2025 (Member from 7 June 2022)</w:t>
            </w:r>
          </w:p>
        </w:tc>
      </w:tr>
    </w:tbl>
    <w:p w14:paraId="70A64BF9" w14:textId="77777777" w:rsidR="00BE1A5A" w:rsidRPr="00C9207C" w:rsidRDefault="00BE1A5A" w:rsidP="00A51927">
      <w:pPr>
        <w:rPr>
          <w:rFonts w:ascii="Arial" w:hAnsi="Arial" w:cs="Arial"/>
          <w:sz w:val="20"/>
          <w:szCs w:val="20"/>
          <w:highlight w:val="yellow"/>
        </w:rPr>
      </w:pPr>
    </w:p>
    <w:tbl>
      <w:tblPr>
        <w:tblW w:w="97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6"/>
        <w:gridCol w:w="3250"/>
        <w:gridCol w:w="3266"/>
      </w:tblGrid>
      <w:tr w:rsidR="00BE1A5A" w:rsidRPr="00C9207C" w14:paraId="42AA1112" w14:textId="77777777" w:rsidTr="00126E54">
        <w:trPr>
          <w:trHeight w:val="292"/>
        </w:trPr>
        <w:tc>
          <w:tcPr>
            <w:tcW w:w="3266" w:type="dxa"/>
            <w:tcBorders>
              <w:top w:val="single" w:sz="6" w:space="0" w:color="auto"/>
              <w:left w:val="single" w:sz="6" w:space="0" w:color="auto"/>
              <w:bottom w:val="single" w:sz="6" w:space="0" w:color="auto"/>
              <w:right w:val="single" w:sz="6" w:space="0" w:color="auto"/>
            </w:tcBorders>
            <w:vAlign w:val="center"/>
            <w:hideMark/>
          </w:tcPr>
          <w:p w14:paraId="36BD8971" w14:textId="77777777" w:rsidR="00BE1A5A" w:rsidRPr="00C9207C" w:rsidRDefault="00BE1A5A" w:rsidP="00A51927">
            <w:pPr>
              <w:rPr>
                <w:rFonts w:ascii="Arial" w:hAnsi="Arial" w:cs="Arial"/>
                <w:sz w:val="20"/>
                <w:szCs w:val="20"/>
              </w:rPr>
            </w:pPr>
            <w:r w:rsidRPr="150DA71E">
              <w:rPr>
                <w:rFonts w:ascii="Arial" w:hAnsi="Arial" w:cs="Arial"/>
                <w:b/>
                <w:sz w:val="20"/>
                <w:szCs w:val="20"/>
              </w:rPr>
              <w:t>Clinical Care &amp; Governance Group</w:t>
            </w:r>
            <w:r w:rsidRPr="150DA71E">
              <w:rPr>
                <w:rFonts w:ascii="Arial" w:hAnsi="Arial" w:cs="Arial"/>
                <w:sz w:val="20"/>
                <w:szCs w:val="20"/>
              </w:rPr>
              <w:t> </w:t>
            </w:r>
          </w:p>
        </w:tc>
        <w:tc>
          <w:tcPr>
            <w:tcW w:w="3250" w:type="dxa"/>
            <w:tcBorders>
              <w:top w:val="single" w:sz="6" w:space="0" w:color="auto"/>
              <w:left w:val="single" w:sz="6" w:space="0" w:color="auto"/>
              <w:bottom w:val="single" w:sz="6" w:space="0" w:color="auto"/>
              <w:right w:val="single" w:sz="6" w:space="0" w:color="auto"/>
            </w:tcBorders>
            <w:vAlign w:val="center"/>
            <w:hideMark/>
          </w:tcPr>
          <w:p w14:paraId="204E82CD" w14:textId="77777777" w:rsidR="00BE1A5A" w:rsidRPr="00C9207C" w:rsidRDefault="00BE1A5A" w:rsidP="00A51927">
            <w:pPr>
              <w:rPr>
                <w:rFonts w:ascii="Arial" w:hAnsi="Arial" w:cs="Arial"/>
                <w:sz w:val="20"/>
                <w:szCs w:val="20"/>
              </w:rPr>
            </w:pPr>
            <w:r w:rsidRPr="150DA71E">
              <w:rPr>
                <w:rFonts w:ascii="Arial" w:hAnsi="Arial" w:cs="Arial"/>
                <w:sz w:val="20"/>
                <w:szCs w:val="20"/>
              </w:rPr>
              <w:t> </w:t>
            </w:r>
          </w:p>
        </w:tc>
        <w:tc>
          <w:tcPr>
            <w:tcW w:w="3266" w:type="dxa"/>
            <w:tcBorders>
              <w:top w:val="single" w:sz="6" w:space="0" w:color="auto"/>
              <w:left w:val="single" w:sz="6" w:space="0" w:color="auto"/>
              <w:bottom w:val="single" w:sz="6" w:space="0" w:color="auto"/>
              <w:right w:val="single" w:sz="6" w:space="0" w:color="auto"/>
            </w:tcBorders>
            <w:vAlign w:val="center"/>
            <w:hideMark/>
          </w:tcPr>
          <w:p w14:paraId="7EFCC8A3" w14:textId="77777777" w:rsidR="00BE1A5A" w:rsidRPr="00C9207C" w:rsidRDefault="00BE1A5A" w:rsidP="00A51927">
            <w:pPr>
              <w:rPr>
                <w:rFonts w:ascii="Arial" w:hAnsi="Arial" w:cs="Arial"/>
                <w:sz w:val="20"/>
                <w:szCs w:val="20"/>
              </w:rPr>
            </w:pPr>
            <w:r w:rsidRPr="150DA71E">
              <w:rPr>
                <w:rFonts w:ascii="Arial" w:hAnsi="Arial" w:cs="Arial"/>
                <w:sz w:val="20"/>
                <w:szCs w:val="20"/>
              </w:rPr>
              <w:t> </w:t>
            </w:r>
          </w:p>
        </w:tc>
      </w:tr>
      <w:tr w:rsidR="00BE1A5A" w:rsidRPr="00C9207C" w14:paraId="69895CDA" w14:textId="77777777" w:rsidTr="00126E54">
        <w:trPr>
          <w:trHeight w:val="292"/>
        </w:trPr>
        <w:tc>
          <w:tcPr>
            <w:tcW w:w="3266" w:type="dxa"/>
            <w:tcBorders>
              <w:top w:val="single" w:sz="6" w:space="0" w:color="auto"/>
              <w:left w:val="single" w:sz="6" w:space="0" w:color="auto"/>
              <w:bottom w:val="single" w:sz="6" w:space="0" w:color="auto"/>
              <w:right w:val="single" w:sz="6" w:space="0" w:color="auto"/>
            </w:tcBorders>
            <w:vAlign w:val="center"/>
            <w:hideMark/>
          </w:tcPr>
          <w:p w14:paraId="115DC31F" w14:textId="01F3A872" w:rsidR="00BE1A5A" w:rsidRPr="00C9207C" w:rsidRDefault="6D15A0FC" w:rsidP="00A51927">
            <w:pPr>
              <w:rPr>
                <w:rFonts w:ascii="Arial" w:hAnsi="Arial" w:cs="Arial"/>
                <w:sz w:val="20"/>
                <w:szCs w:val="20"/>
              </w:rPr>
            </w:pPr>
            <w:r w:rsidRPr="150DA71E">
              <w:rPr>
                <w:rFonts w:ascii="Arial" w:hAnsi="Arial" w:cs="Arial"/>
                <w:sz w:val="20"/>
                <w:szCs w:val="20"/>
              </w:rPr>
              <w:t>Councillor Lee Fairfull </w:t>
            </w:r>
          </w:p>
        </w:tc>
        <w:tc>
          <w:tcPr>
            <w:tcW w:w="3250" w:type="dxa"/>
            <w:tcBorders>
              <w:top w:val="single" w:sz="6" w:space="0" w:color="auto"/>
              <w:left w:val="single" w:sz="6" w:space="0" w:color="auto"/>
              <w:bottom w:val="single" w:sz="6" w:space="0" w:color="auto"/>
              <w:right w:val="single" w:sz="6" w:space="0" w:color="auto"/>
            </w:tcBorders>
            <w:vAlign w:val="center"/>
            <w:hideMark/>
          </w:tcPr>
          <w:p w14:paraId="55133F19" w14:textId="0EA10A94" w:rsidR="00BE1A5A" w:rsidRPr="00C9207C" w:rsidRDefault="00BE1A5A" w:rsidP="4A637025">
            <w:pPr>
              <w:rPr>
                <w:rFonts w:ascii="Arial" w:hAnsi="Arial" w:cs="Arial"/>
                <w:sz w:val="20"/>
                <w:szCs w:val="20"/>
              </w:rPr>
            </w:pPr>
            <w:r w:rsidRPr="150DA71E">
              <w:rPr>
                <w:rFonts w:ascii="Arial" w:hAnsi="Arial" w:cs="Arial"/>
                <w:sz w:val="20"/>
                <w:szCs w:val="20"/>
              </w:rPr>
              <w:t xml:space="preserve">Chair, </w:t>
            </w:r>
            <w:r w:rsidR="685A51B0" w:rsidRPr="150DA71E">
              <w:rPr>
                <w:rFonts w:ascii="Arial" w:hAnsi="Arial" w:cs="Arial"/>
                <w:sz w:val="20"/>
                <w:szCs w:val="20"/>
              </w:rPr>
              <w:t>ACC</w:t>
            </w:r>
          </w:p>
        </w:tc>
        <w:tc>
          <w:tcPr>
            <w:tcW w:w="3266" w:type="dxa"/>
            <w:tcBorders>
              <w:top w:val="single" w:sz="6" w:space="0" w:color="auto"/>
              <w:left w:val="single" w:sz="6" w:space="0" w:color="auto"/>
              <w:bottom w:val="single" w:sz="6" w:space="0" w:color="auto"/>
              <w:right w:val="single" w:sz="6" w:space="0" w:color="auto"/>
            </w:tcBorders>
            <w:vAlign w:val="center"/>
            <w:hideMark/>
          </w:tcPr>
          <w:p w14:paraId="5E687CD2" w14:textId="28796B40" w:rsidR="00BE1A5A" w:rsidRPr="00C9207C" w:rsidRDefault="3CA24DDE" w:rsidP="4A637025">
            <w:pPr>
              <w:rPr>
                <w:rFonts w:ascii="Arial" w:hAnsi="Arial" w:cs="Arial"/>
                <w:sz w:val="20"/>
                <w:szCs w:val="20"/>
              </w:rPr>
            </w:pPr>
            <w:r w:rsidRPr="150DA71E">
              <w:rPr>
                <w:rFonts w:ascii="Arial" w:hAnsi="Arial" w:cs="Arial"/>
                <w:sz w:val="20"/>
                <w:szCs w:val="20"/>
              </w:rPr>
              <w:t xml:space="preserve">Appointed Chair 30 November 2025 (Member from 19 November 2024) </w:t>
            </w:r>
            <w:r w:rsidR="00BE1A5A" w:rsidRPr="150DA71E">
              <w:rPr>
                <w:rFonts w:ascii="Arial" w:hAnsi="Arial" w:cs="Arial"/>
                <w:sz w:val="20"/>
                <w:szCs w:val="20"/>
              </w:rPr>
              <w:t> </w:t>
            </w:r>
          </w:p>
        </w:tc>
      </w:tr>
      <w:tr w:rsidR="00BE1A5A" w:rsidRPr="00C9207C" w14:paraId="0A4B215F" w14:textId="77777777" w:rsidTr="00126E54">
        <w:trPr>
          <w:trHeight w:val="292"/>
        </w:trPr>
        <w:tc>
          <w:tcPr>
            <w:tcW w:w="3266" w:type="dxa"/>
            <w:tcBorders>
              <w:top w:val="single" w:sz="6" w:space="0" w:color="auto"/>
              <w:left w:val="single" w:sz="6" w:space="0" w:color="auto"/>
              <w:bottom w:val="single" w:sz="6" w:space="0" w:color="auto"/>
              <w:right w:val="single" w:sz="6" w:space="0" w:color="auto"/>
            </w:tcBorders>
            <w:vAlign w:val="center"/>
            <w:hideMark/>
          </w:tcPr>
          <w:p w14:paraId="55BC0BDC" w14:textId="1FF327F3" w:rsidR="00BE1A5A" w:rsidRPr="00C9207C" w:rsidRDefault="00BE1A5A" w:rsidP="00A51927">
            <w:pPr>
              <w:rPr>
                <w:rFonts w:ascii="Arial" w:eastAsia="Times New Roman" w:hAnsi="Arial" w:cs="Arial"/>
                <w:sz w:val="20"/>
                <w:szCs w:val="20"/>
                <w:lang w:eastAsia="en-GB"/>
              </w:rPr>
            </w:pPr>
            <w:r w:rsidRPr="2E569EB3">
              <w:rPr>
                <w:rFonts w:ascii="Arial" w:eastAsia="Times New Roman" w:hAnsi="Arial" w:cs="Arial"/>
                <w:sz w:val="20"/>
                <w:szCs w:val="20"/>
                <w:lang w:eastAsia="en-GB"/>
              </w:rPr>
              <w:t xml:space="preserve">Councillor </w:t>
            </w:r>
            <w:r w:rsidR="257C920F" w:rsidRPr="2E569EB3">
              <w:rPr>
                <w:rFonts w:ascii="Arial" w:eastAsia="Times New Roman" w:hAnsi="Arial" w:cs="Arial"/>
                <w:sz w:val="20"/>
                <w:szCs w:val="20"/>
                <w:lang w:eastAsia="en-GB"/>
              </w:rPr>
              <w:t xml:space="preserve">M.Tauqeer </w:t>
            </w:r>
            <w:r w:rsidRPr="2E569EB3">
              <w:rPr>
                <w:rFonts w:ascii="Arial" w:eastAsia="Times New Roman" w:hAnsi="Arial" w:cs="Arial"/>
                <w:sz w:val="20"/>
                <w:szCs w:val="20"/>
                <w:lang w:eastAsia="en-GB"/>
              </w:rPr>
              <w:t>Malik</w:t>
            </w:r>
          </w:p>
        </w:tc>
        <w:tc>
          <w:tcPr>
            <w:tcW w:w="3250" w:type="dxa"/>
            <w:tcBorders>
              <w:top w:val="single" w:sz="6" w:space="0" w:color="auto"/>
              <w:left w:val="single" w:sz="6" w:space="0" w:color="auto"/>
              <w:bottom w:val="single" w:sz="6" w:space="0" w:color="auto"/>
              <w:right w:val="single" w:sz="6" w:space="0" w:color="auto"/>
            </w:tcBorders>
            <w:vAlign w:val="center"/>
            <w:hideMark/>
          </w:tcPr>
          <w:p w14:paraId="2A1FC9A5" w14:textId="77777777" w:rsidR="00BE1A5A" w:rsidRPr="00C9207C" w:rsidRDefault="00BE1A5A" w:rsidP="00A51927">
            <w:pPr>
              <w:rPr>
                <w:rFonts w:ascii="Arial" w:hAnsi="Arial" w:cs="Arial"/>
                <w:sz w:val="20"/>
                <w:szCs w:val="20"/>
              </w:rPr>
            </w:pPr>
            <w:r w:rsidRPr="150DA71E">
              <w:rPr>
                <w:rFonts w:ascii="Arial" w:hAnsi="Arial" w:cs="Arial"/>
                <w:sz w:val="20"/>
                <w:szCs w:val="20"/>
              </w:rPr>
              <w:t>ACC </w:t>
            </w:r>
          </w:p>
        </w:tc>
        <w:tc>
          <w:tcPr>
            <w:tcW w:w="3266" w:type="dxa"/>
            <w:tcBorders>
              <w:top w:val="single" w:sz="6" w:space="0" w:color="auto"/>
              <w:left w:val="single" w:sz="6" w:space="0" w:color="auto"/>
              <w:bottom w:val="single" w:sz="6" w:space="0" w:color="auto"/>
              <w:right w:val="single" w:sz="6" w:space="0" w:color="auto"/>
            </w:tcBorders>
            <w:vAlign w:val="center"/>
            <w:hideMark/>
          </w:tcPr>
          <w:p w14:paraId="208786CD" w14:textId="77777777" w:rsidR="00BE1A5A" w:rsidRPr="00C9207C" w:rsidRDefault="00BE1A5A" w:rsidP="00A51927">
            <w:pPr>
              <w:rPr>
                <w:rFonts w:ascii="Arial" w:hAnsi="Arial" w:cs="Arial"/>
                <w:sz w:val="20"/>
                <w:szCs w:val="20"/>
              </w:rPr>
            </w:pPr>
            <w:r w:rsidRPr="150DA71E">
              <w:rPr>
                <w:rFonts w:ascii="Arial" w:hAnsi="Arial" w:cs="Arial"/>
                <w:sz w:val="20"/>
                <w:szCs w:val="20"/>
              </w:rPr>
              <w:t>Appointed 18 March 2025 </w:t>
            </w:r>
          </w:p>
        </w:tc>
      </w:tr>
      <w:tr w:rsidR="00BE1A5A" w:rsidRPr="00C9207C" w14:paraId="4F288C9D" w14:textId="77777777" w:rsidTr="00126E54">
        <w:trPr>
          <w:trHeight w:val="292"/>
        </w:trPr>
        <w:tc>
          <w:tcPr>
            <w:tcW w:w="3266" w:type="dxa"/>
            <w:tcBorders>
              <w:top w:val="single" w:sz="6" w:space="0" w:color="auto"/>
              <w:left w:val="single" w:sz="6" w:space="0" w:color="auto"/>
              <w:bottom w:val="single" w:sz="6" w:space="0" w:color="auto"/>
              <w:right w:val="single" w:sz="6" w:space="0" w:color="auto"/>
            </w:tcBorders>
            <w:vAlign w:val="center"/>
            <w:hideMark/>
          </w:tcPr>
          <w:p w14:paraId="7F4BE424" w14:textId="77777777" w:rsidR="00BE1A5A" w:rsidRPr="00C9207C" w:rsidRDefault="00BE1A5A" w:rsidP="00A51927">
            <w:pPr>
              <w:rPr>
                <w:rFonts w:ascii="Arial" w:hAnsi="Arial" w:cs="Arial"/>
                <w:sz w:val="20"/>
                <w:szCs w:val="20"/>
              </w:rPr>
            </w:pPr>
            <w:r w:rsidRPr="150DA71E">
              <w:rPr>
                <w:rFonts w:ascii="Arial" w:hAnsi="Arial" w:cs="Arial"/>
                <w:sz w:val="20"/>
                <w:szCs w:val="20"/>
              </w:rPr>
              <w:t>Professor David Blackbourn </w:t>
            </w:r>
          </w:p>
        </w:tc>
        <w:tc>
          <w:tcPr>
            <w:tcW w:w="3250" w:type="dxa"/>
            <w:tcBorders>
              <w:top w:val="single" w:sz="6" w:space="0" w:color="auto"/>
              <w:left w:val="single" w:sz="6" w:space="0" w:color="auto"/>
              <w:bottom w:val="single" w:sz="6" w:space="0" w:color="auto"/>
              <w:right w:val="single" w:sz="6" w:space="0" w:color="auto"/>
            </w:tcBorders>
            <w:vAlign w:val="center"/>
            <w:hideMark/>
          </w:tcPr>
          <w:p w14:paraId="1D7C46D8" w14:textId="77777777" w:rsidR="00BE1A5A" w:rsidRPr="00C9207C" w:rsidRDefault="00BE1A5A" w:rsidP="00A51927">
            <w:pPr>
              <w:rPr>
                <w:rFonts w:ascii="Arial" w:hAnsi="Arial" w:cs="Arial"/>
                <w:sz w:val="20"/>
                <w:szCs w:val="20"/>
              </w:rPr>
            </w:pPr>
            <w:r w:rsidRPr="150DA71E">
              <w:rPr>
                <w:rFonts w:ascii="Arial" w:hAnsi="Arial" w:cs="Arial"/>
                <w:sz w:val="20"/>
                <w:szCs w:val="20"/>
              </w:rPr>
              <w:t>NHSG </w:t>
            </w:r>
          </w:p>
        </w:tc>
        <w:tc>
          <w:tcPr>
            <w:tcW w:w="3266" w:type="dxa"/>
            <w:tcBorders>
              <w:top w:val="single" w:sz="6" w:space="0" w:color="auto"/>
              <w:left w:val="single" w:sz="6" w:space="0" w:color="auto"/>
              <w:bottom w:val="single" w:sz="6" w:space="0" w:color="auto"/>
              <w:right w:val="single" w:sz="6" w:space="0" w:color="auto"/>
            </w:tcBorders>
            <w:vAlign w:val="center"/>
            <w:hideMark/>
          </w:tcPr>
          <w:p w14:paraId="43B6996C" w14:textId="77777777" w:rsidR="00BE1A5A" w:rsidRPr="00C9207C" w:rsidRDefault="00BE1A5A" w:rsidP="00A51927">
            <w:pPr>
              <w:rPr>
                <w:rFonts w:ascii="Arial" w:hAnsi="Arial" w:cs="Arial"/>
                <w:sz w:val="20"/>
                <w:szCs w:val="20"/>
              </w:rPr>
            </w:pPr>
            <w:r w:rsidRPr="150DA71E">
              <w:rPr>
                <w:rFonts w:ascii="Arial" w:hAnsi="Arial" w:cs="Arial"/>
                <w:sz w:val="20"/>
                <w:szCs w:val="20"/>
              </w:rPr>
              <w:t>Appointed 24 September 2024 </w:t>
            </w:r>
          </w:p>
        </w:tc>
      </w:tr>
      <w:tr w:rsidR="00BE1A5A" w:rsidRPr="00C9207C" w14:paraId="2392FC3C" w14:textId="77777777" w:rsidTr="00126E54">
        <w:trPr>
          <w:trHeight w:val="292"/>
        </w:trPr>
        <w:tc>
          <w:tcPr>
            <w:tcW w:w="3266" w:type="dxa"/>
            <w:tcBorders>
              <w:top w:val="single" w:sz="6" w:space="0" w:color="auto"/>
              <w:left w:val="single" w:sz="6" w:space="0" w:color="auto"/>
              <w:bottom w:val="double" w:sz="18" w:space="0" w:color="auto"/>
              <w:right w:val="single" w:sz="6" w:space="0" w:color="auto"/>
            </w:tcBorders>
            <w:vAlign w:val="center"/>
            <w:hideMark/>
          </w:tcPr>
          <w:p w14:paraId="61A74EB5" w14:textId="2F46C556" w:rsidR="00BE1A5A" w:rsidRPr="00C9207C" w:rsidRDefault="0A617D0D" w:rsidP="4A637025">
            <w:pPr>
              <w:rPr>
                <w:rFonts w:ascii="Arial" w:hAnsi="Arial" w:cs="Arial"/>
                <w:sz w:val="20"/>
                <w:szCs w:val="20"/>
              </w:rPr>
            </w:pPr>
            <w:r w:rsidRPr="150DA71E">
              <w:rPr>
                <w:rFonts w:ascii="Arial" w:hAnsi="Arial" w:cs="Arial"/>
                <w:sz w:val="20"/>
                <w:szCs w:val="20"/>
              </w:rPr>
              <w:t>Mark Burrell</w:t>
            </w:r>
          </w:p>
        </w:tc>
        <w:tc>
          <w:tcPr>
            <w:tcW w:w="3250" w:type="dxa"/>
            <w:tcBorders>
              <w:top w:val="single" w:sz="6" w:space="0" w:color="auto"/>
              <w:left w:val="single" w:sz="6" w:space="0" w:color="auto"/>
              <w:bottom w:val="double" w:sz="18" w:space="0" w:color="auto"/>
              <w:right w:val="single" w:sz="6" w:space="0" w:color="auto"/>
            </w:tcBorders>
            <w:vAlign w:val="center"/>
            <w:hideMark/>
          </w:tcPr>
          <w:p w14:paraId="6A835044" w14:textId="4FE0A4C3" w:rsidR="00BE1A5A" w:rsidRPr="00C9207C" w:rsidRDefault="0A617D0D" w:rsidP="4A637025">
            <w:pPr>
              <w:rPr>
                <w:rFonts w:ascii="Arial" w:hAnsi="Arial" w:cs="Arial"/>
                <w:sz w:val="20"/>
                <w:szCs w:val="20"/>
              </w:rPr>
            </w:pPr>
            <w:r w:rsidRPr="150DA71E">
              <w:rPr>
                <w:rFonts w:ascii="Arial" w:hAnsi="Arial" w:cs="Arial"/>
                <w:sz w:val="20"/>
                <w:szCs w:val="20"/>
              </w:rPr>
              <w:t>NHSG</w:t>
            </w:r>
          </w:p>
        </w:tc>
        <w:tc>
          <w:tcPr>
            <w:tcW w:w="3266" w:type="dxa"/>
            <w:tcBorders>
              <w:top w:val="single" w:sz="6" w:space="0" w:color="auto"/>
              <w:left w:val="single" w:sz="6" w:space="0" w:color="auto"/>
              <w:bottom w:val="double" w:sz="18" w:space="0" w:color="auto"/>
              <w:right w:val="single" w:sz="6" w:space="0" w:color="auto"/>
            </w:tcBorders>
            <w:vAlign w:val="center"/>
            <w:hideMark/>
          </w:tcPr>
          <w:p w14:paraId="4AAB2ABA" w14:textId="2A23DC76" w:rsidR="00BE1A5A" w:rsidRPr="00C9207C" w:rsidRDefault="0A617D0D" w:rsidP="4A637025">
            <w:pPr>
              <w:rPr>
                <w:rFonts w:ascii="Arial" w:hAnsi="Arial" w:cs="Arial"/>
                <w:sz w:val="20"/>
                <w:szCs w:val="20"/>
              </w:rPr>
            </w:pPr>
            <w:r w:rsidRPr="150DA71E">
              <w:rPr>
                <w:rFonts w:ascii="Arial" w:hAnsi="Arial" w:cs="Arial"/>
                <w:sz w:val="20"/>
                <w:szCs w:val="20"/>
              </w:rPr>
              <w:t>Chair to November 2025 (Member from 22 August 2023)</w:t>
            </w:r>
          </w:p>
        </w:tc>
      </w:tr>
    </w:tbl>
    <w:p w14:paraId="0E13037C" w14:textId="674FFC1B" w:rsidR="4D5164D8" w:rsidRDefault="4D5164D8"/>
    <w:p w14:paraId="19DE382D" w14:textId="77777777" w:rsidR="00BE1A5A" w:rsidRPr="00C9207C" w:rsidRDefault="00BE1A5A" w:rsidP="00A51927">
      <w:pPr>
        <w:rPr>
          <w:rFonts w:ascii="Arial" w:hAnsi="Arial" w:cs="Arial"/>
          <w:sz w:val="20"/>
          <w:szCs w:val="20"/>
          <w:highlight w:val="yellow"/>
        </w:rPr>
      </w:pPr>
    </w:p>
    <w:p w14:paraId="0DF9FF8C" w14:textId="77777777" w:rsidR="0015650C" w:rsidRPr="00C9207C" w:rsidRDefault="0015650C" w:rsidP="00A51927">
      <w:pPr>
        <w:spacing w:after="0" w:line="240" w:lineRule="auto"/>
        <w:rPr>
          <w:rFonts w:ascii="Arial" w:eastAsia="Times New Roman" w:hAnsi="Arial" w:cs="Arial"/>
          <w:b/>
          <w:bCs/>
          <w:iCs/>
          <w:sz w:val="20"/>
          <w:szCs w:val="20"/>
          <w:highlight w:val="yellow"/>
          <w:u w:val="single"/>
        </w:rPr>
      </w:pPr>
    </w:p>
    <w:p w14:paraId="7F3582E2" w14:textId="231CA509" w:rsidR="00EC6223" w:rsidRDefault="00EC6223">
      <w:pPr>
        <w:spacing w:after="0" w:line="240" w:lineRule="auto"/>
        <w:rPr>
          <w:rFonts w:ascii="Arial" w:eastAsia="Times New Roman" w:hAnsi="Arial" w:cs="Arial"/>
          <w:b/>
          <w:bCs/>
          <w:iCs/>
          <w:sz w:val="20"/>
          <w:szCs w:val="20"/>
          <w:highlight w:val="yellow"/>
          <w:u w:val="single"/>
        </w:rPr>
      </w:pPr>
      <w:r>
        <w:rPr>
          <w:rFonts w:ascii="Arial" w:eastAsia="Times New Roman" w:hAnsi="Arial" w:cs="Arial"/>
          <w:b/>
          <w:bCs/>
          <w:iCs/>
          <w:sz w:val="20"/>
          <w:szCs w:val="20"/>
          <w:highlight w:val="yellow"/>
          <w:u w:val="single"/>
        </w:rPr>
        <w:br w:type="page"/>
      </w:r>
    </w:p>
    <w:p w14:paraId="60A702BD" w14:textId="68A19D06" w:rsidR="005F44DC" w:rsidRPr="00C9207C" w:rsidRDefault="00C43C8F" w:rsidP="00A51927">
      <w:pPr>
        <w:pStyle w:val="Heading2"/>
        <w:jc w:val="left"/>
        <w:rPr>
          <w:rFonts w:ascii="Arial" w:hAnsi="Arial" w:cs="Arial"/>
          <w:color w:val="000000"/>
          <w:lang w:eastAsia="en-GB"/>
        </w:rPr>
      </w:pPr>
      <w:bookmarkStart w:id="18" w:name="_Toc232169347"/>
      <w:r w:rsidRPr="00C9207C">
        <w:rPr>
          <w:rFonts w:ascii="Arial" w:hAnsi="Arial" w:cs="Arial"/>
        </w:rPr>
        <w:lastRenderedPageBreak/>
        <w:t>3.2</w:t>
      </w:r>
      <w:r w:rsidR="0077128E" w:rsidRPr="00C9207C">
        <w:rPr>
          <w:rFonts w:ascii="Arial" w:hAnsi="Arial" w:cs="Arial"/>
        </w:rPr>
        <w:tab/>
      </w:r>
      <w:r w:rsidR="192199D6" w:rsidRPr="00C9207C">
        <w:rPr>
          <w:rFonts w:ascii="Arial" w:hAnsi="Arial" w:cs="Arial"/>
        </w:rPr>
        <w:t>Statement of Responsibilities</w:t>
      </w:r>
      <w:bookmarkEnd w:id="17"/>
      <w:bookmarkEnd w:id="18"/>
    </w:p>
    <w:p w14:paraId="4D6971EA" w14:textId="77777777" w:rsidR="00D84D84" w:rsidRPr="00C9207C" w:rsidRDefault="00D84D84" w:rsidP="00A51927">
      <w:pPr>
        <w:spacing w:after="0" w:line="240" w:lineRule="auto"/>
        <w:rPr>
          <w:rFonts w:ascii="Arial" w:eastAsia="Times New Roman" w:hAnsi="Arial" w:cs="Arial"/>
          <w:sz w:val="20"/>
          <w:szCs w:val="20"/>
          <w:lang w:val="en-AU"/>
        </w:rPr>
      </w:pPr>
    </w:p>
    <w:p w14:paraId="7114825F" w14:textId="00B8907E" w:rsidR="005F44DC" w:rsidRPr="00C9207C" w:rsidRDefault="0077128E" w:rsidP="00A51927">
      <w:pPr>
        <w:spacing w:after="0" w:line="240" w:lineRule="auto"/>
        <w:rPr>
          <w:rFonts w:ascii="Arial" w:hAnsi="Arial" w:cs="Arial"/>
          <w:b/>
          <w:sz w:val="20"/>
          <w:szCs w:val="20"/>
        </w:rPr>
      </w:pPr>
      <w:r w:rsidRPr="00C9207C">
        <w:rPr>
          <w:rFonts w:ascii="Arial" w:hAnsi="Arial" w:cs="Arial"/>
          <w:b/>
          <w:sz w:val="20"/>
          <w:szCs w:val="20"/>
        </w:rPr>
        <w:t>3.2.1</w:t>
      </w:r>
      <w:r w:rsidRPr="00C9207C">
        <w:rPr>
          <w:rFonts w:ascii="Arial" w:hAnsi="Arial" w:cs="Arial"/>
          <w:b/>
          <w:sz w:val="20"/>
          <w:szCs w:val="20"/>
        </w:rPr>
        <w:tab/>
      </w:r>
      <w:r w:rsidR="005F44DC" w:rsidRPr="00C9207C">
        <w:rPr>
          <w:rFonts w:ascii="Arial" w:hAnsi="Arial" w:cs="Arial"/>
          <w:b/>
          <w:sz w:val="20"/>
          <w:szCs w:val="20"/>
        </w:rPr>
        <w:t>Responsibilities</w:t>
      </w:r>
      <w:r w:rsidR="00D84D84" w:rsidRPr="00C9207C">
        <w:rPr>
          <w:rFonts w:ascii="Arial" w:hAnsi="Arial" w:cs="Arial"/>
          <w:b/>
          <w:sz w:val="20"/>
          <w:szCs w:val="20"/>
        </w:rPr>
        <w:t xml:space="preserve"> of the Integration Joint Board</w:t>
      </w:r>
    </w:p>
    <w:p w14:paraId="5CC645C5" w14:textId="77777777" w:rsidR="005F44DC" w:rsidRPr="00C9207C" w:rsidRDefault="005F44DC" w:rsidP="00A51927">
      <w:pPr>
        <w:spacing w:after="0" w:line="240" w:lineRule="auto"/>
        <w:rPr>
          <w:rFonts w:ascii="Arial" w:hAnsi="Arial" w:cs="Arial"/>
          <w:sz w:val="20"/>
          <w:szCs w:val="20"/>
        </w:rPr>
      </w:pPr>
    </w:p>
    <w:p w14:paraId="12CEC435" w14:textId="77777777" w:rsidR="00457FAD" w:rsidRPr="00C9207C" w:rsidRDefault="00457FAD" w:rsidP="002F09E9">
      <w:pPr>
        <w:spacing w:after="0" w:line="20" w:lineRule="atLeast"/>
        <w:rPr>
          <w:rFonts w:ascii="Arial" w:hAnsi="Arial" w:cs="Arial"/>
          <w:sz w:val="20"/>
          <w:szCs w:val="20"/>
        </w:rPr>
      </w:pPr>
      <w:r w:rsidRPr="00C9207C">
        <w:rPr>
          <w:rFonts w:ascii="Arial" w:hAnsi="Arial" w:cs="Arial"/>
          <w:sz w:val="20"/>
          <w:szCs w:val="20"/>
        </w:rPr>
        <w:t>The Integration Joint Board is required to:</w:t>
      </w:r>
    </w:p>
    <w:p w14:paraId="04B8B7C0" w14:textId="77777777" w:rsidR="00D84D84" w:rsidRPr="00C9207C" w:rsidRDefault="00D84D84" w:rsidP="002F09E9">
      <w:pPr>
        <w:spacing w:after="0" w:line="20" w:lineRule="atLeast"/>
        <w:rPr>
          <w:rFonts w:ascii="Arial" w:hAnsi="Arial" w:cs="Arial"/>
          <w:sz w:val="20"/>
          <w:szCs w:val="20"/>
        </w:rPr>
      </w:pPr>
    </w:p>
    <w:p w14:paraId="69546EB8" w14:textId="3F3FF4F6" w:rsidR="00183791" w:rsidRPr="00C9207C" w:rsidRDefault="00457FAD" w:rsidP="002F09E9">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make arrangements for the proper administration of its financial affairs and to secure that the proper officer of the board has responsibility for the administration of those affairs (section 95 of the Local Government (Scotland) Act 1973); in this authority, that officer is the Chief Finance Officer;</w:t>
      </w:r>
    </w:p>
    <w:p w14:paraId="4810A44A" w14:textId="77777777" w:rsidR="005855CB" w:rsidRPr="00C9207C" w:rsidRDefault="005855CB" w:rsidP="002F09E9">
      <w:pPr>
        <w:pStyle w:val="ListParagraph"/>
        <w:spacing w:after="0" w:line="20" w:lineRule="atLeast"/>
        <w:contextualSpacing/>
        <w:rPr>
          <w:rFonts w:ascii="Arial" w:hAnsi="Arial" w:cs="Arial"/>
          <w:sz w:val="20"/>
          <w:szCs w:val="20"/>
        </w:rPr>
      </w:pPr>
    </w:p>
    <w:p w14:paraId="58B741B9" w14:textId="77777777" w:rsidR="00457FAD" w:rsidRPr="00C9207C" w:rsidRDefault="00457FAD" w:rsidP="002F09E9">
      <w:pPr>
        <w:pStyle w:val="ListParagraph"/>
        <w:numPr>
          <w:ilvl w:val="0"/>
          <w:numId w:val="2"/>
        </w:numPr>
        <w:spacing w:line="20" w:lineRule="atLeast"/>
        <w:rPr>
          <w:rFonts w:ascii="Arial" w:hAnsi="Arial" w:cs="Arial"/>
          <w:sz w:val="20"/>
          <w:szCs w:val="20"/>
        </w:rPr>
      </w:pPr>
      <w:r w:rsidRPr="00C9207C">
        <w:rPr>
          <w:rFonts w:ascii="Arial" w:hAnsi="Arial" w:cs="Arial"/>
          <w:sz w:val="20"/>
          <w:szCs w:val="20"/>
        </w:rPr>
        <w:t>manage its affairs to secure economic, efficient and effective use of resources and safeguard its assets;</w:t>
      </w:r>
    </w:p>
    <w:p w14:paraId="3B27C213" w14:textId="696A9544" w:rsidR="00183791" w:rsidRPr="00C9207C" w:rsidRDefault="00457FAD" w:rsidP="002F09E9">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ensure the Annual Accounts are prepared in accordance with legislation (The Local Authority Accounts (Scotland) Regulations 2014), and so far</w:t>
      </w:r>
      <w:r w:rsidR="00500095" w:rsidRPr="00C9207C">
        <w:rPr>
          <w:rFonts w:ascii="Arial" w:hAnsi="Arial" w:cs="Arial"/>
          <w:sz w:val="20"/>
          <w:szCs w:val="20"/>
        </w:rPr>
        <w:t>,</w:t>
      </w:r>
      <w:r w:rsidRPr="00C9207C">
        <w:rPr>
          <w:rFonts w:ascii="Arial" w:hAnsi="Arial" w:cs="Arial"/>
          <w:sz w:val="20"/>
          <w:szCs w:val="20"/>
        </w:rPr>
        <w:t xml:space="preserve"> as is compatible with that legislation, in accordance with proper accounting practices (section 12 of the Local Government in Scotland act 2003).</w:t>
      </w:r>
    </w:p>
    <w:p w14:paraId="424069EB" w14:textId="77777777" w:rsidR="005855CB" w:rsidRPr="00C9207C" w:rsidRDefault="005855CB" w:rsidP="002F09E9">
      <w:pPr>
        <w:pStyle w:val="ListParagraph"/>
        <w:spacing w:after="0" w:line="20" w:lineRule="atLeast"/>
        <w:contextualSpacing/>
        <w:rPr>
          <w:rFonts w:ascii="Arial" w:hAnsi="Arial" w:cs="Arial"/>
          <w:sz w:val="20"/>
          <w:szCs w:val="20"/>
        </w:rPr>
      </w:pPr>
    </w:p>
    <w:p w14:paraId="4B9A63B6" w14:textId="797BCF22" w:rsidR="005F44DC" w:rsidRPr="00C9207C" w:rsidRDefault="00943669" w:rsidP="002F09E9">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a</w:t>
      </w:r>
      <w:r w:rsidR="005F44DC" w:rsidRPr="00C9207C">
        <w:rPr>
          <w:rFonts w:ascii="Arial" w:hAnsi="Arial" w:cs="Arial"/>
          <w:sz w:val="20"/>
          <w:szCs w:val="20"/>
        </w:rPr>
        <w:t xml:space="preserve">pprove the </w:t>
      </w:r>
      <w:r w:rsidR="00D84D84" w:rsidRPr="00C9207C">
        <w:rPr>
          <w:rFonts w:ascii="Arial" w:hAnsi="Arial" w:cs="Arial"/>
          <w:sz w:val="20"/>
          <w:szCs w:val="20"/>
        </w:rPr>
        <w:t>Annual Accounts</w:t>
      </w:r>
      <w:r w:rsidR="005F44DC" w:rsidRPr="00C9207C">
        <w:rPr>
          <w:rFonts w:ascii="Arial" w:hAnsi="Arial" w:cs="Arial"/>
          <w:sz w:val="20"/>
          <w:szCs w:val="20"/>
        </w:rPr>
        <w:t>.</w:t>
      </w:r>
    </w:p>
    <w:p w14:paraId="0528565E" w14:textId="77777777" w:rsidR="006E1270" w:rsidRPr="00C9207C" w:rsidRDefault="006E1270" w:rsidP="002F09E9">
      <w:pPr>
        <w:spacing w:after="0" w:line="20" w:lineRule="atLeast"/>
        <w:rPr>
          <w:rFonts w:ascii="Arial" w:hAnsi="Arial" w:cs="Arial"/>
          <w:sz w:val="20"/>
          <w:szCs w:val="20"/>
        </w:rPr>
      </w:pPr>
    </w:p>
    <w:p w14:paraId="5C0F498F" w14:textId="77777777" w:rsidR="00457FAD" w:rsidRPr="00C9207C" w:rsidRDefault="00457FAD" w:rsidP="002F09E9">
      <w:pPr>
        <w:spacing w:after="0" w:line="20" w:lineRule="atLeast"/>
        <w:rPr>
          <w:rFonts w:ascii="Arial" w:hAnsi="Arial" w:cs="Arial"/>
          <w:sz w:val="20"/>
          <w:szCs w:val="20"/>
        </w:rPr>
      </w:pPr>
      <w:r w:rsidRPr="00C9207C">
        <w:rPr>
          <w:rFonts w:ascii="Arial" w:hAnsi="Arial" w:cs="Arial"/>
          <w:sz w:val="20"/>
          <w:szCs w:val="20"/>
        </w:rPr>
        <w:t xml:space="preserve">I confirm that these Annual Accounts were approved for signature by the Integration Joint Board at its meeting on </w:t>
      </w:r>
      <w:r w:rsidRPr="00C9207C">
        <w:rPr>
          <w:rFonts w:ascii="Arial" w:hAnsi="Arial" w:cs="Arial"/>
          <w:b/>
          <w:bCs/>
          <w:sz w:val="20"/>
          <w:szCs w:val="20"/>
        </w:rPr>
        <w:t>30 September 2026</w:t>
      </w:r>
      <w:r w:rsidRPr="00C9207C">
        <w:rPr>
          <w:rFonts w:ascii="Arial" w:hAnsi="Arial" w:cs="Arial"/>
          <w:sz w:val="20"/>
          <w:szCs w:val="20"/>
        </w:rPr>
        <w:t>.</w:t>
      </w:r>
    </w:p>
    <w:p w14:paraId="7DB8941F" w14:textId="77777777" w:rsidR="00E57CFC" w:rsidRPr="00C9207C" w:rsidRDefault="00E57CFC" w:rsidP="002F09E9">
      <w:pPr>
        <w:spacing w:after="0" w:line="20" w:lineRule="atLeast"/>
        <w:rPr>
          <w:rFonts w:ascii="Arial" w:hAnsi="Arial" w:cs="Arial"/>
          <w:sz w:val="20"/>
          <w:szCs w:val="20"/>
        </w:rPr>
      </w:pPr>
    </w:p>
    <w:p w14:paraId="0B4A01FC" w14:textId="350FEF26" w:rsidR="00DD43B7" w:rsidRPr="00C9207C" w:rsidRDefault="00DD43B7" w:rsidP="002F09E9">
      <w:pPr>
        <w:spacing w:after="0" w:line="20" w:lineRule="atLeast"/>
        <w:rPr>
          <w:rFonts w:ascii="Arial" w:hAnsi="Arial" w:cs="Arial"/>
          <w:sz w:val="20"/>
          <w:szCs w:val="20"/>
        </w:rPr>
      </w:pPr>
      <w:r w:rsidRPr="00C9207C">
        <w:rPr>
          <w:rFonts w:ascii="Arial" w:hAnsi="Arial" w:cs="Arial"/>
          <w:sz w:val="20"/>
          <w:szCs w:val="20"/>
        </w:rPr>
        <w:t xml:space="preserve">Signed on behalf of the </w:t>
      </w:r>
      <w:r w:rsidR="00E206ED" w:rsidRPr="00C9207C">
        <w:rPr>
          <w:rFonts w:ascii="Arial" w:hAnsi="Arial" w:cs="Arial"/>
          <w:sz w:val="20"/>
          <w:szCs w:val="20"/>
        </w:rPr>
        <w:t>Aberdeen City Integration Joint Board</w:t>
      </w:r>
    </w:p>
    <w:p w14:paraId="313ACE8E" w14:textId="77777777" w:rsidR="00DD43B7" w:rsidRPr="00C9207C" w:rsidRDefault="00DD43B7" w:rsidP="00A51927">
      <w:pPr>
        <w:spacing w:after="0" w:line="240" w:lineRule="auto"/>
        <w:rPr>
          <w:rFonts w:ascii="Arial" w:hAnsi="Arial" w:cs="Arial"/>
          <w:sz w:val="20"/>
          <w:szCs w:val="20"/>
        </w:rPr>
      </w:pPr>
    </w:p>
    <w:p w14:paraId="4B6FC2CE" w14:textId="77777777" w:rsidR="00243D9E" w:rsidRPr="00C9207C" w:rsidRDefault="00243D9E" w:rsidP="00A51927">
      <w:pPr>
        <w:spacing w:after="0" w:line="240" w:lineRule="auto"/>
        <w:rPr>
          <w:rFonts w:ascii="Arial" w:hAnsi="Arial" w:cs="Arial"/>
          <w:sz w:val="20"/>
          <w:szCs w:val="20"/>
        </w:rPr>
      </w:pPr>
    </w:p>
    <w:p w14:paraId="100F501A" w14:textId="77777777" w:rsidR="00183791" w:rsidRPr="00C9207C" w:rsidRDefault="00183791" w:rsidP="00A51927">
      <w:pPr>
        <w:spacing w:after="0" w:line="240" w:lineRule="auto"/>
        <w:rPr>
          <w:rFonts w:ascii="Arial" w:hAnsi="Arial" w:cs="Arial"/>
          <w:sz w:val="20"/>
          <w:szCs w:val="20"/>
        </w:rPr>
      </w:pPr>
    </w:p>
    <w:p w14:paraId="19914183" w14:textId="77777777" w:rsidR="00243D9E" w:rsidRPr="00C9207C" w:rsidRDefault="00243D9E" w:rsidP="00A51927">
      <w:pPr>
        <w:spacing w:after="0" w:line="240" w:lineRule="auto"/>
        <w:rPr>
          <w:rFonts w:ascii="Arial" w:hAnsi="Arial" w:cs="Arial"/>
          <w:sz w:val="20"/>
          <w:szCs w:val="20"/>
        </w:rPr>
      </w:pPr>
    </w:p>
    <w:p w14:paraId="748B0EE9" w14:textId="77777777" w:rsidR="00243D9E" w:rsidRPr="00C9207C" w:rsidRDefault="00243D9E" w:rsidP="00A51927">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106"/>
        <w:gridCol w:w="2358"/>
      </w:tblGrid>
      <w:tr w:rsidR="00E57CFC" w:rsidRPr="00C9207C" w14:paraId="175E4557" w14:textId="77777777" w:rsidTr="00903F8B">
        <w:tc>
          <w:tcPr>
            <w:tcW w:w="2552" w:type="dxa"/>
          </w:tcPr>
          <w:p w14:paraId="4F6C1355" w14:textId="0F6B5312" w:rsidR="00E57CFC" w:rsidRPr="00C9207C" w:rsidRDefault="00496AAD" w:rsidP="00A51927">
            <w:pPr>
              <w:spacing w:after="0" w:line="240" w:lineRule="auto"/>
              <w:rPr>
                <w:rFonts w:ascii="Arial" w:eastAsia="Times New Roman" w:hAnsi="Arial" w:cs="Arial"/>
                <w:b/>
                <w:sz w:val="20"/>
                <w:szCs w:val="20"/>
                <w:lang w:val="en-AU"/>
              </w:rPr>
            </w:pPr>
            <w:r w:rsidRPr="00C9207C">
              <w:rPr>
                <w:rFonts w:ascii="Arial" w:eastAsia="Times New Roman" w:hAnsi="Arial" w:cs="Arial"/>
                <w:b/>
                <w:sz w:val="20"/>
                <w:szCs w:val="20"/>
                <w:lang w:val="en-AU"/>
              </w:rPr>
              <w:t xml:space="preserve">Hussein Patwa </w:t>
            </w:r>
          </w:p>
        </w:tc>
        <w:tc>
          <w:tcPr>
            <w:tcW w:w="4106" w:type="dxa"/>
          </w:tcPr>
          <w:p w14:paraId="002E903B" w14:textId="77777777" w:rsidR="00E57CFC" w:rsidRPr="00C9207C" w:rsidRDefault="00E57CFC" w:rsidP="00A51927">
            <w:pPr>
              <w:spacing w:after="0" w:line="240" w:lineRule="auto"/>
              <w:rPr>
                <w:rFonts w:ascii="Arial" w:eastAsia="Times New Roman" w:hAnsi="Arial" w:cs="Arial"/>
                <w:sz w:val="20"/>
                <w:szCs w:val="20"/>
                <w:lang w:val="en-AU"/>
              </w:rPr>
            </w:pPr>
          </w:p>
        </w:tc>
        <w:tc>
          <w:tcPr>
            <w:tcW w:w="2358" w:type="dxa"/>
          </w:tcPr>
          <w:p w14:paraId="155FCD93" w14:textId="53EEE3DB" w:rsidR="00E57CFC" w:rsidRPr="00C9207C" w:rsidRDefault="00E57CFC" w:rsidP="00A51927">
            <w:pPr>
              <w:spacing w:after="0" w:line="240" w:lineRule="auto"/>
              <w:rPr>
                <w:rFonts w:ascii="Arial" w:eastAsia="Times New Roman" w:hAnsi="Arial" w:cs="Arial"/>
                <w:sz w:val="20"/>
                <w:szCs w:val="20"/>
                <w:lang w:val="en-AU"/>
              </w:rPr>
            </w:pPr>
          </w:p>
        </w:tc>
      </w:tr>
      <w:tr w:rsidR="00E57CFC" w:rsidRPr="00C9207C" w14:paraId="00894845" w14:textId="77777777" w:rsidTr="00903F8B">
        <w:tc>
          <w:tcPr>
            <w:tcW w:w="2552" w:type="dxa"/>
          </w:tcPr>
          <w:p w14:paraId="5EB062CA" w14:textId="77777777" w:rsidR="00E57CFC" w:rsidRPr="00C9207C" w:rsidRDefault="00E57CFC" w:rsidP="00A51927">
            <w:pPr>
              <w:spacing w:after="0" w:line="240" w:lineRule="auto"/>
              <w:rPr>
                <w:rFonts w:ascii="Arial" w:eastAsia="Times New Roman" w:hAnsi="Arial" w:cs="Arial"/>
                <w:sz w:val="20"/>
                <w:szCs w:val="20"/>
                <w:lang w:val="en-AU"/>
              </w:rPr>
            </w:pPr>
            <w:r w:rsidRPr="00C9207C">
              <w:rPr>
                <w:rFonts w:ascii="Arial" w:eastAsia="Times New Roman" w:hAnsi="Arial" w:cs="Arial"/>
                <w:sz w:val="20"/>
                <w:szCs w:val="20"/>
                <w:lang w:val="en-AU"/>
              </w:rPr>
              <w:t>IJB Chair</w:t>
            </w:r>
          </w:p>
          <w:p w14:paraId="1696E0A6" w14:textId="7A039B40" w:rsidR="00463147" w:rsidRPr="00C9207C" w:rsidRDefault="00463147" w:rsidP="00A51927">
            <w:pPr>
              <w:spacing w:after="0" w:line="240" w:lineRule="auto"/>
              <w:rPr>
                <w:rFonts w:ascii="Arial" w:eastAsia="Times New Roman" w:hAnsi="Arial" w:cs="Arial"/>
                <w:sz w:val="20"/>
                <w:szCs w:val="20"/>
                <w:lang w:val="en-AU"/>
              </w:rPr>
            </w:pPr>
          </w:p>
        </w:tc>
        <w:tc>
          <w:tcPr>
            <w:tcW w:w="4106" w:type="dxa"/>
          </w:tcPr>
          <w:p w14:paraId="3534F543" w14:textId="77777777" w:rsidR="00E57CFC" w:rsidRPr="00C9207C" w:rsidRDefault="00E57CFC" w:rsidP="00A51927">
            <w:pPr>
              <w:spacing w:after="0" w:line="240" w:lineRule="auto"/>
              <w:rPr>
                <w:rFonts w:ascii="Arial" w:eastAsia="Times New Roman" w:hAnsi="Arial" w:cs="Arial"/>
                <w:sz w:val="20"/>
                <w:szCs w:val="20"/>
                <w:lang w:val="en-AU"/>
              </w:rPr>
            </w:pPr>
          </w:p>
        </w:tc>
        <w:tc>
          <w:tcPr>
            <w:tcW w:w="2358" w:type="dxa"/>
          </w:tcPr>
          <w:p w14:paraId="4BB1D6C6" w14:textId="77777777" w:rsidR="00E57CFC" w:rsidRPr="00C9207C" w:rsidRDefault="00E57CFC" w:rsidP="00A51927">
            <w:pPr>
              <w:spacing w:after="0" w:line="240" w:lineRule="auto"/>
              <w:rPr>
                <w:rFonts w:ascii="Arial" w:eastAsia="Times New Roman" w:hAnsi="Arial" w:cs="Arial"/>
                <w:sz w:val="20"/>
                <w:szCs w:val="20"/>
                <w:lang w:val="en-AU"/>
              </w:rPr>
            </w:pPr>
          </w:p>
        </w:tc>
      </w:tr>
    </w:tbl>
    <w:p w14:paraId="3D57502A" w14:textId="77777777" w:rsidR="00EC6223" w:rsidRDefault="00EC6223" w:rsidP="00A51927">
      <w:pPr>
        <w:spacing w:after="0" w:line="240" w:lineRule="auto"/>
        <w:rPr>
          <w:rFonts w:ascii="Arial" w:hAnsi="Arial" w:cs="Arial"/>
          <w:sz w:val="20"/>
          <w:szCs w:val="20"/>
          <w:highlight w:val="yellow"/>
        </w:rPr>
      </w:pPr>
    </w:p>
    <w:p w14:paraId="7B35FF9A" w14:textId="77777777" w:rsidR="00EC6223" w:rsidRDefault="00EC6223">
      <w:pPr>
        <w:spacing w:after="0" w:line="240" w:lineRule="auto"/>
        <w:rPr>
          <w:rFonts w:ascii="Arial" w:hAnsi="Arial" w:cs="Arial"/>
          <w:sz w:val="20"/>
          <w:szCs w:val="20"/>
          <w:highlight w:val="yellow"/>
        </w:rPr>
      </w:pPr>
      <w:r>
        <w:rPr>
          <w:rFonts w:ascii="Arial" w:hAnsi="Arial" w:cs="Arial"/>
          <w:sz w:val="20"/>
          <w:szCs w:val="20"/>
          <w:highlight w:val="yellow"/>
        </w:rPr>
        <w:br w:type="page"/>
      </w:r>
    </w:p>
    <w:p w14:paraId="0EB5109F" w14:textId="77777777" w:rsidR="00E57CFC" w:rsidRPr="00C9207C" w:rsidRDefault="00E57CFC" w:rsidP="00A51927">
      <w:pPr>
        <w:spacing w:after="0" w:line="240" w:lineRule="auto"/>
        <w:rPr>
          <w:rFonts w:ascii="Arial" w:hAnsi="Arial" w:cs="Arial"/>
          <w:sz w:val="20"/>
          <w:szCs w:val="20"/>
          <w:highlight w:val="yellow"/>
        </w:rPr>
      </w:pPr>
    </w:p>
    <w:p w14:paraId="49512262" w14:textId="77777777" w:rsidR="00213906" w:rsidRPr="00C9207C" w:rsidRDefault="00213906">
      <w:pPr>
        <w:spacing w:after="0" w:line="240" w:lineRule="auto"/>
        <w:rPr>
          <w:rFonts w:ascii="Arial" w:hAnsi="Arial" w:cs="Arial"/>
          <w:b/>
          <w:bCs/>
          <w:sz w:val="20"/>
          <w:szCs w:val="20"/>
        </w:rPr>
      </w:pPr>
      <w:r w:rsidRPr="00C9207C">
        <w:rPr>
          <w:rFonts w:ascii="Arial" w:hAnsi="Arial" w:cs="Arial"/>
          <w:b/>
          <w:bCs/>
          <w:sz w:val="20"/>
          <w:szCs w:val="20"/>
        </w:rPr>
        <w:t>3.2.2   Responsibilities of the Chief Financial Officer</w:t>
      </w:r>
    </w:p>
    <w:p w14:paraId="00709AD3" w14:textId="77777777" w:rsidR="009D1E8E" w:rsidRPr="00C9207C" w:rsidRDefault="009D1E8E">
      <w:pPr>
        <w:spacing w:after="0" w:line="240" w:lineRule="auto"/>
        <w:rPr>
          <w:rFonts w:ascii="Arial" w:hAnsi="Arial" w:cs="Arial"/>
          <w:kern w:val="2"/>
          <w:sz w:val="20"/>
          <w:szCs w:val="20"/>
          <w14:ligatures w14:val="standardContextual"/>
        </w:rPr>
      </w:pPr>
    </w:p>
    <w:p w14:paraId="697A5A18" w14:textId="22A72AA0" w:rsidR="00D1292B" w:rsidRPr="00C9207C" w:rsidRDefault="009459B4" w:rsidP="00334CC6">
      <w:pPr>
        <w:spacing w:after="0" w:line="20" w:lineRule="atLeast"/>
        <w:rPr>
          <w:rFonts w:ascii="Arial" w:hAnsi="Arial" w:cs="Arial"/>
          <w:sz w:val="20"/>
          <w:szCs w:val="20"/>
        </w:rPr>
      </w:pPr>
      <w:r w:rsidRPr="00C9207C">
        <w:rPr>
          <w:rFonts w:ascii="Arial" w:hAnsi="Arial" w:cs="Arial"/>
          <w:sz w:val="20"/>
          <w:szCs w:val="20"/>
        </w:rPr>
        <w:t xml:space="preserve">The Chief Financial Officer is responsible for the preparation of the Integration Joint Board’s Annual Accounts in accordance with proper practices as required by legislation and as set out in the CIPFA/LASAAC Code of Practice on Local Authority Accounting in the United Kingdom (the Accounting Code). </w:t>
      </w:r>
    </w:p>
    <w:p w14:paraId="79CAF4B0" w14:textId="77777777" w:rsidR="00D1292B" w:rsidRPr="00C9207C" w:rsidRDefault="00D1292B" w:rsidP="00334CC6">
      <w:pPr>
        <w:spacing w:after="0" w:line="20" w:lineRule="atLeast"/>
        <w:rPr>
          <w:rFonts w:ascii="Arial" w:hAnsi="Arial" w:cs="Arial"/>
          <w:sz w:val="20"/>
          <w:szCs w:val="20"/>
        </w:rPr>
      </w:pPr>
    </w:p>
    <w:p w14:paraId="15DF30B3" w14:textId="77777777" w:rsidR="009459B4" w:rsidRPr="00C9207C" w:rsidRDefault="009459B4" w:rsidP="00334CC6">
      <w:pPr>
        <w:spacing w:after="0" w:line="20" w:lineRule="atLeast"/>
        <w:rPr>
          <w:rFonts w:ascii="Arial" w:hAnsi="Arial" w:cs="Arial"/>
          <w:sz w:val="20"/>
          <w:szCs w:val="20"/>
        </w:rPr>
      </w:pPr>
      <w:r w:rsidRPr="00C9207C">
        <w:rPr>
          <w:rFonts w:ascii="Arial" w:hAnsi="Arial" w:cs="Arial"/>
          <w:sz w:val="20"/>
          <w:szCs w:val="20"/>
        </w:rPr>
        <w:t>In preparing the Annual Accounts, the Chief Financial Officer is required to:</w:t>
      </w:r>
    </w:p>
    <w:p w14:paraId="52BC4233" w14:textId="77777777" w:rsidR="00236527" w:rsidRPr="00C9207C" w:rsidRDefault="00236527" w:rsidP="00334CC6">
      <w:pPr>
        <w:spacing w:after="0" w:line="20" w:lineRule="atLeast"/>
        <w:rPr>
          <w:rFonts w:ascii="Arial" w:hAnsi="Arial" w:cs="Arial"/>
          <w:sz w:val="20"/>
          <w:szCs w:val="20"/>
        </w:rPr>
      </w:pPr>
    </w:p>
    <w:p w14:paraId="2E5BFEAC" w14:textId="0601CB3C"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select suitable accounting policies and apply them consistently; </w:t>
      </w:r>
    </w:p>
    <w:p w14:paraId="1A45D671" w14:textId="0DDE73A6"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make judgements and estimates that are reasonable and prudent; </w:t>
      </w:r>
    </w:p>
    <w:p w14:paraId="04406B3F" w14:textId="2A075949"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comply with applicable legislation</w:t>
      </w:r>
    </w:p>
    <w:p w14:paraId="365EFA39" w14:textId="76F8FEE9"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comply with the Accounting Code, so far as it is compatible with legislation. </w:t>
      </w:r>
    </w:p>
    <w:p w14:paraId="34B7F78F" w14:textId="77777777" w:rsidR="00D1292B" w:rsidRPr="00C9207C" w:rsidRDefault="00D1292B" w:rsidP="00334CC6">
      <w:pPr>
        <w:spacing w:after="0" w:line="20" w:lineRule="atLeast"/>
        <w:ind w:left="360"/>
        <w:rPr>
          <w:rFonts w:ascii="Arial" w:hAnsi="Arial" w:cs="Arial"/>
          <w:sz w:val="20"/>
          <w:szCs w:val="20"/>
        </w:rPr>
      </w:pPr>
    </w:p>
    <w:p w14:paraId="74B2283B" w14:textId="77777777" w:rsidR="009459B4" w:rsidRPr="00C9207C" w:rsidRDefault="009459B4" w:rsidP="00334CC6">
      <w:pPr>
        <w:spacing w:after="0" w:line="20" w:lineRule="atLeast"/>
        <w:ind w:left="360"/>
        <w:rPr>
          <w:rFonts w:ascii="Arial" w:hAnsi="Arial" w:cs="Arial"/>
          <w:sz w:val="20"/>
          <w:szCs w:val="20"/>
        </w:rPr>
      </w:pPr>
      <w:r w:rsidRPr="00C9207C">
        <w:rPr>
          <w:rFonts w:ascii="Arial" w:hAnsi="Arial" w:cs="Arial"/>
          <w:sz w:val="20"/>
          <w:szCs w:val="20"/>
        </w:rPr>
        <w:t>The Chief Financial Officer is also responsible for ensuring that:</w:t>
      </w:r>
    </w:p>
    <w:p w14:paraId="2D9F3640" w14:textId="77777777" w:rsidR="00236527" w:rsidRPr="00C9207C" w:rsidRDefault="00236527" w:rsidP="00334CC6">
      <w:pPr>
        <w:spacing w:after="0" w:line="20" w:lineRule="atLeast"/>
        <w:ind w:left="360"/>
        <w:rPr>
          <w:rFonts w:ascii="Arial" w:hAnsi="Arial" w:cs="Arial"/>
          <w:sz w:val="20"/>
          <w:szCs w:val="20"/>
        </w:rPr>
      </w:pPr>
    </w:p>
    <w:p w14:paraId="71BE633B" w14:textId="1B58A7F9"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proper accounting records are maintained and kept up to date; </w:t>
      </w:r>
    </w:p>
    <w:p w14:paraId="2FF1BBC1" w14:textId="3330C94F"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appropriate and effective systems of internal control are in place; </w:t>
      </w:r>
    </w:p>
    <w:p w14:paraId="67BCB58D" w14:textId="0134E40B"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financial risks are identified, assessed and managed; </w:t>
      </w:r>
    </w:p>
    <w:p w14:paraId="4D8DC547" w14:textId="0CBF95F1" w:rsidR="009459B4" w:rsidRPr="00C9207C" w:rsidRDefault="009459B4" w:rsidP="00334CC6">
      <w:pPr>
        <w:pStyle w:val="ListParagraph"/>
        <w:numPr>
          <w:ilvl w:val="0"/>
          <w:numId w:val="2"/>
        </w:numPr>
        <w:spacing w:after="0" w:line="20" w:lineRule="atLeast"/>
        <w:contextualSpacing/>
        <w:rPr>
          <w:rFonts w:ascii="Arial" w:hAnsi="Arial" w:cs="Arial"/>
          <w:sz w:val="20"/>
          <w:szCs w:val="20"/>
        </w:rPr>
      </w:pPr>
      <w:r w:rsidRPr="00C9207C">
        <w:rPr>
          <w:rFonts w:ascii="Arial" w:hAnsi="Arial" w:cs="Arial"/>
          <w:sz w:val="20"/>
          <w:szCs w:val="20"/>
        </w:rPr>
        <w:t xml:space="preserve">reasonable steps are taken for the prevention and detection of fraud and other irregularities; </w:t>
      </w:r>
    </w:p>
    <w:p w14:paraId="48721090" w14:textId="78E0F740" w:rsidR="00213906" w:rsidRPr="00C9207C" w:rsidRDefault="00213906" w:rsidP="00334CC6">
      <w:pPr>
        <w:pStyle w:val="ListParagraph"/>
        <w:spacing w:after="0" w:line="20" w:lineRule="atLeast"/>
        <w:rPr>
          <w:rFonts w:ascii="Arial" w:hAnsi="Arial" w:cs="Arial"/>
          <w:kern w:val="2"/>
          <w:sz w:val="20"/>
          <w:szCs w:val="20"/>
          <w14:ligatures w14:val="standardContextual"/>
        </w:rPr>
      </w:pPr>
    </w:p>
    <w:p w14:paraId="3DDDCDA2" w14:textId="77777777" w:rsidR="00813C3E" w:rsidRPr="00C9207C" w:rsidRDefault="00813C3E" w:rsidP="00334CC6">
      <w:pPr>
        <w:spacing w:after="0" w:line="20" w:lineRule="atLeast"/>
        <w:rPr>
          <w:rFonts w:ascii="Arial" w:hAnsi="Arial" w:cs="Arial"/>
          <w:sz w:val="20"/>
          <w:szCs w:val="20"/>
        </w:rPr>
      </w:pPr>
    </w:p>
    <w:p w14:paraId="6C96FBB8" w14:textId="5F4DD6A5" w:rsidR="005F44DC" w:rsidRPr="00C9207C" w:rsidRDefault="00E57CFC" w:rsidP="00334CC6">
      <w:pPr>
        <w:spacing w:after="0" w:line="20" w:lineRule="atLeast"/>
        <w:rPr>
          <w:rFonts w:ascii="Arial" w:eastAsia="Times New Roman" w:hAnsi="Arial" w:cs="Arial"/>
          <w:sz w:val="20"/>
          <w:szCs w:val="20"/>
          <w:lang w:val="en-AU"/>
        </w:rPr>
      </w:pPr>
      <w:r w:rsidRPr="00C9207C">
        <w:rPr>
          <w:rFonts w:ascii="Arial" w:eastAsia="Times New Roman" w:hAnsi="Arial" w:cs="Arial"/>
          <w:sz w:val="20"/>
          <w:szCs w:val="20"/>
          <w:lang w:val="en-AU"/>
        </w:rPr>
        <w:t xml:space="preserve">I certify that the financial statements give a true and fair view of the financial position of the </w:t>
      </w:r>
      <w:r w:rsidR="00E206ED" w:rsidRPr="00C9207C">
        <w:rPr>
          <w:rFonts w:ascii="Arial" w:eastAsia="Times New Roman" w:hAnsi="Arial" w:cs="Arial"/>
          <w:sz w:val="20"/>
          <w:szCs w:val="20"/>
          <w:lang w:val="en-AU"/>
        </w:rPr>
        <w:t>Aberdeen City</w:t>
      </w:r>
      <w:r w:rsidRPr="00C9207C">
        <w:rPr>
          <w:rFonts w:ascii="Arial" w:eastAsia="Times New Roman" w:hAnsi="Arial" w:cs="Arial"/>
          <w:sz w:val="20"/>
          <w:szCs w:val="20"/>
          <w:lang w:val="en-AU"/>
        </w:rPr>
        <w:t xml:space="preserve"> Integration Joint Board </w:t>
      </w:r>
      <w:r w:rsidR="00AB284F" w:rsidRPr="00C9207C">
        <w:rPr>
          <w:rFonts w:ascii="Arial" w:eastAsia="Times New Roman" w:hAnsi="Arial" w:cs="Arial"/>
          <w:sz w:val="20"/>
          <w:szCs w:val="20"/>
          <w:lang w:val="en-AU"/>
        </w:rPr>
        <w:t xml:space="preserve">as </w:t>
      </w:r>
      <w:r w:rsidRPr="00C9207C">
        <w:rPr>
          <w:rFonts w:ascii="Arial" w:eastAsia="Times New Roman" w:hAnsi="Arial" w:cs="Arial"/>
          <w:sz w:val="20"/>
          <w:szCs w:val="20"/>
          <w:lang w:val="en-AU"/>
        </w:rPr>
        <w:t xml:space="preserve">at </w:t>
      </w:r>
      <w:r w:rsidR="00F5683A" w:rsidRPr="00C9207C">
        <w:rPr>
          <w:rFonts w:ascii="Arial" w:eastAsia="Times New Roman" w:hAnsi="Arial" w:cs="Arial"/>
          <w:sz w:val="20"/>
          <w:szCs w:val="20"/>
          <w:lang w:val="en-AU"/>
        </w:rPr>
        <w:t>31 March 20</w:t>
      </w:r>
      <w:r w:rsidR="0052498F" w:rsidRPr="00C9207C">
        <w:rPr>
          <w:rFonts w:ascii="Arial" w:eastAsia="Times New Roman" w:hAnsi="Arial" w:cs="Arial"/>
          <w:sz w:val="20"/>
          <w:szCs w:val="20"/>
          <w:lang w:val="en-AU"/>
        </w:rPr>
        <w:t>2</w:t>
      </w:r>
      <w:r w:rsidR="009D1E8E" w:rsidRPr="00C9207C">
        <w:rPr>
          <w:rFonts w:ascii="Arial" w:eastAsia="Times New Roman" w:hAnsi="Arial" w:cs="Arial"/>
          <w:sz w:val="20"/>
          <w:szCs w:val="20"/>
          <w:lang w:val="en-AU"/>
        </w:rPr>
        <w:t>6</w:t>
      </w:r>
      <w:r w:rsidR="00AB284F" w:rsidRPr="00C9207C">
        <w:rPr>
          <w:rFonts w:ascii="Arial" w:eastAsia="Times New Roman" w:hAnsi="Arial" w:cs="Arial"/>
          <w:sz w:val="20"/>
          <w:szCs w:val="20"/>
          <w:lang w:val="en-AU"/>
        </w:rPr>
        <w:t xml:space="preserve"> </w:t>
      </w:r>
      <w:r w:rsidRPr="00C9207C">
        <w:rPr>
          <w:rFonts w:ascii="Arial" w:eastAsia="Times New Roman" w:hAnsi="Arial" w:cs="Arial"/>
          <w:sz w:val="20"/>
          <w:szCs w:val="20"/>
          <w:lang w:val="en-AU"/>
        </w:rPr>
        <w:t>and the transac</w:t>
      </w:r>
      <w:r w:rsidR="00AB284F" w:rsidRPr="00C9207C">
        <w:rPr>
          <w:rFonts w:ascii="Arial" w:eastAsia="Times New Roman" w:hAnsi="Arial" w:cs="Arial"/>
          <w:sz w:val="20"/>
          <w:szCs w:val="20"/>
          <w:lang w:val="en-AU"/>
        </w:rPr>
        <w:t xml:space="preserve">tions for the year then </w:t>
      </w:r>
      <w:r w:rsidR="00DD43B7" w:rsidRPr="00C9207C">
        <w:rPr>
          <w:rFonts w:ascii="Arial" w:eastAsia="Times New Roman" w:hAnsi="Arial" w:cs="Arial"/>
          <w:sz w:val="20"/>
          <w:szCs w:val="20"/>
          <w:lang w:val="en-AU"/>
        </w:rPr>
        <w:t>ended</w:t>
      </w:r>
      <w:r w:rsidR="00AB284F" w:rsidRPr="00C9207C">
        <w:rPr>
          <w:rFonts w:ascii="Arial" w:eastAsia="Times New Roman" w:hAnsi="Arial" w:cs="Arial"/>
          <w:sz w:val="20"/>
          <w:szCs w:val="20"/>
          <w:lang w:val="en-AU"/>
        </w:rPr>
        <w:t>.</w:t>
      </w:r>
    </w:p>
    <w:p w14:paraId="2CB05919" w14:textId="77777777" w:rsidR="00E57CFC" w:rsidRPr="00C9207C" w:rsidRDefault="00E57CFC" w:rsidP="00334CC6">
      <w:pPr>
        <w:spacing w:after="0" w:line="20" w:lineRule="atLeast"/>
        <w:rPr>
          <w:rFonts w:ascii="Arial" w:eastAsia="Times New Roman" w:hAnsi="Arial" w:cs="Arial"/>
          <w:sz w:val="20"/>
          <w:szCs w:val="20"/>
          <w:lang w:val="en-AU"/>
        </w:rPr>
      </w:pPr>
    </w:p>
    <w:p w14:paraId="15C7F60F" w14:textId="77777777" w:rsidR="00243D9E" w:rsidRPr="00C9207C" w:rsidRDefault="00243D9E" w:rsidP="00334CC6">
      <w:pPr>
        <w:spacing w:after="0" w:line="20" w:lineRule="atLeast"/>
        <w:rPr>
          <w:rFonts w:ascii="Arial" w:eastAsia="Times New Roman" w:hAnsi="Arial" w:cs="Arial"/>
          <w:sz w:val="20"/>
          <w:szCs w:val="20"/>
          <w:lang w:val="en-AU"/>
        </w:rPr>
      </w:pPr>
    </w:p>
    <w:p w14:paraId="33376934" w14:textId="3C15AF1D" w:rsidR="00243D9E" w:rsidRPr="00C9207C" w:rsidRDefault="00243D9E" w:rsidP="00334CC6">
      <w:pPr>
        <w:spacing w:after="0" w:line="20" w:lineRule="atLeast"/>
        <w:rPr>
          <w:rFonts w:ascii="Arial" w:eastAsia="Times New Roman" w:hAnsi="Arial" w:cs="Arial"/>
          <w:sz w:val="20"/>
          <w:szCs w:val="20"/>
          <w:lang w:val="en-AU"/>
        </w:rPr>
      </w:pPr>
    </w:p>
    <w:p w14:paraId="6FCBBBDE" w14:textId="7A0BC850" w:rsidR="00243D9E" w:rsidRPr="00C9207C" w:rsidRDefault="00243D9E" w:rsidP="00334CC6">
      <w:pPr>
        <w:spacing w:after="0" w:line="20" w:lineRule="atLeast"/>
        <w:rPr>
          <w:rFonts w:ascii="Arial" w:eastAsia="Times New Roman" w:hAnsi="Arial" w:cs="Arial"/>
          <w:sz w:val="20"/>
          <w:szCs w:val="20"/>
          <w:lang w:val="en-AU"/>
        </w:rPr>
      </w:pPr>
    </w:p>
    <w:p w14:paraId="75F31487" w14:textId="77777777" w:rsidR="00243D9E" w:rsidRPr="00C9207C" w:rsidRDefault="00243D9E" w:rsidP="00334CC6">
      <w:pPr>
        <w:spacing w:after="0" w:line="20" w:lineRule="atLeast"/>
        <w:rPr>
          <w:rFonts w:ascii="Arial" w:eastAsia="Times New Roman" w:hAnsi="Arial" w:cs="Arial"/>
          <w:sz w:val="20"/>
          <w:szCs w:val="20"/>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56"/>
        <w:gridCol w:w="2358"/>
      </w:tblGrid>
      <w:tr w:rsidR="00E57CFC" w:rsidRPr="00C9207C" w14:paraId="665A4A47" w14:textId="77777777" w:rsidTr="039C4330">
        <w:trPr>
          <w:trHeight w:val="87"/>
        </w:trPr>
        <w:tc>
          <w:tcPr>
            <w:tcW w:w="3402" w:type="dxa"/>
          </w:tcPr>
          <w:p w14:paraId="23F4E4E8" w14:textId="16BE7890" w:rsidR="00E57CFC" w:rsidRPr="00C9207C" w:rsidRDefault="4893C5C6" w:rsidP="00334CC6">
            <w:pPr>
              <w:spacing w:after="0" w:line="20" w:lineRule="atLeast"/>
              <w:rPr>
                <w:rFonts w:ascii="Arial" w:hAnsi="Arial" w:cs="Arial"/>
                <w:sz w:val="20"/>
                <w:szCs w:val="20"/>
              </w:rPr>
            </w:pPr>
            <w:r w:rsidRPr="00C9207C">
              <w:rPr>
                <w:rFonts w:ascii="Arial" w:eastAsia="Times New Roman" w:hAnsi="Arial" w:cs="Arial"/>
                <w:b/>
                <w:bCs/>
                <w:sz w:val="20"/>
                <w:szCs w:val="20"/>
                <w:lang w:val="en-AU"/>
              </w:rPr>
              <w:t>Jonathan Belford</w:t>
            </w:r>
          </w:p>
        </w:tc>
        <w:tc>
          <w:tcPr>
            <w:tcW w:w="3256" w:type="dxa"/>
          </w:tcPr>
          <w:p w14:paraId="04FE5D85" w14:textId="77777777" w:rsidR="00E57CFC" w:rsidRPr="00C9207C" w:rsidRDefault="00E57CFC" w:rsidP="00334CC6">
            <w:pPr>
              <w:spacing w:after="0" w:line="20" w:lineRule="atLeast"/>
              <w:rPr>
                <w:rFonts w:ascii="Arial" w:eastAsia="Times New Roman" w:hAnsi="Arial" w:cs="Arial"/>
                <w:sz w:val="20"/>
                <w:szCs w:val="20"/>
                <w:lang w:val="en-AU"/>
              </w:rPr>
            </w:pPr>
          </w:p>
        </w:tc>
        <w:tc>
          <w:tcPr>
            <w:tcW w:w="2358" w:type="dxa"/>
          </w:tcPr>
          <w:p w14:paraId="2D566480" w14:textId="0EA82519" w:rsidR="00E57CFC" w:rsidRPr="00C9207C" w:rsidRDefault="00E57CFC" w:rsidP="00334CC6">
            <w:pPr>
              <w:spacing w:after="0" w:line="20" w:lineRule="atLeast"/>
              <w:rPr>
                <w:rFonts w:ascii="Arial" w:eastAsia="Times New Roman" w:hAnsi="Arial" w:cs="Arial"/>
                <w:sz w:val="20"/>
                <w:szCs w:val="20"/>
                <w:lang w:val="en-AU"/>
              </w:rPr>
            </w:pPr>
          </w:p>
        </w:tc>
      </w:tr>
      <w:tr w:rsidR="00E57CFC" w:rsidRPr="00C9207C" w14:paraId="2C35F2CC" w14:textId="77777777" w:rsidTr="039C4330">
        <w:tc>
          <w:tcPr>
            <w:tcW w:w="3402" w:type="dxa"/>
          </w:tcPr>
          <w:p w14:paraId="0EC0766D" w14:textId="1729D98E" w:rsidR="00E57CFC" w:rsidRPr="00C9207C" w:rsidRDefault="4893C5C6" w:rsidP="00334CC6">
            <w:pPr>
              <w:spacing w:after="0" w:line="20" w:lineRule="atLeast"/>
              <w:rPr>
                <w:rFonts w:ascii="Arial" w:eastAsia="Times New Roman" w:hAnsi="Arial" w:cs="Arial"/>
                <w:sz w:val="20"/>
                <w:szCs w:val="20"/>
                <w:lang w:val="en-AU"/>
              </w:rPr>
            </w:pPr>
            <w:r w:rsidRPr="00C9207C">
              <w:rPr>
                <w:rFonts w:ascii="Arial" w:eastAsia="Times New Roman" w:hAnsi="Arial" w:cs="Arial"/>
                <w:sz w:val="20"/>
                <w:szCs w:val="20"/>
                <w:lang w:val="en-AU"/>
              </w:rPr>
              <w:t xml:space="preserve">Interim </w:t>
            </w:r>
            <w:r w:rsidR="36CC2803" w:rsidRPr="00C9207C">
              <w:rPr>
                <w:rFonts w:ascii="Arial" w:eastAsia="Times New Roman" w:hAnsi="Arial" w:cs="Arial"/>
                <w:sz w:val="20"/>
                <w:szCs w:val="20"/>
                <w:lang w:val="en-AU"/>
              </w:rPr>
              <w:t>Chief Finance</w:t>
            </w:r>
            <w:r w:rsidR="2713C4E7" w:rsidRPr="00C9207C">
              <w:rPr>
                <w:rFonts w:ascii="Arial" w:eastAsia="Times New Roman" w:hAnsi="Arial" w:cs="Arial"/>
                <w:sz w:val="20"/>
                <w:szCs w:val="20"/>
                <w:lang w:val="en-AU"/>
              </w:rPr>
              <w:t xml:space="preserve"> Officer</w:t>
            </w:r>
          </w:p>
          <w:p w14:paraId="30E08672" w14:textId="2CDEABFC" w:rsidR="00463147" w:rsidRPr="00C9207C" w:rsidRDefault="00463147" w:rsidP="00334CC6">
            <w:pPr>
              <w:spacing w:after="0" w:line="20" w:lineRule="atLeast"/>
              <w:rPr>
                <w:rFonts w:ascii="Arial" w:eastAsia="Times New Roman" w:hAnsi="Arial" w:cs="Arial"/>
                <w:sz w:val="20"/>
                <w:szCs w:val="20"/>
                <w:lang w:val="en-AU"/>
              </w:rPr>
            </w:pPr>
          </w:p>
        </w:tc>
        <w:tc>
          <w:tcPr>
            <w:tcW w:w="3256" w:type="dxa"/>
          </w:tcPr>
          <w:p w14:paraId="30929889" w14:textId="77777777" w:rsidR="00E57CFC" w:rsidRPr="00C9207C" w:rsidRDefault="00E57CFC" w:rsidP="00334CC6">
            <w:pPr>
              <w:spacing w:after="0" w:line="20" w:lineRule="atLeast"/>
              <w:rPr>
                <w:rFonts w:ascii="Arial" w:eastAsia="Times New Roman" w:hAnsi="Arial" w:cs="Arial"/>
                <w:sz w:val="20"/>
                <w:szCs w:val="20"/>
                <w:lang w:val="en-AU"/>
              </w:rPr>
            </w:pPr>
          </w:p>
        </w:tc>
        <w:tc>
          <w:tcPr>
            <w:tcW w:w="2358" w:type="dxa"/>
          </w:tcPr>
          <w:p w14:paraId="02F28070" w14:textId="77777777" w:rsidR="00E57CFC" w:rsidRPr="00C9207C" w:rsidRDefault="00E57CFC" w:rsidP="00334CC6">
            <w:pPr>
              <w:spacing w:after="0" w:line="20" w:lineRule="atLeast"/>
              <w:rPr>
                <w:rFonts w:ascii="Arial" w:eastAsia="Times New Roman" w:hAnsi="Arial" w:cs="Arial"/>
                <w:sz w:val="20"/>
                <w:szCs w:val="20"/>
                <w:lang w:val="en-AU"/>
              </w:rPr>
            </w:pPr>
          </w:p>
        </w:tc>
      </w:tr>
    </w:tbl>
    <w:p w14:paraId="674B8DA4" w14:textId="77777777" w:rsidR="005F44DC" w:rsidRPr="00C9207C" w:rsidRDefault="005F44DC" w:rsidP="00A51927">
      <w:pPr>
        <w:spacing w:after="0" w:line="240" w:lineRule="auto"/>
        <w:rPr>
          <w:rFonts w:ascii="Arial" w:eastAsia="Times New Roman" w:hAnsi="Arial" w:cs="Arial"/>
          <w:sz w:val="20"/>
          <w:szCs w:val="20"/>
          <w:lang w:val="en-AU"/>
        </w:rPr>
      </w:pPr>
    </w:p>
    <w:p w14:paraId="5885BEC5" w14:textId="434332C7" w:rsidR="00F8293A" w:rsidRPr="00C9207C" w:rsidRDefault="00F8293A" w:rsidP="00A51927">
      <w:pPr>
        <w:spacing w:after="0" w:line="240" w:lineRule="auto"/>
        <w:rPr>
          <w:rFonts w:ascii="Arial" w:eastAsia="Times New Roman" w:hAnsi="Arial" w:cs="Arial"/>
          <w:sz w:val="20"/>
          <w:szCs w:val="20"/>
          <w:highlight w:val="yellow"/>
          <w:lang w:val="en-AU"/>
        </w:rPr>
      </w:pPr>
      <w:r w:rsidRPr="00C9207C">
        <w:rPr>
          <w:rFonts w:ascii="Arial" w:eastAsia="Times New Roman" w:hAnsi="Arial" w:cs="Arial"/>
          <w:sz w:val="20"/>
          <w:szCs w:val="20"/>
          <w:highlight w:val="yellow"/>
          <w:lang w:val="en-AU"/>
        </w:rPr>
        <w:br w:type="page"/>
      </w:r>
    </w:p>
    <w:p w14:paraId="0ED0E5CC" w14:textId="09C69AEE" w:rsidR="00F8293A" w:rsidRPr="004D2156" w:rsidRDefault="0077128E" w:rsidP="00A51927">
      <w:pPr>
        <w:pStyle w:val="Heading1"/>
        <w:jc w:val="left"/>
        <w:rPr>
          <w:rFonts w:ascii="Arial" w:hAnsi="Arial" w:cs="Arial"/>
          <w:lang w:val="en-AU"/>
        </w:rPr>
      </w:pPr>
      <w:bookmarkStart w:id="19" w:name="_Toc70062050"/>
      <w:bookmarkStart w:id="20" w:name="_Toc232169348"/>
      <w:r w:rsidRPr="004D2156">
        <w:rPr>
          <w:rFonts w:ascii="Arial" w:hAnsi="Arial" w:cs="Arial"/>
        </w:rPr>
        <w:lastRenderedPageBreak/>
        <w:t>3.3</w:t>
      </w:r>
      <w:r w:rsidRPr="004D2156">
        <w:rPr>
          <w:rFonts w:ascii="Arial" w:hAnsi="Arial" w:cs="Arial"/>
        </w:rPr>
        <w:tab/>
      </w:r>
      <w:r w:rsidR="6CA87280" w:rsidRPr="004D2156">
        <w:rPr>
          <w:rFonts w:ascii="Arial" w:hAnsi="Arial" w:cs="Arial"/>
        </w:rPr>
        <w:t>Remuneration Report</w:t>
      </w:r>
      <w:bookmarkEnd w:id="19"/>
      <w:bookmarkEnd w:id="20"/>
    </w:p>
    <w:p w14:paraId="638457E2" w14:textId="77777777" w:rsidR="004146B6" w:rsidRPr="00C9207C" w:rsidRDefault="004146B6" w:rsidP="00A51927">
      <w:pPr>
        <w:spacing w:after="0" w:line="240" w:lineRule="auto"/>
        <w:rPr>
          <w:rFonts w:ascii="Arial" w:hAnsi="Arial" w:cs="Arial"/>
          <w:b/>
          <w:sz w:val="20"/>
          <w:szCs w:val="20"/>
          <w:highlight w:val="yellow"/>
        </w:rPr>
      </w:pPr>
    </w:p>
    <w:p w14:paraId="720A90D3" w14:textId="3D00D1FB" w:rsidR="00A87486" w:rsidRPr="00C10655" w:rsidRDefault="00A87486" w:rsidP="00334CC6">
      <w:pPr>
        <w:spacing w:after="0" w:line="20" w:lineRule="atLeast"/>
        <w:rPr>
          <w:rFonts w:ascii="Arial" w:hAnsi="Arial" w:cs="Arial"/>
          <w:b/>
          <w:sz w:val="20"/>
          <w:szCs w:val="20"/>
        </w:rPr>
      </w:pPr>
      <w:r w:rsidRPr="00C10655">
        <w:rPr>
          <w:rFonts w:ascii="Arial" w:hAnsi="Arial" w:cs="Arial"/>
          <w:b/>
          <w:sz w:val="20"/>
          <w:szCs w:val="20"/>
        </w:rPr>
        <w:t xml:space="preserve">Introduction </w:t>
      </w:r>
    </w:p>
    <w:p w14:paraId="1A62D648" w14:textId="77777777" w:rsidR="00A87486" w:rsidRPr="00C10655" w:rsidRDefault="00A87486" w:rsidP="00334CC6">
      <w:pPr>
        <w:spacing w:after="0" w:line="20" w:lineRule="atLeast"/>
        <w:rPr>
          <w:rFonts w:ascii="Arial" w:hAnsi="Arial" w:cs="Arial"/>
          <w:sz w:val="20"/>
          <w:szCs w:val="20"/>
        </w:rPr>
      </w:pPr>
    </w:p>
    <w:p w14:paraId="3A589ADE" w14:textId="2AB307A0" w:rsidR="00903F8B" w:rsidRPr="00C10655" w:rsidRDefault="00A87486" w:rsidP="00334CC6">
      <w:pPr>
        <w:spacing w:after="0" w:line="20" w:lineRule="atLeast"/>
        <w:rPr>
          <w:rFonts w:ascii="Arial" w:hAnsi="Arial" w:cs="Arial"/>
          <w:sz w:val="20"/>
          <w:szCs w:val="20"/>
        </w:rPr>
      </w:pPr>
      <w:r w:rsidRPr="00C10655">
        <w:rPr>
          <w:rFonts w:ascii="Arial" w:hAnsi="Arial" w:cs="Arial"/>
          <w:sz w:val="20"/>
          <w:szCs w:val="20"/>
        </w:rPr>
        <w:t xml:space="preserve">This Remuneration Report is provided in accordance with the Local Authority Accounts (Scotland) Regulations 2014. </w:t>
      </w:r>
      <w:r w:rsidR="00903F8B" w:rsidRPr="00C10655">
        <w:rPr>
          <w:rFonts w:ascii="Arial" w:hAnsi="Arial" w:cs="Arial"/>
          <w:sz w:val="20"/>
          <w:szCs w:val="20"/>
        </w:rPr>
        <w:t xml:space="preserve">It discloses information relating to the remuneration and pension benefits of specified </w:t>
      </w:r>
      <w:r w:rsidR="00023667">
        <w:rPr>
          <w:rFonts w:ascii="Arial" w:hAnsi="Arial" w:cs="Arial"/>
          <w:sz w:val="20"/>
          <w:szCs w:val="20"/>
        </w:rPr>
        <w:t>m</w:t>
      </w:r>
      <w:r w:rsidR="00903F8B" w:rsidRPr="00C10655">
        <w:rPr>
          <w:rFonts w:ascii="Arial" w:hAnsi="Arial" w:cs="Arial"/>
          <w:sz w:val="20"/>
          <w:szCs w:val="20"/>
        </w:rPr>
        <w:t xml:space="preserve">embers and </w:t>
      </w:r>
      <w:r w:rsidR="00361BCD" w:rsidRPr="00C10655">
        <w:rPr>
          <w:rFonts w:ascii="Arial" w:hAnsi="Arial" w:cs="Arial"/>
          <w:sz w:val="20"/>
          <w:szCs w:val="20"/>
        </w:rPr>
        <w:t>s</w:t>
      </w:r>
      <w:r w:rsidR="00023667">
        <w:rPr>
          <w:rFonts w:ascii="Arial" w:hAnsi="Arial" w:cs="Arial"/>
          <w:sz w:val="20"/>
          <w:szCs w:val="20"/>
        </w:rPr>
        <w:t>enior officers of the IJB</w:t>
      </w:r>
      <w:r w:rsidR="00361BCD" w:rsidRPr="00C10655">
        <w:rPr>
          <w:rFonts w:ascii="Arial" w:hAnsi="Arial" w:cs="Arial"/>
          <w:sz w:val="20"/>
          <w:szCs w:val="20"/>
        </w:rPr>
        <w:t>.</w:t>
      </w:r>
    </w:p>
    <w:p w14:paraId="6FB77E30" w14:textId="77777777" w:rsidR="00903F8B" w:rsidRPr="00C10655" w:rsidRDefault="00903F8B" w:rsidP="00334CC6">
      <w:pPr>
        <w:spacing w:after="0" w:line="20" w:lineRule="atLeast"/>
        <w:rPr>
          <w:rFonts w:ascii="Arial" w:hAnsi="Arial" w:cs="Arial"/>
          <w:sz w:val="20"/>
          <w:szCs w:val="20"/>
        </w:rPr>
      </w:pPr>
    </w:p>
    <w:p w14:paraId="5D6DFDD3" w14:textId="77777777" w:rsidR="008B4C1E" w:rsidRPr="00391500" w:rsidRDefault="008B4C1E" w:rsidP="00334CC6">
      <w:pPr>
        <w:spacing w:after="0" w:line="20" w:lineRule="atLeast"/>
        <w:rPr>
          <w:rFonts w:ascii="Arial" w:hAnsi="Arial" w:cs="Arial"/>
          <w:sz w:val="20"/>
          <w:szCs w:val="20"/>
        </w:rPr>
      </w:pPr>
      <w:r>
        <w:rPr>
          <w:rFonts w:ascii="Arial" w:hAnsi="Arial" w:cs="Arial"/>
          <w:sz w:val="20"/>
          <w:szCs w:val="20"/>
        </w:rPr>
        <w:t>For the purposes of this report, remuneration includes salary, fees and allowances, taxable expenses and any compensation for loss of office, where applicable, but excludes employer pension contributions. Pension benefits are disclosed separately where required.</w:t>
      </w:r>
    </w:p>
    <w:p w14:paraId="4FC3BF71" w14:textId="77777777" w:rsidR="00391500" w:rsidRDefault="00391500" w:rsidP="00334CC6">
      <w:pPr>
        <w:spacing w:after="0" w:line="20" w:lineRule="atLeast"/>
        <w:rPr>
          <w:rFonts w:ascii="Arial" w:hAnsi="Arial" w:cs="Arial"/>
          <w:sz w:val="20"/>
          <w:szCs w:val="20"/>
        </w:rPr>
      </w:pPr>
    </w:p>
    <w:p w14:paraId="5EA4865C" w14:textId="77777777" w:rsidR="007D3B01" w:rsidRPr="00C10655" w:rsidRDefault="007D3B01" w:rsidP="00334CC6">
      <w:pPr>
        <w:spacing w:after="0" w:line="20" w:lineRule="atLeast"/>
        <w:rPr>
          <w:rFonts w:ascii="Arial" w:hAnsi="Arial" w:cs="Arial"/>
          <w:sz w:val="20"/>
          <w:szCs w:val="20"/>
        </w:rPr>
      </w:pPr>
      <w:r w:rsidRPr="00C10655">
        <w:rPr>
          <w:rFonts w:ascii="Arial" w:hAnsi="Arial" w:cs="Arial"/>
          <w:sz w:val="20"/>
          <w:szCs w:val="20"/>
        </w:rPr>
        <w:t>The information in the tables below is subject to external audit. The explanatory text in the Remuneration Report is reviewed by the external auditor to ensure it is consistent with the financial statements.</w:t>
      </w:r>
    </w:p>
    <w:p w14:paraId="1C56DBBC" w14:textId="77777777" w:rsidR="00361BCD" w:rsidRPr="00C10655" w:rsidRDefault="00361BCD" w:rsidP="00334CC6">
      <w:pPr>
        <w:spacing w:after="0" w:line="20" w:lineRule="atLeast"/>
        <w:rPr>
          <w:rFonts w:ascii="Arial" w:hAnsi="Arial" w:cs="Arial"/>
          <w:sz w:val="20"/>
          <w:szCs w:val="20"/>
        </w:rPr>
      </w:pPr>
    </w:p>
    <w:p w14:paraId="25C5190C" w14:textId="1DC641F7" w:rsidR="00361BCD" w:rsidRPr="00C10655" w:rsidRDefault="00361BCD" w:rsidP="00334CC6">
      <w:pPr>
        <w:spacing w:after="0" w:line="20" w:lineRule="atLeast"/>
        <w:rPr>
          <w:rFonts w:ascii="Arial" w:hAnsi="Arial" w:cs="Arial"/>
          <w:b/>
          <w:sz w:val="20"/>
          <w:szCs w:val="20"/>
        </w:rPr>
      </w:pPr>
      <w:r w:rsidRPr="00C10655">
        <w:rPr>
          <w:rFonts w:ascii="Arial" w:hAnsi="Arial" w:cs="Arial"/>
          <w:b/>
          <w:sz w:val="20"/>
          <w:szCs w:val="20"/>
        </w:rPr>
        <w:t xml:space="preserve">Remuneration: IJB </w:t>
      </w:r>
      <w:r w:rsidR="0095153B" w:rsidRPr="00C10655">
        <w:rPr>
          <w:rFonts w:ascii="Arial" w:hAnsi="Arial" w:cs="Arial"/>
          <w:b/>
          <w:sz w:val="20"/>
          <w:szCs w:val="20"/>
        </w:rPr>
        <w:t>Chair and Vice</w:t>
      </w:r>
      <w:r w:rsidR="00943669" w:rsidRPr="00C10655">
        <w:rPr>
          <w:rFonts w:ascii="Arial" w:hAnsi="Arial" w:cs="Arial"/>
          <w:b/>
          <w:sz w:val="20"/>
          <w:szCs w:val="20"/>
        </w:rPr>
        <w:t>-</w:t>
      </w:r>
      <w:r w:rsidR="0095153B" w:rsidRPr="00C10655">
        <w:rPr>
          <w:rFonts w:ascii="Arial" w:hAnsi="Arial" w:cs="Arial"/>
          <w:b/>
          <w:sz w:val="20"/>
          <w:szCs w:val="20"/>
        </w:rPr>
        <w:t>Chair</w:t>
      </w:r>
    </w:p>
    <w:p w14:paraId="4E2F7CEA" w14:textId="77777777" w:rsidR="00361BCD" w:rsidRPr="00C10655" w:rsidRDefault="00361BCD" w:rsidP="00334CC6">
      <w:pPr>
        <w:spacing w:after="0" w:line="20" w:lineRule="atLeast"/>
        <w:rPr>
          <w:rFonts w:ascii="Arial" w:hAnsi="Arial" w:cs="Arial"/>
          <w:sz w:val="20"/>
          <w:szCs w:val="20"/>
        </w:rPr>
      </w:pPr>
    </w:p>
    <w:p w14:paraId="4489B915" w14:textId="59DD68E3" w:rsidR="007C4A4E" w:rsidRPr="00C10655" w:rsidRDefault="00361BCD" w:rsidP="00334CC6">
      <w:pPr>
        <w:spacing w:after="0" w:line="20" w:lineRule="atLeast"/>
        <w:rPr>
          <w:rFonts w:ascii="Arial" w:hAnsi="Arial" w:cs="Arial"/>
          <w:sz w:val="20"/>
          <w:szCs w:val="20"/>
        </w:rPr>
      </w:pPr>
      <w:r w:rsidRPr="00C10655">
        <w:rPr>
          <w:rFonts w:ascii="Arial" w:hAnsi="Arial" w:cs="Arial"/>
          <w:sz w:val="20"/>
          <w:szCs w:val="20"/>
        </w:rPr>
        <w:t xml:space="preserve">The voting members of the IJB </w:t>
      </w:r>
      <w:r w:rsidR="00295EE5" w:rsidRPr="00C10655">
        <w:rPr>
          <w:rFonts w:ascii="Arial" w:hAnsi="Arial" w:cs="Arial"/>
          <w:sz w:val="20"/>
          <w:szCs w:val="20"/>
        </w:rPr>
        <w:t>are</w:t>
      </w:r>
      <w:r w:rsidRPr="00C10655">
        <w:rPr>
          <w:rFonts w:ascii="Arial" w:hAnsi="Arial" w:cs="Arial"/>
          <w:sz w:val="20"/>
          <w:szCs w:val="20"/>
        </w:rPr>
        <w:t xml:space="preserve"> appointed through nomination by </w:t>
      </w:r>
      <w:r w:rsidR="00E206ED" w:rsidRPr="00C10655">
        <w:rPr>
          <w:rFonts w:ascii="Arial" w:hAnsi="Arial" w:cs="Arial"/>
          <w:sz w:val="20"/>
          <w:szCs w:val="20"/>
        </w:rPr>
        <w:t>Aberdeen City Council</w:t>
      </w:r>
      <w:r w:rsidRPr="00C10655">
        <w:rPr>
          <w:rFonts w:ascii="Arial" w:hAnsi="Arial" w:cs="Arial"/>
          <w:sz w:val="20"/>
          <w:szCs w:val="20"/>
        </w:rPr>
        <w:t xml:space="preserve"> and </w:t>
      </w:r>
      <w:r w:rsidR="00E206ED" w:rsidRPr="00C10655">
        <w:rPr>
          <w:rFonts w:ascii="Arial" w:hAnsi="Arial" w:cs="Arial"/>
          <w:sz w:val="20"/>
          <w:szCs w:val="20"/>
        </w:rPr>
        <w:t xml:space="preserve">NHS Grampian. </w:t>
      </w:r>
      <w:r w:rsidRPr="00C10655">
        <w:rPr>
          <w:rFonts w:ascii="Arial" w:hAnsi="Arial" w:cs="Arial"/>
          <w:sz w:val="20"/>
          <w:szCs w:val="20"/>
        </w:rPr>
        <w:t xml:space="preserve"> </w:t>
      </w:r>
      <w:r w:rsidR="00183791" w:rsidRPr="00C10655">
        <w:rPr>
          <w:rFonts w:ascii="Arial" w:hAnsi="Arial" w:cs="Arial"/>
          <w:sz w:val="20"/>
          <w:szCs w:val="20"/>
        </w:rPr>
        <w:t>The positions</w:t>
      </w:r>
      <w:r w:rsidR="007C4A4E" w:rsidRPr="00C10655">
        <w:rPr>
          <w:rFonts w:ascii="Arial" w:hAnsi="Arial" w:cs="Arial"/>
          <w:sz w:val="20"/>
          <w:szCs w:val="20"/>
        </w:rPr>
        <w:t xml:space="preserve"> of IJB </w:t>
      </w:r>
      <w:r w:rsidR="0095153B" w:rsidRPr="00C10655">
        <w:rPr>
          <w:rFonts w:ascii="Arial" w:hAnsi="Arial" w:cs="Arial"/>
          <w:sz w:val="20"/>
          <w:szCs w:val="20"/>
        </w:rPr>
        <w:t>Chair and Vice</w:t>
      </w:r>
      <w:r w:rsidR="00943669" w:rsidRPr="00C10655">
        <w:rPr>
          <w:rFonts w:ascii="Arial" w:hAnsi="Arial" w:cs="Arial"/>
          <w:sz w:val="20"/>
          <w:szCs w:val="20"/>
        </w:rPr>
        <w:t>-</w:t>
      </w:r>
      <w:r w:rsidR="0095153B" w:rsidRPr="00C10655">
        <w:rPr>
          <w:rFonts w:ascii="Arial" w:hAnsi="Arial" w:cs="Arial"/>
          <w:sz w:val="20"/>
          <w:szCs w:val="20"/>
        </w:rPr>
        <w:t xml:space="preserve">Chair </w:t>
      </w:r>
      <w:r w:rsidR="00183791" w:rsidRPr="00C10655">
        <w:rPr>
          <w:rFonts w:ascii="Arial" w:hAnsi="Arial" w:cs="Arial"/>
          <w:sz w:val="20"/>
          <w:szCs w:val="20"/>
        </w:rPr>
        <w:t>alternate between a</w:t>
      </w:r>
      <w:r w:rsidR="007C4A4E" w:rsidRPr="00C10655">
        <w:rPr>
          <w:rFonts w:ascii="Arial" w:hAnsi="Arial" w:cs="Arial"/>
          <w:sz w:val="20"/>
          <w:szCs w:val="20"/>
        </w:rPr>
        <w:t xml:space="preserve"> Councillor and a Health Board representative</w:t>
      </w:r>
      <w:r w:rsidR="00E206ED" w:rsidRPr="00C10655">
        <w:rPr>
          <w:rFonts w:ascii="Arial" w:hAnsi="Arial" w:cs="Arial"/>
          <w:sz w:val="20"/>
          <w:szCs w:val="20"/>
        </w:rPr>
        <w:t xml:space="preserve"> every two year</w:t>
      </w:r>
      <w:r w:rsidR="00183791" w:rsidRPr="00C10655">
        <w:rPr>
          <w:rFonts w:ascii="Arial" w:hAnsi="Arial" w:cs="Arial"/>
          <w:sz w:val="20"/>
          <w:szCs w:val="20"/>
        </w:rPr>
        <w:t>s</w:t>
      </w:r>
      <w:r w:rsidR="007C4A4E" w:rsidRPr="00C10655">
        <w:rPr>
          <w:rFonts w:ascii="Arial" w:hAnsi="Arial" w:cs="Arial"/>
          <w:sz w:val="20"/>
          <w:szCs w:val="20"/>
        </w:rPr>
        <w:t xml:space="preserve">. </w:t>
      </w:r>
    </w:p>
    <w:p w14:paraId="1D828B7D" w14:textId="1CA4812D" w:rsidR="0095153B" w:rsidRPr="00C10655" w:rsidRDefault="0095153B" w:rsidP="00334CC6">
      <w:pPr>
        <w:spacing w:after="0" w:line="20" w:lineRule="atLeast"/>
        <w:rPr>
          <w:rFonts w:ascii="Arial" w:hAnsi="Arial" w:cs="Arial"/>
          <w:sz w:val="20"/>
          <w:szCs w:val="20"/>
        </w:rPr>
      </w:pPr>
    </w:p>
    <w:p w14:paraId="1110838E" w14:textId="0C3BF550" w:rsidR="00361BCD" w:rsidRPr="00C10655" w:rsidRDefault="00361BCD" w:rsidP="00334CC6">
      <w:pPr>
        <w:spacing w:after="0" w:line="20" w:lineRule="atLeast"/>
        <w:rPr>
          <w:rFonts w:ascii="Arial" w:hAnsi="Arial" w:cs="Arial"/>
          <w:sz w:val="20"/>
          <w:szCs w:val="20"/>
        </w:rPr>
      </w:pPr>
      <w:r w:rsidRPr="00C10655">
        <w:rPr>
          <w:rFonts w:ascii="Arial" w:hAnsi="Arial" w:cs="Arial"/>
          <w:sz w:val="20"/>
          <w:szCs w:val="20"/>
        </w:rPr>
        <w:t>The IJB does not provide any additional remuneration</w:t>
      </w:r>
      <w:r w:rsidR="00E350B6" w:rsidRPr="00C10655">
        <w:rPr>
          <w:rFonts w:ascii="Arial" w:hAnsi="Arial" w:cs="Arial"/>
          <w:sz w:val="20"/>
          <w:szCs w:val="20"/>
        </w:rPr>
        <w:t xml:space="preserve"> </w:t>
      </w:r>
      <w:r w:rsidRPr="00C10655">
        <w:rPr>
          <w:rFonts w:ascii="Arial" w:hAnsi="Arial" w:cs="Arial"/>
          <w:sz w:val="20"/>
          <w:szCs w:val="20"/>
        </w:rPr>
        <w:t xml:space="preserve">to </w:t>
      </w:r>
      <w:r w:rsidR="007C4A4E" w:rsidRPr="00C10655">
        <w:rPr>
          <w:rFonts w:ascii="Arial" w:hAnsi="Arial" w:cs="Arial"/>
          <w:sz w:val="20"/>
          <w:szCs w:val="20"/>
        </w:rPr>
        <w:t>the Chair, Vice</w:t>
      </w:r>
      <w:r w:rsidR="00943669" w:rsidRPr="00C10655">
        <w:rPr>
          <w:rFonts w:ascii="Arial" w:hAnsi="Arial" w:cs="Arial"/>
          <w:sz w:val="20"/>
          <w:szCs w:val="20"/>
        </w:rPr>
        <w:t>-</w:t>
      </w:r>
      <w:r w:rsidR="007C4A4E" w:rsidRPr="00C10655">
        <w:rPr>
          <w:rFonts w:ascii="Arial" w:hAnsi="Arial" w:cs="Arial"/>
          <w:sz w:val="20"/>
          <w:szCs w:val="20"/>
        </w:rPr>
        <w:t xml:space="preserve">Chair or any other </w:t>
      </w:r>
      <w:r w:rsidRPr="00C10655">
        <w:rPr>
          <w:rFonts w:ascii="Arial" w:hAnsi="Arial" w:cs="Arial"/>
          <w:sz w:val="20"/>
          <w:szCs w:val="20"/>
        </w:rPr>
        <w:t>board members</w:t>
      </w:r>
      <w:r w:rsidR="00295EE5" w:rsidRPr="00C10655">
        <w:rPr>
          <w:rFonts w:ascii="Arial" w:hAnsi="Arial" w:cs="Arial"/>
          <w:sz w:val="20"/>
          <w:szCs w:val="20"/>
        </w:rPr>
        <w:t xml:space="preserve"> re</w:t>
      </w:r>
      <w:r w:rsidR="0074557B" w:rsidRPr="00C10655">
        <w:rPr>
          <w:rFonts w:ascii="Arial" w:hAnsi="Arial" w:cs="Arial"/>
          <w:sz w:val="20"/>
          <w:szCs w:val="20"/>
        </w:rPr>
        <w:t>lating</w:t>
      </w:r>
      <w:r w:rsidR="00E350B6" w:rsidRPr="00C10655">
        <w:rPr>
          <w:rFonts w:ascii="Arial" w:hAnsi="Arial" w:cs="Arial"/>
          <w:sz w:val="20"/>
          <w:szCs w:val="20"/>
        </w:rPr>
        <w:t xml:space="preserve"> to their role on the IJB. </w:t>
      </w:r>
      <w:r w:rsidR="00A00726" w:rsidRPr="00C10655">
        <w:rPr>
          <w:rFonts w:ascii="Arial" w:hAnsi="Arial" w:cs="Arial"/>
          <w:sz w:val="20"/>
          <w:szCs w:val="20"/>
        </w:rPr>
        <w:t xml:space="preserve">The IJB does not reimburse the relevant partner organisations for any voting board member costs borne by the partner. </w:t>
      </w:r>
      <w:r w:rsidR="007C4A4E" w:rsidRPr="00C10655">
        <w:rPr>
          <w:rFonts w:ascii="Arial" w:hAnsi="Arial" w:cs="Arial"/>
          <w:sz w:val="20"/>
          <w:szCs w:val="20"/>
        </w:rPr>
        <w:t>The details of the Chair and Vice</w:t>
      </w:r>
      <w:r w:rsidR="00943669" w:rsidRPr="00C10655">
        <w:rPr>
          <w:rFonts w:ascii="Arial" w:hAnsi="Arial" w:cs="Arial"/>
          <w:sz w:val="20"/>
          <w:szCs w:val="20"/>
        </w:rPr>
        <w:t>-</w:t>
      </w:r>
      <w:r w:rsidR="007C4A4E" w:rsidRPr="00C10655">
        <w:rPr>
          <w:rFonts w:ascii="Arial" w:hAnsi="Arial" w:cs="Arial"/>
          <w:sz w:val="20"/>
          <w:szCs w:val="20"/>
        </w:rPr>
        <w:t>Chair appointments and any taxable expenses</w:t>
      </w:r>
      <w:r w:rsidR="00A00726" w:rsidRPr="00C10655">
        <w:rPr>
          <w:rFonts w:ascii="Arial" w:hAnsi="Arial" w:cs="Arial"/>
          <w:sz w:val="20"/>
          <w:szCs w:val="20"/>
        </w:rPr>
        <w:t xml:space="preserve"> paid by the IJB </w:t>
      </w:r>
      <w:r w:rsidR="007C4A4E" w:rsidRPr="00C10655">
        <w:rPr>
          <w:rFonts w:ascii="Arial" w:hAnsi="Arial" w:cs="Arial"/>
          <w:sz w:val="20"/>
          <w:szCs w:val="20"/>
        </w:rPr>
        <w:t>are shown below.</w:t>
      </w:r>
    </w:p>
    <w:p w14:paraId="419392E3" w14:textId="77777777" w:rsidR="00361BCD" w:rsidRPr="00C10655" w:rsidRDefault="00361BCD" w:rsidP="00A51927">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1816"/>
        <w:gridCol w:w="2039"/>
        <w:gridCol w:w="1300"/>
        <w:gridCol w:w="2045"/>
        <w:gridCol w:w="1816"/>
      </w:tblGrid>
      <w:tr w:rsidR="00F80E5D" w:rsidRPr="00C10655" w14:paraId="2A84209D" w14:textId="77777777" w:rsidTr="00FB108E">
        <w:tc>
          <w:tcPr>
            <w:tcW w:w="0" w:type="auto"/>
          </w:tcPr>
          <w:p w14:paraId="3BF97670"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Taxable Expenses</w:t>
            </w:r>
          </w:p>
          <w:p w14:paraId="6C416E51"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bCs/>
                <w:sz w:val="20"/>
                <w:szCs w:val="20"/>
              </w:rPr>
              <w:t>2024/25</w:t>
            </w:r>
          </w:p>
          <w:p w14:paraId="25320C25"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w:t>
            </w:r>
          </w:p>
        </w:tc>
        <w:tc>
          <w:tcPr>
            <w:tcW w:w="0" w:type="auto"/>
          </w:tcPr>
          <w:p w14:paraId="0C089E84"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Name</w:t>
            </w:r>
          </w:p>
        </w:tc>
        <w:tc>
          <w:tcPr>
            <w:tcW w:w="0" w:type="auto"/>
          </w:tcPr>
          <w:p w14:paraId="41B5F4D6"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Post(s) Held</w:t>
            </w:r>
          </w:p>
        </w:tc>
        <w:tc>
          <w:tcPr>
            <w:tcW w:w="0" w:type="auto"/>
          </w:tcPr>
          <w:p w14:paraId="7C7E8922"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Nominated by</w:t>
            </w:r>
          </w:p>
        </w:tc>
        <w:tc>
          <w:tcPr>
            <w:tcW w:w="0" w:type="auto"/>
          </w:tcPr>
          <w:p w14:paraId="1D5FE3ED"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Taxable Expenses</w:t>
            </w:r>
          </w:p>
          <w:p w14:paraId="02B7B745"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bCs/>
                <w:sz w:val="20"/>
                <w:szCs w:val="20"/>
              </w:rPr>
              <w:t>2025/26</w:t>
            </w:r>
          </w:p>
          <w:p w14:paraId="5CFE8012"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w:t>
            </w:r>
          </w:p>
        </w:tc>
      </w:tr>
      <w:tr w:rsidR="00C3237E" w:rsidRPr="00C10655" w14:paraId="409B63C4" w14:textId="77777777" w:rsidTr="00FB108E">
        <w:tc>
          <w:tcPr>
            <w:tcW w:w="0" w:type="auto"/>
            <w:shd w:val="clear" w:color="auto" w:fill="FFFFFF" w:themeFill="background1"/>
          </w:tcPr>
          <w:p w14:paraId="7702BAB4" w14:textId="2894E773" w:rsidR="00C3237E" w:rsidRPr="00C10655" w:rsidRDefault="00C3237E" w:rsidP="00C3237E">
            <w:pPr>
              <w:spacing w:after="0" w:line="240" w:lineRule="auto"/>
              <w:jc w:val="center"/>
              <w:rPr>
                <w:rFonts w:ascii="Arial" w:hAnsi="Arial" w:cs="Arial"/>
                <w:sz w:val="20"/>
                <w:szCs w:val="20"/>
              </w:rPr>
            </w:pPr>
            <w:r w:rsidRPr="00C10655">
              <w:rPr>
                <w:rFonts w:ascii="Arial" w:hAnsi="Arial" w:cs="Arial"/>
                <w:sz w:val="20"/>
                <w:szCs w:val="20"/>
              </w:rPr>
              <w:t>Nil</w:t>
            </w:r>
          </w:p>
        </w:tc>
        <w:tc>
          <w:tcPr>
            <w:tcW w:w="0" w:type="auto"/>
            <w:shd w:val="clear" w:color="auto" w:fill="FFFFFF" w:themeFill="background1"/>
          </w:tcPr>
          <w:p w14:paraId="3EC17BB5" w14:textId="737FE3B1" w:rsidR="00C3237E" w:rsidRPr="00C10655" w:rsidRDefault="00C3237E" w:rsidP="00C3237E">
            <w:pPr>
              <w:spacing w:after="0" w:line="240" w:lineRule="auto"/>
              <w:rPr>
                <w:rFonts w:ascii="Arial" w:hAnsi="Arial" w:cs="Arial"/>
                <w:sz w:val="20"/>
                <w:szCs w:val="20"/>
              </w:rPr>
            </w:pPr>
            <w:r w:rsidRPr="00C10655">
              <w:rPr>
                <w:rFonts w:ascii="Arial" w:hAnsi="Arial" w:cs="Arial"/>
                <w:sz w:val="20"/>
                <w:szCs w:val="20"/>
              </w:rPr>
              <w:t>Hussein Patwa</w:t>
            </w:r>
          </w:p>
        </w:tc>
        <w:tc>
          <w:tcPr>
            <w:tcW w:w="0" w:type="auto"/>
            <w:shd w:val="clear" w:color="auto" w:fill="FFFFFF" w:themeFill="background1"/>
          </w:tcPr>
          <w:p w14:paraId="1FB3B363" w14:textId="421AEFEC" w:rsidR="00C3237E" w:rsidRPr="00C10655" w:rsidRDefault="00C3237E" w:rsidP="00C3237E">
            <w:pPr>
              <w:spacing w:after="0" w:line="240" w:lineRule="auto"/>
              <w:rPr>
                <w:rFonts w:ascii="Arial" w:hAnsi="Arial" w:cs="Arial"/>
                <w:sz w:val="20"/>
                <w:szCs w:val="20"/>
              </w:rPr>
            </w:pPr>
            <w:r w:rsidRPr="00C10655">
              <w:rPr>
                <w:rFonts w:ascii="Arial" w:hAnsi="Arial" w:cs="Arial"/>
                <w:sz w:val="20"/>
                <w:szCs w:val="20"/>
              </w:rPr>
              <w:t xml:space="preserve">Chair </w:t>
            </w:r>
          </w:p>
        </w:tc>
        <w:tc>
          <w:tcPr>
            <w:tcW w:w="0" w:type="auto"/>
          </w:tcPr>
          <w:p w14:paraId="4BF58E44" w14:textId="4B800522" w:rsidR="00C3237E" w:rsidRPr="00C10655" w:rsidRDefault="00C3237E" w:rsidP="00C3237E">
            <w:pPr>
              <w:spacing w:after="0" w:line="240" w:lineRule="auto"/>
              <w:rPr>
                <w:rFonts w:ascii="Arial" w:hAnsi="Arial" w:cs="Arial"/>
                <w:sz w:val="20"/>
                <w:szCs w:val="20"/>
              </w:rPr>
            </w:pPr>
            <w:r w:rsidRPr="00C10655">
              <w:rPr>
                <w:rFonts w:ascii="Arial" w:hAnsi="Arial" w:cs="Arial"/>
                <w:sz w:val="20"/>
                <w:szCs w:val="20"/>
              </w:rPr>
              <w:t>NHS Grampian</w:t>
            </w:r>
          </w:p>
        </w:tc>
        <w:tc>
          <w:tcPr>
            <w:tcW w:w="0" w:type="auto"/>
          </w:tcPr>
          <w:p w14:paraId="265FB47A" w14:textId="0951C06C" w:rsidR="00C3237E" w:rsidRPr="00C10655" w:rsidRDefault="00C3237E" w:rsidP="00C3237E">
            <w:pPr>
              <w:spacing w:after="0" w:line="240" w:lineRule="auto"/>
              <w:jc w:val="center"/>
              <w:rPr>
                <w:rFonts w:ascii="Arial" w:hAnsi="Arial" w:cs="Arial"/>
                <w:sz w:val="20"/>
                <w:szCs w:val="20"/>
              </w:rPr>
            </w:pPr>
            <w:r w:rsidRPr="00C10655">
              <w:rPr>
                <w:rFonts w:ascii="Arial" w:hAnsi="Arial" w:cs="Arial"/>
                <w:sz w:val="20"/>
                <w:szCs w:val="20"/>
              </w:rPr>
              <w:t>Nil</w:t>
            </w:r>
          </w:p>
        </w:tc>
      </w:tr>
      <w:tr w:rsidR="00F80E5D" w:rsidRPr="00C10655" w14:paraId="1481F106" w14:textId="77777777" w:rsidTr="00FB108E">
        <w:tc>
          <w:tcPr>
            <w:tcW w:w="0" w:type="auto"/>
            <w:shd w:val="clear" w:color="auto" w:fill="FFFFFF" w:themeFill="background1"/>
          </w:tcPr>
          <w:p w14:paraId="29E3EAFF" w14:textId="77777777" w:rsidR="00F80E5D" w:rsidRPr="00C10655" w:rsidRDefault="00F80E5D" w:rsidP="00FB108E">
            <w:pPr>
              <w:spacing w:after="0" w:line="240" w:lineRule="auto"/>
              <w:jc w:val="center"/>
              <w:rPr>
                <w:rFonts w:ascii="Arial" w:hAnsi="Arial" w:cs="Arial"/>
                <w:sz w:val="20"/>
                <w:szCs w:val="20"/>
              </w:rPr>
            </w:pPr>
            <w:r w:rsidRPr="00C10655">
              <w:rPr>
                <w:rFonts w:ascii="Arial" w:hAnsi="Arial" w:cs="Arial"/>
                <w:sz w:val="20"/>
                <w:szCs w:val="20"/>
              </w:rPr>
              <w:t>Nil</w:t>
            </w:r>
          </w:p>
        </w:tc>
        <w:tc>
          <w:tcPr>
            <w:tcW w:w="0" w:type="auto"/>
            <w:shd w:val="clear" w:color="auto" w:fill="FFFFFF" w:themeFill="background1"/>
          </w:tcPr>
          <w:p w14:paraId="27BB08D0" w14:textId="37FFA431" w:rsidR="00F80E5D" w:rsidRPr="00C10655" w:rsidRDefault="00A412EB" w:rsidP="00A51927">
            <w:pPr>
              <w:spacing w:after="0" w:line="240" w:lineRule="auto"/>
              <w:rPr>
                <w:rFonts w:ascii="Arial" w:hAnsi="Arial" w:cs="Arial"/>
                <w:sz w:val="20"/>
                <w:szCs w:val="20"/>
              </w:rPr>
            </w:pPr>
            <w:r w:rsidRPr="00C10655">
              <w:rPr>
                <w:rFonts w:ascii="Arial" w:hAnsi="Arial" w:cs="Arial"/>
                <w:sz w:val="20"/>
                <w:szCs w:val="20"/>
              </w:rPr>
              <w:t>C</w:t>
            </w:r>
            <w:r>
              <w:rPr>
                <w:rFonts w:ascii="Arial" w:hAnsi="Arial" w:cs="Arial"/>
                <w:sz w:val="20"/>
                <w:szCs w:val="20"/>
              </w:rPr>
              <w:t>ouncillor</w:t>
            </w:r>
            <w:r w:rsidR="00F80E5D" w:rsidRPr="00C10655">
              <w:rPr>
                <w:rFonts w:ascii="Arial" w:hAnsi="Arial" w:cs="Arial"/>
                <w:sz w:val="20"/>
                <w:szCs w:val="20"/>
              </w:rPr>
              <w:t xml:space="preserve"> John Cooke</w:t>
            </w:r>
          </w:p>
        </w:tc>
        <w:tc>
          <w:tcPr>
            <w:tcW w:w="0" w:type="auto"/>
            <w:shd w:val="clear" w:color="auto" w:fill="FFFFFF" w:themeFill="background1"/>
          </w:tcPr>
          <w:p w14:paraId="4D4DD4AD" w14:textId="6BA97F66" w:rsidR="00F80E5D" w:rsidRPr="00C10655" w:rsidRDefault="00C3237E" w:rsidP="00A51927">
            <w:pPr>
              <w:spacing w:after="0" w:line="240" w:lineRule="auto"/>
              <w:rPr>
                <w:rFonts w:ascii="Arial" w:hAnsi="Arial" w:cs="Arial"/>
                <w:sz w:val="20"/>
                <w:szCs w:val="20"/>
              </w:rPr>
            </w:pPr>
            <w:r>
              <w:rPr>
                <w:rFonts w:ascii="Arial" w:hAnsi="Arial" w:cs="Arial"/>
                <w:sz w:val="20"/>
                <w:szCs w:val="20"/>
              </w:rPr>
              <w:t xml:space="preserve">Vice </w:t>
            </w:r>
            <w:r w:rsidR="00F80E5D" w:rsidRPr="00C10655">
              <w:rPr>
                <w:rFonts w:ascii="Arial" w:hAnsi="Arial" w:cs="Arial"/>
                <w:sz w:val="20"/>
                <w:szCs w:val="20"/>
              </w:rPr>
              <w:t>Chair</w:t>
            </w:r>
          </w:p>
          <w:p w14:paraId="3DE4C4C5" w14:textId="77777777" w:rsidR="00F80E5D" w:rsidRPr="00C10655" w:rsidRDefault="00F80E5D" w:rsidP="00A51927">
            <w:pPr>
              <w:spacing w:after="0" w:line="240" w:lineRule="auto"/>
              <w:rPr>
                <w:rFonts w:ascii="Arial" w:hAnsi="Arial" w:cs="Arial"/>
                <w:sz w:val="20"/>
                <w:szCs w:val="20"/>
              </w:rPr>
            </w:pPr>
          </w:p>
        </w:tc>
        <w:tc>
          <w:tcPr>
            <w:tcW w:w="0" w:type="auto"/>
          </w:tcPr>
          <w:p w14:paraId="0C5D7DD4" w14:textId="77777777" w:rsidR="00F80E5D" w:rsidRPr="00C10655" w:rsidRDefault="00F80E5D" w:rsidP="00A51927">
            <w:pPr>
              <w:spacing w:after="0" w:line="240" w:lineRule="auto"/>
              <w:rPr>
                <w:rFonts w:ascii="Arial" w:hAnsi="Arial" w:cs="Arial"/>
                <w:sz w:val="20"/>
                <w:szCs w:val="20"/>
              </w:rPr>
            </w:pPr>
            <w:r w:rsidRPr="00C10655">
              <w:rPr>
                <w:rFonts w:ascii="Arial" w:hAnsi="Arial" w:cs="Arial"/>
                <w:sz w:val="20"/>
                <w:szCs w:val="20"/>
              </w:rPr>
              <w:t>Aberdeen City Council</w:t>
            </w:r>
          </w:p>
        </w:tc>
        <w:tc>
          <w:tcPr>
            <w:tcW w:w="0" w:type="auto"/>
          </w:tcPr>
          <w:p w14:paraId="79B0F3B2" w14:textId="77777777" w:rsidR="00F80E5D" w:rsidRPr="00C10655" w:rsidRDefault="00F80E5D" w:rsidP="00FB108E">
            <w:pPr>
              <w:spacing w:after="0" w:line="240" w:lineRule="auto"/>
              <w:jc w:val="center"/>
              <w:rPr>
                <w:rFonts w:ascii="Arial" w:hAnsi="Arial" w:cs="Arial"/>
                <w:sz w:val="20"/>
                <w:szCs w:val="20"/>
              </w:rPr>
            </w:pPr>
            <w:r w:rsidRPr="00C10655">
              <w:rPr>
                <w:rFonts w:ascii="Arial" w:hAnsi="Arial" w:cs="Arial"/>
                <w:sz w:val="20"/>
                <w:szCs w:val="20"/>
              </w:rPr>
              <w:t>Nil</w:t>
            </w:r>
          </w:p>
        </w:tc>
      </w:tr>
      <w:tr w:rsidR="00F80E5D" w:rsidRPr="00C10655" w14:paraId="707E60DF" w14:textId="77777777" w:rsidTr="00FB108E">
        <w:tc>
          <w:tcPr>
            <w:tcW w:w="0" w:type="auto"/>
          </w:tcPr>
          <w:p w14:paraId="769BC5B1"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Nil</w:t>
            </w:r>
          </w:p>
        </w:tc>
        <w:tc>
          <w:tcPr>
            <w:tcW w:w="0" w:type="auto"/>
            <w:gridSpan w:val="3"/>
          </w:tcPr>
          <w:p w14:paraId="50FC03A5" w14:textId="77777777" w:rsidR="00F80E5D" w:rsidRPr="00C10655" w:rsidRDefault="00F80E5D" w:rsidP="00A51927">
            <w:pPr>
              <w:spacing w:after="0" w:line="240" w:lineRule="auto"/>
              <w:rPr>
                <w:rFonts w:ascii="Arial" w:hAnsi="Arial" w:cs="Arial"/>
                <w:b/>
                <w:sz w:val="20"/>
                <w:szCs w:val="20"/>
              </w:rPr>
            </w:pPr>
            <w:r w:rsidRPr="00C10655">
              <w:rPr>
                <w:rFonts w:ascii="Arial" w:hAnsi="Arial" w:cs="Arial"/>
                <w:b/>
                <w:sz w:val="20"/>
                <w:szCs w:val="20"/>
              </w:rPr>
              <w:t xml:space="preserve">Total </w:t>
            </w:r>
          </w:p>
        </w:tc>
        <w:tc>
          <w:tcPr>
            <w:tcW w:w="0" w:type="auto"/>
          </w:tcPr>
          <w:p w14:paraId="6F24C3F4" w14:textId="77777777" w:rsidR="00F80E5D" w:rsidRPr="00C10655" w:rsidRDefault="00F80E5D" w:rsidP="00FB108E">
            <w:pPr>
              <w:spacing w:after="0" w:line="240" w:lineRule="auto"/>
              <w:jc w:val="center"/>
              <w:rPr>
                <w:rFonts w:ascii="Arial" w:hAnsi="Arial" w:cs="Arial"/>
                <w:b/>
                <w:sz w:val="20"/>
                <w:szCs w:val="20"/>
              </w:rPr>
            </w:pPr>
            <w:r w:rsidRPr="00C10655">
              <w:rPr>
                <w:rFonts w:ascii="Arial" w:hAnsi="Arial" w:cs="Arial"/>
                <w:b/>
                <w:sz w:val="20"/>
                <w:szCs w:val="20"/>
              </w:rPr>
              <w:t>Nil</w:t>
            </w:r>
          </w:p>
        </w:tc>
      </w:tr>
    </w:tbl>
    <w:p w14:paraId="12FA0D50" w14:textId="28CED5CE" w:rsidR="00036A5A" w:rsidRPr="00036A5A" w:rsidRDefault="00036A5A" w:rsidP="00036A5A">
      <w:pPr>
        <w:spacing w:after="0" w:line="240" w:lineRule="auto"/>
        <w:textAlignment w:val="baseline"/>
        <w:rPr>
          <w:rFonts w:ascii="Arial" w:eastAsia="Times New Roman" w:hAnsi="Arial" w:cs="Arial"/>
          <w:i/>
          <w:iCs/>
          <w:sz w:val="20"/>
          <w:szCs w:val="20"/>
          <w:lang w:eastAsia="en-GB"/>
        </w:rPr>
      </w:pPr>
      <w:r>
        <w:rPr>
          <w:rFonts w:ascii="Arial" w:hAnsi="Arial" w:cs="Arial"/>
          <w:i/>
          <w:sz w:val="20"/>
          <w:szCs w:val="20"/>
        </w:rPr>
        <w:t>*Note: The C</w:t>
      </w:r>
      <w:r w:rsidR="00CD6BF6">
        <w:rPr>
          <w:rFonts w:ascii="Arial" w:hAnsi="Arial" w:cs="Arial"/>
          <w:i/>
          <w:sz w:val="20"/>
          <w:szCs w:val="20"/>
        </w:rPr>
        <w:t>hair</w:t>
      </w:r>
      <w:r>
        <w:rPr>
          <w:rFonts w:ascii="Arial" w:hAnsi="Arial" w:cs="Arial"/>
          <w:i/>
          <w:sz w:val="20"/>
          <w:szCs w:val="20"/>
        </w:rPr>
        <w:t xml:space="preserve"> and Vice Chair were appointed </w:t>
      </w:r>
      <w:r w:rsidR="003432D6">
        <w:rPr>
          <w:rFonts w:ascii="Arial" w:hAnsi="Arial" w:cs="Arial"/>
          <w:i/>
          <w:sz w:val="20"/>
          <w:szCs w:val="20"/>
        </w:rPr>
        <w:t xml:space="preserve">to their roles </w:t>
      </w:r>
      <w:r>
        <w:rPr>
          <w:rFonts w:ascii="Arial" w:hAnsi="Arial" w:cs="Arial"/>
          <w:i/>
          <w:sz w:val="20"/>
          <w:szCs w:val="20"/>
        </w:rPr>
        <w:t xml:space="preserve">on </w:t>
      </w:r>
      <w:r w:rsidRPr="00036A5A">
        <w:rPr>
          <w:rFonts w:ascii="Arial" w:eastAsia="Times New Roman" w:hAnsi="Arial" w:cs="Arial"/>
          <w:i/>
          <w:iCs/>
          <w:sz w:val="20"/>
          <w:szCs w:val="20"/>
          <w:lang w:eastAsia="en-GB"/>
        </w:rPr>
        <w:t>26 April 2025</w:t>
      </w:r>
      <w:r>
        <w:rPr>
          <w:rFonts w:ascii="Arial" w:eastAsia="Times New Roman" w:hAnsi="Arial" w:cs="Arial"/>
          <w:i/>
          <w:iCs/>
          <w:sz w:val="20"/>
          <w:szCs w:val="20"/>
          <w:lang w:eastAsia="en-GB"/>
        </w:rPr>
        <w:t>.</w:t>
      </w:r>
      <w:r w:rsidR="003432D6">
        <w:rPr>
          <w:rFonts w:ascii="Arial" w:eastAsia="Times New Roman" w:hAnsi="Arial" w:cs="Arial"/>
          <w:i/>
          <w:iCs/>
          <w:sz w:val="20"/>
          <w:szCs w:val="20"/>
          <w:lang w:eastAsia="en-GB"/>
        </w:rPr>
        <w:t xml:space="preserve">Prior to that </w:t>
      </w:r>
      <w:r w:rsidR="00C3237E">
        <w:rPr>
          <w:rFonts w:ascii="Arial" w:eastAsia="Times New Roman" w:hAnsi="Arial" w:cs="Arial"/>
          <w:i/>
          <w:iCs/>
          <w:sz w:val="20"/>
          <w:szCs w:val="20"/>
          <w:lang w:eastAsia="en-GB"/>
        </w:rPr>
        <w:t>Cllr John Cooke was the Chair and Hussein Patwa as the Vice Chair.</w:t>
      </w:r>
    </w:p>
    <w:p w14:paraId="3620EC9D" w14:textId="1DDD8138" w:rsidR="00F40E25" w:rsidRPr="00C10655" w:rsidRDefault="00F40E25" w:rsidP="00A51927">
      <w:pPr>
        <w:spacing w:after="0" w:line="240" w:lineRule="auto"/>
        <w:rPr>
          <w:rFonts w:ascii="Arial" w:hAnsi="Arial" w:cs="Arial"/>
          <w:i/>
          <w:sz w:val="20"/>
          <w:szCs w:val="20"/>
        </w:rPr>
      </w:pPr>
    </w:p>
    <w:p w14:paraId="6778720A" w14:textId="4789C4A2" w:rsidR="007C4A4E" w:rsidRPr="00C10655" w:rsidRDefault="00F96351" w:rsidP="00334CC6">
      <w:pPr>
        <w:spacing w:after="0" w:line="20" w:lineRule="atLeast"/>
        <w:rPr>
          <w:rFonts w:ascii="Arial" w:hAnsi="Arial" w:cs="Arial"/>
          <w:sz w:val="20"/>
          <w:szCs w:val="20"/>
        </w:rPr>
      </w:pPr>
      <w:r w:rsidRPr="00C10655">
        <w:rPr>
          <w:rFonts w:ascii="Arial" w:hAnsi="Arial" w:cs="Arial"/>
          <w:sz w:val="20"/>
          <w:szCs w:val="20"/>
        </w:rPr>
        <w:t xml:space="preserve">The IJB does not have responsibilities, either in the current year or in future years, for funding any pension entitlements of voting IJB members. </w:t>
      </w:r>
      <w:r w:rsidR="00AF0FF5" w:rsidRPr="00C10655">
        <w:rPr>
          <w:rFonts w:ascii="Arial" w:hAnsi="Arial" w:cs="Arial"/>
          <w:sz w:val="20"/>
          <w:szCs w:val="20"/>
        </w:rPr>
        <w:t>Therefore,</w:t>
      </w:r>
      <w:r w:rsidRPr="00C10655">
        <w:rPr>
          <w:rFonts w:ascii="Arial" w:hAnsi="Arial" w:cs="Arial"/>
          <w:sz w:val="20"/>
          <w:szCs w:val="20"/>
        </w:rPr>
        <w:t xml:space="preserve"> no pension rights disclosures are </w:t>
      </w:r>
      <w:r w:rsidR="008A4F4B" w:rsidRPr="00C10655">
        <w:rPr>
          <w:rFonts w:ascii="Arial" w:hAnsi="Arial" w:cs="Arial"/>
          <w:sz w:val="20"/>
          <w:szCs w:val="20"/>
        </w:rPr>
        <w:t>provided</w:t>
      </w:r>
      <w:r w:rsidRPr="00C10655">
        <w:rPr>
          <w:rFonts w:ascii="Arial" w:hAnsi="Arial" w:cs="Arial"/>
          <w:sz w:val="20"/>
          <w:szCs w:val="20"/>
        </w:rPr>
        <w:t xml:space="preserve"> for the Chair or Vice</w:t>
      </w:r>
      <w:r w:rsidR="00943669" w:rsidRPr="00C10655">
        <w:rPr>
          <w:rFonts w:ascii="Arial" w:hAnsi="Arial" w:cs="Arial"/>
          <w:sz w:val="20"/>
          <w:szCs w:val="20"/>
        </w:rPr>
        <w:t>-</w:t>
      </w:r>
      <w:r w:rsidRPr="00C10655">
        <w:rPr>
          <w:rFonts w:ascii="Arial" w:hAnsi="Arial" w:cs="Arial"/>
          <w:sz w:val="20"/>
          <w:szCs w:val="20"/>
        </w:rPr>
        <w:t>Chair.</w:t>
      </w:r>
      <w:r w:rsidR="00B020C6" w:rsidRPr="00C10655">
        <w:rPr>
          <w:rFonts w:ascii="Arial" w:hAnsi="Arial" w:cs="Arial"/>
          <w:sz w:val="20"/>
          <w:szCs w:val="20"/>
        </w:rPr>
        <w:t xml:space="preserve">   </w:t>
      </w:r>
    </w:p>
    <w:p w14:paraId="10A093F5" w14:textId="77777777" w:rsidR="000135AA" w:rsidRPr="00C10655" w:rsidRDefault="000135AA" w:rsidP="00334CC6">
      <w:pPr>
        <w:tabs>
          <w:tab w:val="left" w:pos="2465"/>
        </w:tabs>
        <w:spacing w:after="0" w:line="20" w:lineRule="atLeast"/>
        <w:rPr>
          <w:rFonts w:ascii="Arial" w:hAnsi="Arial" w:cs="Arial"/>
          <w:sz w:val="20"/>
          <w:szCs w:val="20"/>
        </w:rPr>
      </w:pPr>
    </w:p>
    <w:p w14:paraId="5FBBA136" w14:textId="69CAB783" w:rsidR="00F96351" w:rsidRPr="00C10655" w:rsidRDefault="00F96351" w:rsidP="00334CC6">
      <w:pPr>
        <w:spacing w:after="0" w:line="20" w:lineRule="atLeast"/>
        <w:rPr>
          <w:rFonts w:ascii="Arial" w:hAnsi="Arial" w:cs="Arial"/>
          <w:b/>
          <w:sz w:val="20"/>
          <w:szCs w:val="20"/>
        </w:rPr>
      </w:pPr>
      <w:r w:rsidRPr="00C10655">
        <w:rPr>
          <w:rFonts w:ascii="Arial" w:hAnsi="Arial" w:cs="Arial"/>
          <w:b/>
          <w:sz w:val="20"/>
          <w:szCs w:val="20"/>
        </w:rPr>
        <w:t>Remuneration: Officer</w:t>
      </w:r>
      <w:r w:rsidR="00700670" w:rsidRPr="00C10655">
        <w:rPr>
          <w:rFonts w:ascii="Arial" w:hAnsi="Arial" w:cs="Arial"/>
          <w:b/>
          <w:sz w:val="20"/>
          <w:szCs w:val="20"/>
        </w:rPr>
        <w:t>s of the IJB</w:t>
      </w:r>
    </w:p>
    <w:p w14:paraId="5E12FED1" w14:textId="77777777" w:rsidR="00F96351" w:rsidRPr="00C10655" w:rsidRDefault="00F96351" w:rsidP="00334CC6">
      <w:pPr>
        <w:spacing w:after="0" w:line="20" w:lineRule="atLeast"/>
        <w:rPr>
          <w:rFonts w:ascii="Arial" w:hAnsi="Arial" w:cs="Arial"/>
          <w:sz w:val="20"/>
          <w:szCs w:val="20"/>
        </w:rPr>
      </w:pPr>
    </w:p>
    <w:p w14:paraId="20EF1A19" w14:textId="43AA186E" w:rsidR="00700670" w:rsidRPr="00C10655" w:rsidRDefault="00F96351" w:rsidP="00334CC6">
      <w:pPr>
        <w:pStyle w:val="Default"/>
        <w:spacing w:line="20" w:lineRule="atLeast"/>
        <w:rPr>
          <w:rFonts w:ascii="Arial" w:hAnsi="Arial" w:cs="Arial"/>
          <w:sz w:val="20"/>
          <w:szCs w:val="20"/>
        </w:rPr>
      </w:pPr>
      <w:r w:rsidRPr="00C10655">
        <w:rPr>
          <w:rFonts w:ascii="Arial" w:hAnsi="Arial" w:cs="Arial"/>
          <w:sz w:val="20"/>
          <w:szCs w:val="20"/>
        </w:rPr>
        <w:t>The IJB does not directly em</w:t>
      </w:r>
      <w:r w:rsidR="00700670" w:rsidRPr="00C10655">
        <w:rPr>
          <w:rFonts w:ascii="Arial" w:hAnsi="Arial" w:cs="Arial"/>
          <w:sz w:val="20"/>
          <w:szCs w:val="20"/>
        </w:rPr>
        <w:t xml:space="preserve">ploy any staff in its own right, however </w:t>
      </w:r>
      <w:r w:rsidR="00235E5E" w:rsidRPr="00C10655">
        <w:rPr>
          <w:rFonts w:ascii="Arial" w:hAnsi="Arial" w:cs="Arial"/>
          <w:sz w:val="20"/>
          <w:szCs w:val="20"/>
        </w:rPr>
        <w:t xml:space="preserve">specific post-holding officers </w:t>
      </w:r>
      <w:r w:rsidR="00700670" w:rsidRPr="00C10655">
        <w:rPr>
          <w:rFonts w:ascii="Arial" w:hAnsi="Arial" w:cs="Arial"/>
          <w:sz w:val="20"/>
          <w:szCs w:val="20"/>
        </w:rPr>
        <w:t xml:space="preserve">are non-voting members of the Board. </w:t>
      </w:r>
    </w:p>
    <w:p w14:paraId="5B820A9B" w14:textId="77777777" w:rsidR="00DF5E94" w:rsidRPr="00C10655" w:rsidRDefault="00DF5E94" w:rsidP="00334CC6">
      <w:pPr>
        <w:pStyle w:val="Default"/>
        <w:spacing w:line="20" w:lineRule="atLeast"/>
        <w:rPr>
          <w:rFonts w:ascii="Arial" w:hAnsi="Arial" w:cs="Arial"/>
          <w:sz w:val="20"/>
          <w:szCs w:val="20"/>
        </w:rPr>
      </w:pPr>
    </w:p>
    <w:p w14:paraId="11ED1C45" w14:textId="50623425" w:rsidR="00700670" w:rsidRPr="00C10655" w:rsidRDefault="00700670" w:rsidP="00334CC6">
      <w:pPr>
        <w:pStyle w:val="Default"/>
        <w:spacing w:line="20" w:lineRule="atLeast"/>
        <w:rPr>
          <w:rFonts w:ascii="Arial" w:hAnsi="Arial" w:cs="Arial"/>
          <w:sz w:val="20"/>
          <w:szCs w:val="20"/>
          <w:u w:val="single"/>
        </w:rPr>
      </w:pPr>
      <w:r w:rsidRPr="00C10655">
        <w:rPr>
          <w:rFonts w:ascii="Arial" w:hAnsi="Arial" w:cs="Arial"/>
          <w:sz w:val="20"/>
          <w:szCs w:val="20"/>
          <w:u w:val="single"/>
        </w:rPr>
        <w:t xml:space="preserve">Chief Officer </w:t>
      </w:r>
    </w:p>
    <w:p w14:paraId="1DDA0F85" w14:textId="24D50815" w:rsidR="00F92F68" w:rsidRPr="00C10655" w:rsidRDefault="0074557B" w:rsidP="00334CC6">
      <w:pPr>
        <w:pStyle w:val="Default"/>
        <w:spacing w:line="20" w:lineRule="atLeast"/>
        <w:rPr>
          <w:rFonts w:ascii="Arial" w:hAnsi="Arial" w:cs="Arial"/>
          <w:sz w:val="20"/>
          <w:szCs w:val="20"/>
        </w:rPr>
      </w:pPr>
      <w:r w:rsidRPr="00C10655">
        <w:rPr>
          <w:rFonts w:ascii="Arial" w:hAnsi="Arial" w:cs="Arial"/>
          <w:sz w:val="20"/>
          <w:szCs w:val="20"/>
        </w:rPr>
        <w:t xml:space="preserve">Under </w:t>
      </w:r>
      <w:r w:rsidR="00F96351" w:rsidRPr="00C10655">
        <w:rPr>
          <w:rFonts w:ascii="Arial" w:hAnsi="Arial" w:cs="Arial"/>
          <w:sz w:val="20"/>
          <w:szCs w:val="20"/>
        </w:rPr>
        <w:t>section 10 of the Public Bodies (Joint Working) (Scotland) Act 2014</w:t>
      </w:r>
      <w:r w:rsidR="00C51075" w:rsidRPr="00C10655">
        <w:rPr>
          <w:rFonts w:ascii="Arial" w:hAnsi="Arial" w:cs="Arial"/>
          <w:sz w:val="20"/>
          <w:szCs w:val="20"/>
        </w:rPr>
        <w:t>,</w:t>
      </w:r>
      <w:r w:rsidRPr="00C10655">
        <w:rPr>
          <w:rFonts w:ascii="Arial" w:hAnsi="Arial" w:cs="Arial"/>
          <w:sz w:val="20"/>
          <w:szCs w:val="20"/>
        </w:rPr>
        <w:t xml:space="preserve"> a Chief Officer for the IJB </w:t>
      </w:r>
      <w:r w:rsidR="00C51075" w:rsidRPr="00C10655">
        <w:rPr>
          <w:rFonts w:ascii="Arial" w:hAnsi="Arial" w:cs="Arial"/>
          <w:sz w:val="20"/>
          <w:szCs w:val="20"/>
        </w:rPr>
        <w:t>must</w:t>
      </w:r>
      <w:r w:rsidR="00F96351" w:rsidRPr="00C10655">
        <w:rPr>
          <w:rFonts w:ascii="Arial" w:hAnsi="Arial" w:cs="Arial"/>
          <w:sz w:val="20"/>
          <w:szCs w:val="20"/>
        </w:rPr>
        <w:t xml:space="preserve"> be appointed and the employing partner </w:t>
      </w:r>
      <w:r w:rsidR="00C51075" w:rsidRPr="00C10655">
        <w:rPr>
          <w:rFonts w:ascii="Arial" w:hAnsi="Arial" w:cs="Arial"/>
          <w:sz w:val="20"/>
          <w:szCs w:val="20"/>
        </w:rPr>
        <w:t>must</w:t>
      </w:r>
      <w:r w:rsidR="00F96351" w:rsidRPr="00C10655">
        <w:rPr>
          <w:rFonts w:ascii="Arial" w:hAnsi="Arial" w:cs="Arial"/>
          <w:sz w:val="20"/>
          <w:szCs w:val="20"/>
        </w:rPr>
        <w:t xml:space="preserve"> formally second the officer to the IJB.</w:t>
      </w:r>
      <w:r w:rsidR="00F92F68" w:rsidRPr="00C10655">
        <w:rPr>
          <w:rFonts w:ascii="Arial" w:hAnsi="Arial" w:cs="Arial"/>
          <w:sz w:val="20"/>
          <w:szCs w:val="20"/>
        </w:rPr>
        <w:t xml:space="preserve"> The employment contract for the Chief Officer will adhere to the legislative and regulatory framework of the employing partner organisation. The remuneration terms of the</w:t>
      </w:r>
      <w:r w:rsidRPr="00C10655">
        <w:rPr>
          <w:rFonts w:ascii="Arial" w:hAnsi="Arial" w:cs="Arial"/>
          <w:sz w:val="20"/>
          <w:szCs w:val="20"/>
        </w:rPr>
        <w:t xml:space="preserve"> Chief Officer’s</w:t>
      </w:r>
      <w:r w:rsidR="00F92F68" w:rsidRPr="00C10655">
        <w:rPr>
          <w:rFonts w:ascii="Arial" w:hAnsi="Arial" w:cs="Arial"/>
          <w:sz w:val="20"/>
          <w:szCs w:val="20"/>
        </w:rPr>
        <w:t xml:space="preserve"> employment are approved by the IJB. </w:t>
      </w:r>
    </w:p>
    <w:p w14:paraId="5FF41D5D" w14:textId="77777777" w:rsidR="00F92F68" w:rsidRPr="00C10655" w:rsidRDefault="00F92F68" w:rsidP="00334CC6">
      <w:pPr>
        <w:pStyle w:val="Default"/>
        <w:spacing w:line="20" w:lineRule="atLeast"/>
        <w:rPr>
          <w:rFonts w:ascii="Arial" w:hAnsi="Arial" w:cs="Arial"/>
          <w:sz w:val="20"/>
          <w:szCs w:val="20"/>
        </w:rPr>
      </w:pPr>
    </w:p>
    <w:p w14:paraId="31BBDDD4" w14:textId="095A46E1" w:rsidR="00700670" w:rsidRPr="00C10655" w:rsidRDefault="00700670" w:rsidP="00334CC6">
      <w:pPr>
        <w:pStyle w:val="Default"/>
        <w:spacing w:line="20" w:lineRule="atLeast"/>
        <w:rPr>
          <w:rFonts w:ascii="Arial" w:hAnsi="Arial" w:cs="Arial"/>
          <w:sz w:val="20"/>
          <w:szCs w:val="20"/>
          <w:u w:val="single"/>
        </w:rPr>
      </w:pPr>
      <w:r w:rsidRPr="00C10655">
        <w:rPr>
          <w:rFonts w:ascii="Arial" w:hAnsi="Arial" w:cs="Arial"/>
          <w:sz w:val="20"/>
          <w:szCs w:val="20"/>
          <w:u w:val="single"/>
        </w:rPr>
        <w:t>Other Officers</w:t>
      </w:r>
    </w:p>
    <w:p w14:paraId="161957E3" w14:textId="04D9BBA2" w:rsidR="00235E5E" w:rsidRPr="00C10655" w:rsidRDefault="00F92F68" w:rsidP="00334CC6">
      <w:pPr>
        <w:pStyle w:val="Default"/>
        <w:spacing w:line="20" w:lineRule="atLeast"/>
        <w:rPr>
          <w:rFonts w:ascii="Arial" w:hAnsi="Arial" w:cs="Arial"/>
          <w:sz w:val="20"/>
          <w:szCs w:val="20"/>
        </w:rPr>
      </w:pPr>
      <w:r w:rsidRPr="00C10655">
        <w:rPr>
          <w:rFonts w:ascii="Arial" w:hAnsi="Arial" w:cs="Arial"/>
          <w:sz w:val="20"/>
          <w:szCs w:val="20"/>
        </w:rPr>
        <w:t>No other staff are appointed by the IJB under a similar legal regime</w:t>
      </w:r>
      <w:r w:rsidR="00235E5E" w:rsidRPr="00C10655">
        <w:rPr>
          <w:rFonts w:ascii="Arial" w:hAnsi="Arial" w:cs="Arial"/>
          <w:sz w:val="20"/>
          <w:szCs w:val="20"/>
        </w:rPr>
        <w:t xml:space="preserve">. Other non-voting board members who meet the criteria for disclosure are included in the disclosures below. </w:t>
      </w:r>
    </w:p>
    <w:p w14:paraId="3CB16D2D" w14:textId="77777777" w:rsidR="00746761" w:rsidRDefault="00746761" w:rsidP="00334CC6">
      <w:pPr>
        <w:spacing w:after="0" w:line="20" w:lineRule="atLeast"/>
        <w:rPr>
          <w:rFonts w:ascii="Arial" w:hAnsi="Arial" w:cs="Arial"/>
          <w:sz w:val="20"/>
          <w:szCs w:val="20"/>
          <w:highlight w:val="yellow"/>
        </w:rPr>
      </w:pPr>
    </w:p>
    <w:p w14:paraId="640F8EE4" w14:textId="083C8E68" w:rsidR="00BF7FC5" w:rsidRPr="00E05ECB" w:rsidRDefault="00BF7FC5" w:rsidP="00334CC6">
      <w:pPr>
        <w:pStyle w:val="Default"/>
        <w:spacing w:line="20" w:lineRule="atLeast"/>
        <w:rPr>
          <w:rFonts w:ascii="Arial" w:hAnsi="Arial" w:cs="Arial"/>
          <w:sz w:val="20"/>
          <w:szCs w:val="20"/>
        </w:rPr>
      </w:pPr>
      <w:r>
        <w:rPr>
          <w:rFonts w:ascii="Arial" w:hAnsi="Arial" w:cs="Arial"/>
          <w:sz w:val="20"/>
          <w:szCs w:val="20"/>
        </w:rPr>
        <w:t xml:space="preserve">Where annualised remuneration is shown for senior officers, it is intended to support comparability where an individual served for only part of the year or on a basis that requires annualisation under the </w:t>
      </w:r>
      <w:r>
        <w:rPr>
          <w:rFonts w:ascii="Arial" w:hAnsi="Arial" w:cs="Arial"/>
          <w:sz w:val="20"/>
          <w:szCs w:val="20"/>
        </w:rPr>
        <w:lastRenderedPageBreak/>
        <w:t xml:space="preserve">Regulations. No bonuses were paid by the IJB during 2025/26. No benefits in kind were provided by the IJB other than taxable expenses disclosed in this report, and those taxable expenses were nil. No compensation for loss of office, no </w:t>
      </w:r>
      <w:r w:rsidR="00B47DB2">
        <w:rPr>
          <w:rFonts w:ascii="Arial" w:hAnsi="Arial" w:cs="Arial"/>
          <w:sz w:val="20"/>
          <w:szCs w:val="20"/>
        </w:rPr>
        <w:t>ex-gratia</w:t>
      </w:r>
      <w:r>
        <w:rPr>
          <w:rFonts w:ascii="Arial" w:hAnsi="Arial" w:cs="Arial"/>
          <w:sz w:val="20"/>
          <w:szCs w:val="20"/>
        </w:rPr>
        <w:t xml:space="preserve"> payments and no exit packages requiring disclosure were paid directly by the IJB during the year.</w:t>
      </w:r>
    </w:p>
    <w:p w14:paraId="671C8107" w14:textId="77777777" w:rsidR="00350727" w:rsidRDefault="00350727" w:rsidP="00A51927">
      <w:pPr>
        <w:spacing w:after="0" w:line="240" w:lineRule="auto"/>
        <w:rPr>
          <w:rFonts w:ascii="Arial" w:hAnsi="Arial" w:cs="Arial"/>
          <w:sz w:val="20"/>
          <w:szCs w:val="20"/>
          <w:highlight w:val="yellow"/>
        </w:rPr>
      </w:pPr>
    </w:p>
    <w:tbl>
      <w:tblPr>
        <w:tblW w:w="9076" w:type="dxa"/>
        <w:tblInd w:w="57" w:type="dxa"/>
        <w:tblLook w:val="04A0" w:firstRow="1" w:lastRow="0" w:firstColumn="1" w:lastColumn="0" w:noHBand="0" w:noVBand="1"/>
      </w:tblPr>
      <w:tblGrid>
        <w:gridCol w:w="1561"/>
        <w:gridCol w:w="272"/>
        <w:gridCol w:w="1843"/>
        <w:gridCol w:w="272"/>
        <w:gridCol w:w="1487"/>
        <w:gridCol w:w="1482"/>
        <w:gridCol w:w="1150"/>
        <w:gridCol w:w="1561"/>
      </w:tblGrid>
      <w:tr w:rsidR="00537D0E" w:rsidRPr="008B07F4" w14:paraId="3F9CB790" w14:textId="77777777" w:rsidTr="008B07F4">
        <w:trPr>
          <w:trHeight w:val="290"/>
        </w:trPr>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4424E1F9"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Total</w:t>
            </w:r>
          </w:p>
        </w:tc>
        <w:tc>
          <w:tcPr>
            <w:tcW w:w="264" w:type="dxa"/>
            <w:tcBorders>
              <w:top w:val="single" w:sz="4" w:space="0" w:color="auto"/>
              <w:left w:val="single" w:sz="4" w:space="0" w:color="auto"/>
              <w:bottom w:val="nil"/>
            </w:tcBorders>
            <w:shd w:val="clear" w:color="auto" w:fill="FFFFFF" w:themeFill="background1"/>
            <w:noWrap/>
            <w:vAlign w:val="center"/>
            <w:hideMark/>
          </w:tcPr>
          <w:p w14:paraId="55FDE56C"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843" w:type="dxa"/>
            <w:tcBorders>
              <w:top w:val="single" w:sz="4" w:space="0" w:color="auto"/>
              <w:bottom w:val="nil"/>
            </w:tcBorders>
            <w:shd w:val="clear" w:color="auto" w:fill="FFFFFF" w:themeFill="background1"/>
            <w:noWrap/>
            <w:vAlign w:val="center"/>
            <w:hideMark/>
          </w:tcPr>
          <w:p w14:paraId="08574385"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Senior Employees</w:t>
            </w:r>
          </w:p>
        </w:tc>
        <w:tc>
          <w:tcPr>
            <w:tcW w:w="264" w:type="dxa"/>
            <w:tcBorders>
              <w:top w:val="single" w:sz="4" w:space="0" w:color="auto"/>
              <w:left w:val="nil"/>
              <w:bottom w:val="nil"/>
              <w:right w:val="single" w:sz="4" w:space="0" w:color="auto"/>
            </w:tcBorders>
            <w:shd w:val="clear" w:color="auto" w:fill="FFFFFF" w:themeFill="background1"/>
            <w:noWrap/>
            <w:vAlign w:val="center"/>
            <w:hideMark/>
          </w:tcPr>
          <w:p w14:paraId="16C5EC48"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48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42064B04"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Full Time</w:t>
            </w:r>
          </w:p>
        </w:tc>
        <w:tc>
          <w:tcPr>
            <w:tcW w:w="14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0678AF86"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Salary</w:t>
            </w:r>
          </w:p>
        </w:tc>
        <w:tc>
          <w:tcPr>
            <w:tcW w:w="1018"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5EF25DB4"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Taxable</w:t>
            </w:r>
          </w:p>
        </w:tc>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13019ACF"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Total</w:t>
            </w:r>
          </w:p>
        </w:tc>
      </w:tr>
      <w:tr w:rsidR="00537D0E" w:rsidRPr="008B07F4" w14:paraId="3531D55A"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7A3AEA46" w14:textId="360E1BB7" w:rsidR="00537D0E" w:rsidRPr="008B07F4" w:rsidRDefault="00B52175"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Remuneration</w:t>
            </w:r>
          </w:p>
        </w:tc>
        <w:tc>
          <w:tcPr>
            <w:tcW w:w="264" w:type="dxa"/>
            <w:tcBorders>
              <w:top w:val="nil"/>
              <w:left w:val="single" w:sz="4" w:space="0" w:color="auto"/>
              <w:bottom w:val="nil"/>
            </w:tcBorders>
            <w:shd w:val="clear" w:color="auto" w:fill="FFFFFF" w:themeFill="background1"/>
            <w:noWrap/>
            <w:vAlign w:val="center"/>
            <w:hideMark/>
          </w:tcPr>
          <w:p w14:paraId="413A6CE6"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843" w:type="dxa"/>
            <w:tcBorders>
              <w:top w:val="nil"/>
              <w:bottom w:val="nil"/>
            </w:tcBorders>
            <w:shd w:val="clear" w:color="auto" w:fill="FFFFFF" w:themeFill="background1"/>
            <w:noWrap/>
            <w:vAlign w:val="center"/>
            <w:hideMark/>
          </w:tcPr>
          <w:p w14:paraId="79709BED"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264" w:type="dxa"/>
            <w:tcBorders>
              <w:top w:val="nil"/>
              <w:left w:val="nil"/>
              <w:bottom w:val="nil"/>
              <w:right w:val="single" w:sz="4" w:space="0" w:color="auto"/>
            </w:tcBorders>
            <w:shd w:val="clear" w:color="auto" w:fill="FFFFFF" w:themeFill="background1"/>
            <w:noWrap/>
            <w:vAlign w:val="center"/>
            <w:hideMark/>
          </w:tcPr>
          <w:p w14:paraId="701AD445" w14:textId="77777777" w:rsidR="00537D0E" w:rsidRPr="008B07F4" w:rsidRDefault="00537D0E">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504E60F6"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Equivalent Salary</w:t>
            </w: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69EAADFB"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Fees &amp; Allowances</w:t>
            </w:r>
          </w:p>
        </w:tc>
        <w:tc>
          <w:tcPr>
            <w:tcW w:w="1018" w:type="dxa"/>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6B21769C" w14:textId="0303415B" w:rsidR="00537D0E" w:rsidRPr="008B07F4" w:rsidRDefault="002055FB" w:rsidP="002055FB">
            <w:pPr>
              <w:rPr>
                <w:rFonts w:ascii="Arial" w:eastAsia="Times New Roman" w:hAnsi="Arial" w:cs="Arial"/>
                <w:b/>
                <w:bCs/>
                <w:color w:val="000000"/>
                <w:sz w:val="20"/>
                <w:szCs w:val="20"/>
                <w:lang w:eastAsia="en-GB"/>
              </w:rPr>
            </w:pPr>
            <w:r w:rsidRPr="008B07F4">
              <w:rPr>
                <w:rFonts w:ascii="Arial" w:hAnsi="Arial" w:cs="Arial"/>
                <w:b/>
                <w:bCs/>
                <w:color w:val="000000"/>
                <w:sz w:val="20"/>
                <w:szCs w:val="20"/>
              </w:rPr>
              <w:t>Expenses</w:t>
            </w: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7DD0253F" w14:textId="77777777" w:rsidR="00537D0E" w:rsidRPr="008B07F4" w:rsidRDefault="00537D0E" w:rsidP="00761381">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Remuneration</w:t>
            </w:r>
          </w:p>
        </w:tc>
      </w:tr>
      <w:tr w:rsidR="00B52175" w:rsidRPr="008B07F4" w14:paraId="755B7F08"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53D2B416" w14:textId="7AFFCE3A"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202</w:t>
            </w:r>
            <w:r w:rsidRPr="008B07F4">
              <w:rPr>
                <w:rFonts w:ascii="Arial" w:eastAsia="Times New Roman" w:hAnsi="Arial" w:cs="Arial"/>
                <w:b/>
                <w:bCs/>
                <w:color w:val="000000" w:themeColor="text1"/>
                <w:sz w:val="20"/>
                <w:szCs w:val="20"/>
                <w:lang w:eastAsia="en-GB"/>
              </w:rPr>
              <w:t>4/25</w:t>
            </w:r>
          </w:p>
        </w:tc>
        <w:tc>
          <w:tcPr>
            <w:tcW w:w="264" w:type="dxa"/>
            <w:tcBorders>
              <w:top w:val="nil"/>
              <w:left w:val="single" w:sz="4" w:space="0" w:color="auto"/>
              <w:bottom w:val="nil"/>
            </w:tcBorders>
            <w:shd w:val="clear" w:color="auto" w:fill="FFFFFF" w:themeFill="background1"/>
            <w:noWrap/>
            <w:vAlign w:val="center"/>
            <w:hideMark/>
          </w:tcPr>
          <w:p w14:paraId="55539A64"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843" w:type="dxa"/>
            <w:tcBorders>
              <w:top w:val="nil"/>
              <w:bottom w:val="nil"/>
            </w:tcBorders>
            <w:shd w:val="clear" w:color="auto" w:fill="FFFFFF" w:themeFill="background1"/>
            <w:noWrap/>
            <w:vAlign w:val="center"/>
            <w:hideMark/>
          </w:tcPr>
          <w:p w14:paraId="0356C579"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264" w:type="dxa"/>
            <w:tcBorders>
              <w:top w:val="nil"/>
              <w:left w:val="nil"/>
              <w:bottom w:val="nil"/>
              <w:right w:val="single" w:sz="4" w:space="0" w:color="auto"/>
            </w:tcBorders>
            <w:shd w:val="clear" w:color="auto" w:fill="FFFFFF" w:themeFill="background1"/>
            <w:noWrap/>
            <w:vAlign w:val="center"/>
            <w:hideMark/>
          </w:tcPr>
          <w:p w14:paraId="32E26FF3"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33ED9193"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3BF67524"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018" w:type="dxa"/>
            <w:tcBorders>
              <w:top w:val="nil"/>
              <w:left w:val="single" w:sz="4" w:space="0" w:color="auto"/>
              <w:bottom w:val="nil"/>
              <w:right w:val="single" w:sz="4" w:space="0" w:color="auto"/>
            </w:tcBorders>
            <w:shd w:val="clear" w:color="auto" w:fill="FFFFFF" w:themeFill="background1"/>
            <w:noWrap/>
            <w:vAlign w:val="center"/>
            <w:hideMark/>
          </w:tcPr>
          <w:p w14:paraId="78F8BD84"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798B702E"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202</w:t>
            </w:r>
            <w:r w:rsidRPr="008B07F4">
              <w:rPr>
                <w:rFonts w:ascii="Arial" w:eastAsia="Times New Roman" w:hAnsi="Arial" w:cs="Arial"/>
                <w:b/>
                <w:bCs/>
                <w:color w:val="000000" w:themeColor="text1"/>
                <w:sz w:val="20"/>
                <w:szCs w:val="20"/>
                <w:lang w:eastAsia="en-GB"/>
              </w:rPr>
              <w:t>5/26</w:t>
            </w:r>
          </w:p>
        </w:tc>
      </w:tr>
      <w:tr w:rsidR="00B52175" w:rsidRPr="008B07F4" w14:paraId="1952D8A6" w14:textId="77777777" w:rsidTr="008B07F4">
        <w:trPr>
          <w:trHeight w:val="80"/>
        </w:trPr>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254C84"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c>
          <w:tcPr>
            <w:tcW w:w="264" w:type="dxa"/>
            <w:tcBorders>
              <w:top w:val="nil"/>
              <w:left w:val="single" w:sz="4" w:space="0" w:color="auto"/>
              <w:bottom w:val="single" w:sz="4" w:space="0" w:color="auto"/>
            </w:tcBorders>
            <w:shd w:val="clear" w:color="auto" w:fill="FFFFFF" w:themeFill="background1"/>
            <w:noWrap/>
            <w:vAlign w:val="center"/>
            <w:hideMark/>
          </w:tcPr>
          <w:p w14:paraId="7BF55278"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843" w:type="dxa"/>
            <w:tcBorders>
              <w:top w:val="nil"/>
              <w:bottom w:val="single" w:sz="4" w:space="0" w:color="auto"/>
            </w:tcBorders>
            <w:shd w:val="clear" w:color="auto" w:fill="FFFFFF" w:themeFill="background1"/>
            <w:noWrap/>
            <w:vAlign w:val="center"/>
            <w:hideMark/>
          </w:tcPr>
          <w:p w14:paraId="0D69C2BA"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264" w:type="dxa"/>
            <w:tcBorders>
              <w:top w:val="nil"/>
              <w:left w:val="nil"/>
              <w:bottom w:val="single" w:sz="4" w:space="0" w:color="auto"/>
              <w:right w:val="single" w:sz="4" w:space="0" w:color="auto"/>
            </w:tcBorders>
            <w:shd w:val="clear" w:color="auto" w:fill="FFFFFF" w:themeFill="background1"/>
            <w:noWrap/>
            <w:vAlign w:val="center"/>
            <w:hideMark/>
          </w:tcPr>
          <w:p w14:paraId="2D601A3C"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w:t>
            </w:r>
          </w:p>
        </w:tc>
        <w:tc>
          <w:tcPr>
            <w:tcW w:w="14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DB4045"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c>
          <w:tcPr>
            <w:tcW w:w="14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3D740E"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c>
          <w:tcPr>
            <w:tcW w:w="10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9A0085"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12DA71"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r>
      <w:tr w:rsidR="00B52175" w:rsidRPr="008B07F4" w14:paraId="040630BF" w14:textId="77777777" w:rsidTr="008B07F4">
        <w:trPr>
          <w:trHeight w:val="290"/>
        </w:trPr>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1A4E299B" w14:textId="77777777" w:rsidR="00B52175" w:rsidRPr="008B07F4" w:rsidRDefault="00B52175" w:rsidP="00B52175">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xml:space="preserve">            </w:t>
            </w:r>
            <w:r w:rsidRPr="008B07F4">
              <w:rPr>
                <w:rFonts w:ascii="Arial" w:eastAsia="Times New Roman" w:hAnsi="Arial" w:cs="Arial"/>
                <w:color w:val="000000" w:themeColor="text1"/>
                <w:sz w:val="20"/>
                <w:szCs w:val="20"/>
                <w:lang w:eastAsia="en-GB"/>
              </w:rPr>
              <w:t>108,294</w:t>
            </w:r>
          </w:p>
        </w:tc>
        <w:tc>
          <w:tcPr>
            <w:tcW w:w="264" w:type="dxa"/>
            <w:tcBorders>
              <w:top w:val="single" w:sz="4" w:space="0" w:color="auto"/>
              <w:left w:val="single" w:sz="4" w:space="0" w:color="auto"/>
              <w:bottom w:val="nil"/>
            </w:tcBorders>
            <w:shd w:val="clear" w:color="auto" w:fill="FFFFFF" w:themeFill="background1"/>
            <w:noWrap/>
            <w:vAlign w:val="center"/>
            <w:hideMark/>
          </w:tcPr>
          <w:p w14:paraId="439ED5DB"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single" w:sz="4" w:space="0" w:color="auto"/>
              <w:bottom w:val="nil"/>
            </w:tcBorders>
            <w:shd w:val="clear" w:color="auto" w:fill="FFFFFF" w:themeFill="background1"/>
            <w:noWrap/>
            <w:vAlign w:val="center"/>
            <w:hideMark/>
          </w:tcPr>
          <w:p w14:paraId="3F7F1564"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Fiona Mitchelhill</w:t>
            </w:r>
          </w:p>
        </w:tc>
        <w:tc>
          <w:tcPr>
            <w:tcW w:w="264" w:type="dxa"/>
            <w:tcBorders>
              <w:top w:val="single" w:sz="4" w:space="0" w:color="auto"/>
              <w:left w:val="nil"/>
              <w:bottom w:val="nil"/>
              <w:right w:val="single" w:sz="4" w:space="0" w:color="auto"/>
            </w:tcBorders>
            <w:shd w:val="clear" w:color="auto" w:fill="FFFFFF" w:themeFill="background1"/>
            <w:noWrap/>
            <w:vAlign w:val="center"/>
            <w:hideMark/>
          </w:tcPr>
          <w:p w14:paraId="09646736"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6BD839D6"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113,731</w:t>
            </w:r>
          </w:p>
        </w:tc>
        <w:tc>
          <w:tcPr>
            <w:tcW w:w="14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612FC1EC"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115,713</w:t>
            </w:r>
          </w:p>
        </w:tc>
        <w:tc>
          <w:tcPr>
            <w:tcW w:w="1018"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002F6C41"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w:t>
            </w:r>
          </w:p>
        </w:tc>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3658B435"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115,713</w:t>
            </w:r>
          </w:p>
        </w:tc>
      </w:tr>
      <w:tr w:rsidR="00B52175" w:rsidRPr="008B07F4" w14:paraId="56C63F31"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7C88C8EE" w14:textId="77777777" w:rsidR="00B52175" w:rsidRPr="008B07F4" w:rsidRDefault="00B52175" w:rsidP="00B52175">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264" w:type="dxa"/>
            <w:tcBorders>
              <w:top w:val="nil"/>
              <w:left w:val="single" w:sz="4" w:space="0" w:color="auto"/>
              <w:bottom w:val="nil"/>
            </w:tcBorders>
            <w:shd w:val="clear" w:color="auto" w:fill="FFFFFF" w:themeFill="background1"/>
            <w:noWrap/>
            <w:vAlign w:val="center"/>
            <w:hideMark/>
          </w:tcPr>
          <w:p w14:paraId="26913F7C"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nil"/>
              <w:bottom w:val="nil"/>
            </w:tcBorders>
            <w:shd w:val="clear" w:color="auto" w:fill="FFFFFF" w:themeFill="background1"/>
            <w:noWrap/>
            <w:vAlign w:val="center"/>
            <w:hideMark/>
          </w:tcPr>
          <w:p w14:paraId="2D3D369D"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Chief Officer</w:t>
            </w:r>
          </w:p>
        </w:tc>
        <w:tc>
          <w:tcPr>
            <w:tcW w:w="264" w:type="dxa"/>
            <w:tcBorders>
              <w:top w:val="nil"/>
              <w:left w:val="nil"/>
              <w:bottom w:val="nil"/>
              <w:right w:val="single" w:sz="4" w:space="0" w:color="auto"/>
            </w:tcBorders>
            <w:shd w:val="clear" w:color="auto" w:fill="FFFFFF" w:themeFill="background1"/>
            <w:noWrap/>
            <w:vAlign w:val="center"/>
            <w:hideMark/>
          </w:tcPr>
          <w:p w14:paraId="2064F237"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5BACDEE7"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11F0233B"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018" w:type="dxa"/>
            <w:tcBorders>
              <w:top w:val="nil"/>
              <w:left w:val="single" w:sz="4" w:space="0" w:color="auto"/>
              <w:bottom w:val="nil"/>
              <w:right w:val="single" w:sz="4" w:space="0" w:color="auto"/>
            </w:tcBorders>
            <w:shd w:val="clear" w:color="auto" w:fill="FFFFFF" w:themeFill="background1"/>
            <w:noWrap/>
            <w:vAlign w:val="center"/>
            <w:hideMark/>
          </w:tcPr>
          <w:p w14:paraId="448443B5"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21265637"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r>
      <w:tr w:rsidR="00B52175" w:rsidRPr="008B07F4" w14:paraId="62F23A74" w14:textId="77777777" w:rsidTr="008B07F4">
        <w:trPr>
          <w:trHeight w:val="290"/>
        </w:trPr>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E731205" w14:textId="77777777" w:rsidR="00B52175" w:rsidRPr="008B07F4" w:rsidRDefault="00B52175" w:rsidP="00B52175">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264" w:type="dxa"/>
            <w:tcBorders>
              <w:top w:val="nil"/>
              <w:left w:val="single" w:sz="4" w:space="0" w:color="auto"/>
              <w:bottom w:val="single" w:sz="4" w:space="0" w:color="auto"/>
            </w:tcBorders>
            <w:shd w:val="clear" w:color="auto" w:fill="FFFFFF" w:themeFill="background1"/>
            <w:noWrap/>
            <w:vAlign w:val="center"/>
            <w:hideMark/>
          </w:tcPr>
          <w:p w14:paraId="6F870DC6"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nil"/>
              <w:bottom w:val="single" w:sz="4" w:space="0" w:color="auto"/>
            </w:tcBorders>
            <w:shd w:val="clear" w:color="auto" w:fill="FFFFFF" w:themeFill="background1"/>
            <w:noWrap/>
            <w:vAlign w:val="center"/>
            <w:hideMark/>
          </w:tcPr>
          <w:p w14:paraId="2B285B78"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From 19/02/24</w:t>
            </w:r>
          </w:p>
        </w:tc>
        <w:tc>
          <w:tcPr>
            <w:tcW w:w="264" w:type="dxa"/>
            <w:tcBorders>
              <w:top w:val="nil"/>
              <w:left w:val="nil"/>
              <w:bottom w:val="single" w:sz="4" w:space="0" w:color="auto"/>
              <w:right w:val="single" w:sz="4" w:space="0" w:color="auto"/>
            </w:tcBorders>
            <w:shd w:val="clear" w:color="auto" w:fill="FFFFFF" w:themeFill="background1"/>
            <w:noWrap/>
            <w:vAlign w:val="center"/>
            <w:hideMark/>
          </w:tcPr>
          <w:p w14:paraId="4649CBDB"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1E726B"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182EE3"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0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BA743"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DC8549"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r>
      <w:tr w:rsidR="00B52175" w:rsidRPr="008B07F4" w14:paraId="2DEA638D" w14:textId="77777777" w:rsidTr="008B07F4">
        <w:trPr>
          <w:trHeight w:val="290"/>
        </w:trPr>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7AC66C64" w14:textId="77777777" w:rsidR="00B52175" w:rsidRPr="008B07F4" w:rsidRDefault="00B52175" w:rsidP="00B52175">
            <w:pPr>
              <w:spacing w:after="0"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 xml:space="preserve">25,197 </w:t>
            </w:r>
          </w:p>
        </w:tc>
        <w:tc>
          <w:tcPr>
            <w:tcW w:w="264" w:type="dxa"/>
            <w:tcBorders>
              <w:top w:val="single" w:sz="4" w:space="0" w:color="auto"/>
              <w:left w:val="single" w:sz="4" w:space="0" w:color="auto"/>
              <w:bottom w:val="nil"/>
            </w:tcBorders>
            <w:shd w:val="clear" w:color="auto" w:fill="FFFFFF" w:themeFill="background1"/>
            <w:noWrap/>
            <w:vAlign w:val="center"/>
            <w:hideMark/>
          </w:tcPr>
          <w:p w14:paraId="29393FE0"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single" w:sz="4" w:space="0" w:color="auto"/>
              <w:bottom w:val="nil"/>
            </w:tcBorders>
            <w:shd w:val="clear" w:color="auto" w:fill="FFFFFF" w:themeFill="background1"/>
            <w:noWrap/>
            <w:vAlign w:val="center"/>
            <w:hideMark/>
          </w:tcPr>
          <w:p w14:paraId="14543E7B"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Amy MacDonald</w:t>
            </w:r>
          </w:p>
        </w:tc>
        <w:tc>
          <w:tcPr>
            <w:tcW w:w="264" w:type="dxa"/>
            <w:tcBorders>
              <w:top w:val="single" w:sz="4" w:space="0" w:color="auto"/>
              <w:left w:val="nil"/>
              <w:bottom w:val="nil"/>
              <w:right w:val="single" w:sz="4" w:space="0" w:color="auto"/>
            </w:tcBorders>
            <w:shd w:val="clear" w:color="auto" w:fill="FFFFFF" w:themeFill="background1"/>
            <w:noWrap/>
            <w:vAlign w:val="center"/>
            <w:hideMark/>
          </w:tcPr>
          <w:p w14:paraId="7EEDC0CF"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020AB406"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103,913</w:t>
            </w:r>
          </w:p>
        </w:tc>
        <w:tc>
          <w:tcPr>
            <w:tcW w:w="14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6FA8F02A"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27,914</w:t>
            </w:r>
          </w:p>
        </w:tc>
        <w:tc>
          <w:tcPr>
            <w:tcW w:w="1018"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3F127EFC"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w:t>
            </w:r>
          </w:p>
        </w:tc>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439E608A"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27,914</w:t>
            </w:r>
          </w:p>
        </w:tc>
      </w:tr>
      <w:tr w:rsidR="00B52175" w:rsidRPr="008B07F4" w14:paraId="3620EBA3"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13F9F4C3" w14:textId="77777777" w:rsidR="00B52175" w:rsidRPr="008B07F4" w:rsidRDefault="00B52175" w:rsidP="00B52175">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264" w:type="dxa"/>
            <w:tcBorders>
              <w:top w:val="nil"/>
              <w:left w:val="single" w:sz="4" w:space="0" w:color="auto"/>
              <w:bottom w:val="nil"/>
            </w:tcBorders>
            <w:shd w:val="clear" w:color="auto" w:fill="FFFFFF" w:themeFill="background1"/>
            <w:noWrap/>
            <w:vAlign w:val="center"/>
            <w:hideMark/>
          </w:tcPr>
          <w:p w14:paraId="772F9CD3"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nil"/>
              <w:bottom w:val="nil"/>
            </w:tcBorders>
            <w:shd w:val="clear" w:color="auto" w:fill="FFFFFF" w:themeFill="background1"/>
            <w:vAlign w:val="center"/>
            <w:hideMark/>
          </w:tcPr>
          <w:p w14:paraId="78A04F7F"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Chief Finance Officer</w:t>
            </w:r>
          </w:p>
        </w:tc>
        <w:tc>
          <w:tcPr>
            <w:tcW w:w="264" w:type="dxa"/>
            <w:tcBorders>
              <w:top w:val="nil"/>
              <w:left w:val="nil"/>
              <w:bottom w:val="nil"/>
              <w:right w:val="single" w:sz="4" w:space="0" w:color="auto"/>
            </w:tcBorders>
            <w:shd w:val="clear" w:color="auto" w:fill="FFFFFF" w:themeFill="background1"/>
            <w:noWrap/>
            <w:vAlign w:val="center"/>
            <w:hideMark/>
          </w:tcPr>
          <w:p w14:paraId="3916BD4A"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386886FE"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1D0F8036"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018" w:type="dxa"/>
            <w:tcBorders>
              <w:top w:val="nil"/>
              <w:left w:val="single" w:sz="4" w:space="0" w:color="auto"/>
              <w:bottom w:val="nil"/>
              <w:right w:val="single" w:sz="4" w:space="0" w:color="auto"/>
            </w:tcBorders>
            <w:shd w:val="clear" w:color="auto" w:fill="FFFFFF" w:themeFill="background1"/>
            <w:noWrap/>
            <w:vAlign w:val="center"/>
            <w:hideMark/>
          </w:tcPr>
          <w:p w14:paraId="76B66B75"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4F457185"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r>
      <w:tr w:rsidR="00B52175" w:rsidRPr="008B07F4" w14:paraId="0FA14B4B" w14:textId="77777777" w:rsidTr="008B07F4">
        <w:trPr>
          <w:trHeight w:val="300"/>
        </w:trPr>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FC8A68" w14:textId="77777777" w:rsidR="00B52175" w:rsidRPr="008B07F4" w:rsidRDefault="00B52175" w:rsidP="00B52175">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264" w:type="dxa"/>
            <w:tcBorders>
              <w:top w:val="nil"/>
              <w:left w:val="single" w:sz="4" w:space="0" w:color="auto"/>
              <w:bottom w:val="single" w:sz="4" w:space="0" w:color="auto"/>
            </w:tcBorders>
            <w:shd w:val="clear" w:color="auto" w:fill="FFFFFF" w:themeFill="background1"/>
            <w:noWrap/>
            <w:vAlign w:val="center"/>
            <w:hideMark/>
          </w:tcPr>
          <w:p w14:paraId="1E56887B"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nil"/>
              <w:bottom w:val="single" w:sz="4" w:space="0" w:color="auto"/>
            </w:tcBorders>
            <w:shd w:val="clear" w:color="auto" w:fill="FFFFFF" w:themeFill="background1"/>
            <w:vAlign w:val="center"/>
            <w:hideMark/>
          </w:tcPr>
          <w:p w14:paraId="78BEA235" w14:textId="77777777" w:rsidR="00B52175" w:rsidRPr="008B07F4" w:rsidRDefault="00B52175" w:rsidP="00B52175">
            <w:pPr>
              <w:spacing w:after="0" w:line="240" w:lineRule="auto"/>
              <w:rPr>
                <w:rFonts w:ascii="Arial" w:hAnsi="Arial" w:cs="Arial"/>
                <w:sz w:val="20"/>
                <w:szCs w:val="20"/>
              </w:rPr>
            </w:pPr>
            <w:r w:rsidRPr="008B07F4">
              <w:rPr>
                <w:rFonts w:ascii="Arial" w:eastAsia="Times New Roman" w:hAnsi="Arial" w:cs="Arial"/>
                <w:color w:val="000000"/>
                <w:sz w:val="20"/>
                <w:szCs w:val="20"/>
                <w:lang w:eastAsia="en-GB"/>
              </w:rPr>
              <w:t xml:space="preserve">From 19/12/2024 </w:t>
            </w:r>
          </w:p>
          <w:p w14:paraId="4461CF0E"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themeColor="text1"/>
                <w:sz w:val="20"/>
                <w:szCs w:val="20"/>
                <w:lang w:eastAsia="en-GB"/>
              </w:rPr>
              <w:t>To 02/07/2025</w:t>
            </w:r>
          </w:p>
        </w:tc>
        <w:tc>
          <w:tcPr>
            <w:tcW w:w="264" w:type="dxa"/>
            <w:tcBorders>
              <w:top w:val="nil"/>
              <w:left w:val="nil"/>
              <w:bottom w:val="single" w:sz="4" w:space="0" w:color="auto"/>
              <w:right w:val="single" w:sz="4" w:space="0" w:color="auto"/>
            </w:tcBorders>
            <w:shd w:val="clear" w:color="auto" w:fill="FFFFFF" w:themeFill="background1"/>
            <w:noWrap/>
            <w:vAlign w:val="center"/>
            <w:hideMark/>
          </w:tcPr>
          <w:p w14:paraId="7751130A"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54675B"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0E10A8"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0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A1EDF3"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35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252D9" w14:textId="77777777" w:rsidR="00B52175" w:rsidRPr="008B07F4" w:rsidRDefault="00B52175" w:rsidP="00024E3A">
            <w:pPr>
              <w:spacing w:after="0" w:line="240" w:lineRule="auto"/>
              <w:jc w:val="right"/>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r>
      <w:tr w:rsidR="00B52175" w:rsidRPr="008B07F4" w14:paraId="58C0771F" w14:textId="77777777" w:rsidTr="008B07F4">
        <w:trPr>
          <w:trHeight w:val="290"/>
        </w:trPr>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3BFEAAC6" w14:textId="77777777" w:rsidR="00B52175" w:rsidRPr="008B07F4" w:rsidRDefault="00B52175" w:rsidP="00B52175">
            <w:pPr>
              <w:spacing w:line="240" w:lineRule="auto"/>
              <w:jc w:val="right"/>
              <w:rPr>
                <w:rFonts w:ascii="Arial" w:eastAsia="Times New Roman" w:hAnsi="Arial" w:cs="Arial"/>
                <w:color w:val="000000" w:themeColor="text1"/>
                <w:sz w:val="20"/>
                <w:szCs w:val="20"/>
                <w:lang w:eastAsia="en-GB"/>
              </w:rPr>
            </w:pPr>
          </w:p>
        </w:tc>
        <w:tc>
          <w:tcPr>
            <w:tcW w:w="264" w:type="dxa"/>
            <w:tcBorders>
              <w:top w:val="single" w:sz="4" w:space="0" w:color="auto"/>
              <w:left w:val="single" w:sz="4" w:space="0" w:color="auto"/>
              <w:bottom w:val="nil"/>
            </w:tcBorders>
            <w:shd w:val="clear" w:color="auto" w:fill="FFFFFF" w:themeFill="background1"/>
            <w:noWrap/>
            <w:vAlign w:val="center"/>
            <w:hideMark/>
          </w:tcPr>
          <w:p w14:paraId="33EA31AA"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843" w:type="dxa"/>
            <w:tcBorders>
              <w:top w:val="single" w:sz="4" w:space="0" w:color="auto"/>
              <w:bottom w:val="nil"/>
            </w:tcBorders>
            <w:shd w:val="clear" w:color="auto" w:fill="FFFFFF" w:themeFill="background1"/>
            <w:vAlign w:val="center"/>
            <w:hideMark/>
          </w:tcPr>
          <w:p w14:paraId="3A802864" w14:textId="77777777" w:rsidR="00B52175" w:rsidRPr="008B07F4" w:rsidRDefault="00B52175" w:rsidP="00B52175">
            <w:pPr>
              <w:spacing w:after="0" w:line="240" w:lineRule="auto"/>
              <w:rPr>
                <w:rFonts w:ascii="Arial" w:hAnsi="Arial" w:cs="Arial"/>
                <w:sz w:val="20"/>
                <w:szCs w:val="20"/>
              </w:rPr>
            </w:pPr>
            <w:r w:rsidRPr="008B07F4">
              <w:rPr>
                <w:rFonts w:ascii="Arial" w:eastAsia="Times New Roman" w:hAnsi="Arial" w:cs="Arial"/>
                <w:b/>
                <w:bCs/>
                <w:color w:val="000000" w:themeColor="text1"/>
                <w:sz w:val="20"/>
                <w:szCs w:val="20"/>
                <w:lang w:eastAsia="en-GB"/>
              </w:rPr>
              <w:t>Lakshmi Kudlur</w:t>
            </w:r>
          </w:p>
        </w:tc>
        <w:tc>
          <w:tcPr>
            <w:tcW w:w="264" w:type="dxa"/>
            <w:tcBorders>
              <w:top w:val="single" w:sz="4" w:space="0" w:color="auto"/>
              <w:left w:val="nil"/>
              <w:bottom w:val="nil"/>
              <w:right w:val="single" w:sz="4" w:space="0" w:color="auto"/>
            </w:tcBorders>
            <w:shd w:val="clear" w:color="auto" w:fill="FFFFFF" w:themeFill="background1"/>
            <w:noWrap/>
            <w:vAlign w:val="center"/>
            <w:hideMark/>
          </w:tcPr>
          <w:p w14:paraId="619A51CD"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487"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78411EA1"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4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7540FBAC"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018"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5903F8FB"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359" w:type="dxa"/>
            <w:tcBorders>
              <w:top w:val="single" w:sz="4" w:space="0" w:color="auto"/>
              <w:left w:val="single" w:sz="4" w:space="0" w:color="auto"/>
              <w:bottom w:val="nil"/>
              <w:right w:val="single" w:sz="4" w:space="0" w:color="auto"/>
            </w:tcBorders>
            <w:shd w:val="clear" w:color="auto" w:fill="FFFFFF" w:themeFill="background1"/>
            <w:noWrap/>
            <w:vAlign w:val="center"/>
            <w:hideMark/>
          </w:tcPr>
          <w:p w14:paraId="0873ACFF"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r>
      <w:tr w:rsidR="00B52175" w:rsidRPr="008B07F4" w14:paraId="7A99989F"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6AA6BAD9" w14:textId="77777777" w:rsidR="00B52175" w:rsidRPr="008B07F4" w:rsidRDefault="00B52175" w:rsidP="00B52175">
            <w:pPr>
              <w:spacing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w:t>
            </w:r>
          </w:p>
        </w:tc>
        <w:tc>
          <w:tcPr>
            <w:tcW w:w="264" w:type="dxa"/>
            <w:tcBorders>
              <w:top w:val="nil"/>
              <w:left w:val="single" w:sz="4" w:space="0" w:color="auto"/>
              <w:bottom w:val="nil"/>
            </w:tcBorders>
            <w:shd w:val="clear" w:color="auto" w:fill="FFFFFF" w:themeFill="background1"/>
            <w:noWrap/>
            <w:vAlign w:val="center"/>
            <w:hideMark/>
          </w:tcPr>
          <w:p w14:paraId="195B07D4"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843" w:type="dxa"/>
            <w:tcBorders>
              <w:top w:val="nil"/>
              <w:bottom w:val="nil"/>
            </w:tcBorders>
            <w:shd w:val="clear" w:color="auto" w:fill="FFFFFF" w:themeFill="background1"/>
            <w:vAlign w:val="center"/>
            <w:hideMark/>
          </w:tcPr>
          <w:p w14:paraId="54480032" w14:textId="77777777" w:rsidR="00B52175" w:rsidRPr="008B07F4" w:rsidRDefault="00B52175" w:rsidP="00B52175">
            <w:pPr>
              <w:spacing w:after="0" w:line="240" w:lineRule="auto"/>
              <w:rPr>
                <w:rFonts w:ascii="Arial" w:eastAsia="Times New Roman" w:hAnsi="Arial" w:cs="Arial"/>
                <w:color w:val="000000" w:themeColor="text1"/>
                <w:sz w:val="20"/>
                <w:szCs w:val="20"/>
                <w:lang w:eastAsia="en-GB"/>
              </w:rPr>
            </w:pPr>
            <w:r w:rsidRPr="008B07F4">
              <w:rPr>
                <w:rFonts w:ascii="Arial" w:eastAsia="Times New Roman" w:hAnsi="Arial" w:cs="Arial"/>
                <w:color w:val="000000" w:themeColor="text1"/>
                <w:sz w:val="20"/>
                <w:szCs w:val="20"/>
                <w:lang w:eastAsia="en-GB"/>
              </w:rPr>
              <w:t>Depute Chief Finance Officer</w:t>
            </w:r>
          </w:p>
        </w:tc>
        <w:tc>
          <w:tcPr>
            <w:tcW w:w="264" w:type="dxa"/>
            <w:tcBorders>
              <w:top w:val="nil"/>
              <w:left w:val="nil"/>
              <w:bottom w:val="nil"/>
              <w:right w:val="single" w:sz="4" w:space="0" w:color="auto"/>
            </w:tcBorders>
            <w:shd w:val="clear" w:color="auto" w:fill="FFFFFF" w:themeFill="background1"/>
            <w:noWrap/>
            <w:vAlign w:val="center"/>
            <w:hideMark/>
          </w:tcPr>
          <w:p w14:paraId="693C5022"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49DB1D9D" w14:textId="77777777" w:rsidR="00B52175" w:rsidRPr="008B07F4" w:rsidRDefault="00B52175" w:rsidP="00024E3A">
            <w:pPr>
              <w:spacing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86,605</w:t>
            </w: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760BF423" w14:textId="77777777" w:rsidR="00B52175" w:rsidRPr="008B07F4" w:rsidRDefault="00B52175" w:rsidP="00024E3A">
            <w:pPr>
              <w:spacing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10,568</w:t>
            </w:r>
          </w:p>
        </w:tc>
        <w:tc>
          <w:tcPr>
            <w:tcW w:w="1018" w:type="dxa"/>
            <w:tcBorders>
              <w:top w:val="nil"/>
              <w:left w:val="single" w:sz="4" w:space="0" w:color="auto"/>
              <w:bottom w:val="nil"/>
              <w:right w:val="single" w:sz="4" w:space="0" w:color="auto"/>
            </w:tcBorders>
            <w:shd w:val="clear" w:color="auto" w:fill="FFFFFF" w:themeFill="background1"/>
            <w:noWrap/>
            <w:vAlign w:val="center"/>
            <w:hideMark/>
          </w:tcPr>
          <w:p w14:paraId="43A1D654" w14:textId="77777777" w:rsidR="00B52175" w:rsidRPr="008B07F4" w:rsidRDefault="00B52175" w:rsidP="00024E3A">
            <w:pPr>
              <w:spacing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w:t>
            </w: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32A838D9" w14:textId="77777777" w:rsidR="00B52175" w:rsidRPr="008B07F4" w:rsidRDefault="00B52175" w:rsidP="00024E3A">
            <w:pPr>
              <w:spacing w:line="240" w:lineRule="auto"/>
              <w:jc w:val="right"/>
              <w:rPr>
                <w:rFonts w:ascii="Arial" w:hAnsi="Arial" w:cs="Arial"/>
                <w:sz w:val="20"/>
                <w:szCs w:val="20"/>
              </w:rPr>
            </w:pPr>
            <w:r w:rsidRPr="008B07F4">
              <w:rPr>
                <w:rFonts w:ascii="Arial" w:eastAsia="Times New Roman" w:hAnsi="Arial" w:cs="Arial"/>
                <w:color w:val="000000" w:themeColor="text1"/>
                <w:sz w:val="20"/>
                <w:szCs w:val="20"/>
                <w:lang w:eastAsia="en-GB"/>
              </w:rPr>
              <w:t>10,568</w:t>
            </w:r>
          </w:p>
        </w:tc>
      </w:tr>
      <w:tr w:rsidR="00B52175" w:rsidRPr="008B07F4" w14:paraId="59460C14" w14:textId="77777777" w:rsidTr="008B07F4">
        <w:trPr>
          <w:trHeight w:val="290"/>
        </w:trPr>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71810A03" w14:textId="77777777" w:rsidR="00B52175" w:rsidRPr="008B07F4" w:rsidRDefault="00B52175" w:rsidP="00B52175">
            <w:pPr>
              <w:spacing w:line="240" w:lineRule="auto"/>
              <w:jc w:val="right"/>
              <w:rPr>
                <w:rFonts w:ascii="Arial" w:eastAsia="Times New Roman" w:hAnsi="Arial" w:cs="Arial"/>
                <w:color w:val="000000" w:themeColor="text1"/>
                <w:sz w:val="20"/>
                <w:szCs w:val="20"/>
                <w:lang w:eastAsia="en-GB"/>
              </w:rPr>
            </w:pPr>
          </w:p>
        </w:tc>
        <w:tc>
          <w:tcPr>
            <w:tcW w:w="264" w:type="dxa"/>
            <w:tcBorders>
              <w:top w:val="nil"/>
              <w:left w:val="single" w:sz="4" w:space="0" w:color="auto"/>
              <w:bottom w:val="nil"/>
            </w:tcBorders>
            <w:shd w:val="clear" w:color="auto" w:fill="FFFFFF" w:themeFill="background1"/>
            <w:noWrap/>
            <w:vAlign w:val="center"/>
            <w:hideMark/>
          </w:tcPr>
          <w:p w14:paraId="7E6A17D6"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843" w:type="dxa"/>
            <w:tcBorders>
              <w:top w:val="nil"/>
              <w:bottom w:val="nil"/>
            </w:tcBorders>
            <w:shd w:val="clear" w:color="auto" w:fill="FFFFFF" w:themeFill="background1"/>
            <w:vAlign w:val="center"/>
            <w:hideMark/>
          </w:tcPr>
          <w:p w14:paraId="47216B98" w14:textId="77777777" w:rsidR="00B52175" w:rsidRPr="008B07F4" w:rsidRDefault="00B52175" w:rsidP="00B52175">
            <w:pPr>
              <w:spacing w:after="0" w:line="240" w:lineRule="auto"/>
              <w:rPr>
                <w:rFonts w:ascii="Arial" w:eastAsia="Times New Roman" w:hAnsi="Arial" w:cs="Arial"/>
                <w:color w:val="000000" w:themeColor="text1"/>
                <w:sz w:val="20"/>
                <w:szCs w:val="20"/>
                <w:lang w:eastAsia="en-GB"/>
              </w:rPr>
            </w:pPr>
            <w:r w:rsidRPr="008B07F4">
              <w:rPr>
                <w:rFonts w:ascii="Arial" w:eastAsia="Times New Roman" w:hAnsi="Arial" w:cs="Arial"/>
                <w:color w:val="000000" w:themeColor="text1"/>
                <w:sz w:val="20"/>
                <w:szCs w:val="20"/>
                <w:lang w:eastAsia="en-GB"/>
              </w:rPr>
              <w:t>From 16/02/2026</w:t>
            </w:r>
          </w:p>
        </w:tc>
        <w:tc>
          <w:tcPr>
            <w:tcW w:w="264" w:type="dxa"/>
            <w:tcBorders>
              <w:top w:val="nil"/>
              <w:left w:val="nil"/>
              <w:bottom w:val="nil"/>
              <w:right w:val="single" w:sz="4" w:space="0" w:color="auto"/>
            </w:tcBorders>
            <w:shd w:val="clear" w:color="auto" w:fill="FFFFFF" w:themeFill="background1"/>
            <w:noWrap/>
            <w:vAlign w:val="center"/>
            <w:hideMark/>
          </w:tcPr>
          <w:p w14:paraId="682993FD" w14:textId="77777777" w:rsidR="00B52175" w:rsidRPr="008B07F4" w:rsidRDefault="00B52175" w:rsidP="00B52175">
            <w:pPr>
              <w:spacing w:line="240" w:lineRule="auto"/>
              <w:rPr>
                <w:rFonts w:ascii="Arial" w:eastAsia="Times New Roman" w:hAnsi="Arial" w:cs="Arial"/>
                <w:color w:val="000000" w:themeColor="text1"/>
                <w:sz w:val="20"/>
                <w:szCs w:val="20"/>
                <w:lang w:eastAsia="en-GB"/>
              </w:rPr>
            </w:pPr>
          </w:p>
        </w:tc>
        <w:tc>
          <w:tcPr>
            <w:tcW w:w="1487" w:type="dxa"/>
            <w:tcBorders>
              <w:top w:val="nil"/>
              <w:left w:val="single" w:sz="4" w:space="0" w:color="auto"/>
              <w:bottom w:val="nil"/>
              <w:right w:val="single" w:sz="4" w:space="0" w:color="auto"/>
            </w:tcBorders>
            <w:shd w:val="clear" w:color="auto" w:fill="FFFFFF" w:themeFill="background1"/>
            <w:noWrap/>
            <w:vAlign w:val="center"/>
            <w:hideMark/>
          </w:tcPr>
          <w:p w14:paraId="1E1F2EB9"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482" w:type="dxa"/>
            <w:tcBorders>
              <w:top w:val="nil"/>
              <w:left w:val="single" w:sz="4" w:space="0" w:color="auto"/>
              <w:bottom w:val="nil"/>
              <w:right w:val="single" w:sz="4" w:space="0" w:color="auto"/>
            </w:tcBorders>
            <w:shd w:val="clear" w:color="auto" w:fill="FFFFFF" w:themeFill="background1"/>
            <w:noWrap/>
            <w:vAlign w:val="center"/>
            <w:hideMark/>
          </w:tcPr>
          <w:p w14:paraId="2D503292"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018" w:type="dxa"/>
            <w:tcBorders>
              <w:top w:val="nil"/>
              <w:left w:val="single" w:sz="4" w:space="0" w:color="auto"/>
              <w:bottom w:val="nil"/>
              <w:right w:val="single" w:sz="4" w:space="0" w:color="auto"/>
            </w:tcBorders>
            <w:shd w:val="clear" w:color="auto" w:fill="FFFFFF" w:themeFill="background1"/>
            <w:noWrap/>
            <w:vAlign w:val="center"/>
            <w:hideMark/>
          </w:tcPr>
          <w:p w14:paraId="78B0C9D3"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c>
          <w:tcPr>
            <w:tcW w:w="1359" w:type="dxa"/>
            <w:tcBorders>
              <w:top w:val="nil"/>
              <w:left w:val="single" w:sz="4" w:space="0" w:color="auto"/>
              <w:bottom w:val="nil"/>
              <w:right w:val="single" w:sz="4" w:space="0" w:color="auto"/>
            </w:tcBorders>
            <w:shd w:val="clear" w:color="auto" w:fill="FFFFFF" w:themeFill="background1"/>
            <w:noWrap/>
            <w:vAlign w:val="center"/>
            <w:hideMark/>
          </w:tcPr>
          <w:p w14:paraId="313BAC19" w14:textId="77777777" w:rsidR="00B52175" w:rsidRPr="008B07F4" w:rsidRDefault="00B52175" w:rsidP="00024E3A">
            <w:pPr>
              <w:spacing w:line="240" w:lineRule="auto"/>
              <w:jc w:val="right"/>
              <w:rPr>
                <w:rFonts w:ascii="Arial" w:eastAsia="Times New Roman" w:hAnsi="Arial" w:cs="Arial"/>
                <w:color w:val="000000" w:themeColor="text1"/>
                <w:sz w:val="20"/>
                <w:szCs w:val="20"/>
                <w:lang w:eastAsia="en-GB"/>
              </w:rPr>
            </w:pPr>
          </w:p>
        </w:tc>
      </w:tr>
      <w:tr w:rsidR="00B52175" w:rsidRPr="008B07F4" w14:paraId="44BA5E4F" w14:textId="77777777" w:rsidTr="008B07F4">
        <w:trPr>
          <w:trHeight w:val="290"/>
        </w:trPr>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84992" w14:textId="77777777" w:rsidR="00B52175" w:rsidRPr="008B07F4" w:rsidRDefault="00B52175" w:rsidP="00B52175">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 xml:space="preserve">          </w:t>
            </w:r>
            <w:r w:rsidRPr="008B07F4">
              <w:rPr>
                <w:rFonts w:ascii="Arial" w:eastAsia="Times New Roman" w:hAnsi="Arial" w:cs="Arial"/>
                <w:b/>
                <w:bCs/>
                <w:color w:val="000000" w:themeColor="text1"/>
                <w:sz w:val="20"/>
                <w:szCs w:val="20"/>
                <w:lang w:eastAsia="en-GB"/>
              </w:rPr>
              <w:t xml:space="preserve">133,491 </w:t>
            </w:r>
          </w:p>
        </w:tc>
        <w:tc>
          <w:tcPr>
            <w:tcW w:w="264" w:type="dxa"/>
            <w:tcBorders>
              <w:top w:val="single" w:sz="4" w:space="0" w:color="auto"/>
              <w:left w:val="single" w:sz="4" w:space="0" w:color="auto"/>
              <w:bottom w:val="single" w:sz="4" w:space="0" w:color="auto"/>
            </w:tcBorders>
            <w:shd w:val="clear" w:color="auto" w:fill="FFFFFF" w:themeFill="background1"/>
            <w:noWrap/>
            <w:vAlign w:val="center"/>
            <w:hideMark/>
          </w:tcPr>
          <w:p w14:paraId="73BB5BC0"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843" w:type="dxa"/>
            <w:tcBorders>
              <w:top w:val="single" w:sz="4" w:space="0" w:color="auto"/>
              <w:bottom w:val="single" w:sz="4" w:space="0" w:color="auto"/>
            </w:tcBorders>
            <w:shd w:val="clear" w:color="auto" w:fill="FFFFFF" w:themeFill="background1"/>
            <w:noWrap/>
            <w:vAlign w:val="center"/>
            <w:hideMark/>
          </w:tcPr>
          <w:p w14:paraId="75BBBC4C" w14:textId="77777777" w:rsidR="00B52175" w:rsidRPr="008B07F4" w:rsidRDefault="00B52175" w:rsidP="00B52175">
            <w:pPr>
              <w:spacing w:after="0" w:line="240" w:lineRule="auto"/>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Total</w:t>
            </w:r>
          </w:p>
        </w:tc>
        <w:tc>
          <w:tcPr>
            <w:tcW w:w="2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33B103" w14:textId="77777777" w:rsidR="00B52175" w:rsidRPr="008B07F4" w:rsidRDefault="00B52175" w:rsidP="00B52175">
            <w:pPr>
              <w:spacing w:after="0" w:line="240" w:lineRule="auto"/>
              <w:rPr>
                <w:rFonts w:ascii="Arial" w:eastAsia="Times New Roman" w:hAnsi="Arial" w:cs="Arial"/>
                <w:color w:val="000000"/>
                <w:sz w:val="20"/>
                <w:szCs w:val="20"/>
                <w:lang w:eastAsia="en-GB"/>
              </w:rPr>
            </w:pPr>
            <w:r w:rsidRPr="008B07F4">
              <w:rPr>
                <w:rFonts w:ascii="Arial" w:eastAsia="Times New Roman" w:hAnsi="Arial" w:cs="Arial"/>
                <w:color w:val="000000"/>
                <w:sz w:val="20"/>
                <w:szCs w:val="20"/>
                <w:lang w:eastAsia="en-GB"/>
              </w:rPr>
              <w:t> </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1A8E3D" w14:textId="348EED5F" w:rsidR="00B52175" w:rsidRPr="008B07F4" w:rsidRDefault="00B52175" w:rsidP="00024E3A">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themeColor="text1"/>
                <w:sz w:val="20"/>
                <w:szCs w:val="20"/>
                <w:lang w:eastAsia="en-GB"/>
              </w:rPr>
              <w:t>304,249</w:t>
            </w:r>
          </w:p>
        </w:tc>
        <w:tc>
          <w:tcPr>
            <w:tcW w:w="14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CFA54E" w14:textId="2F8B6171" w:rsidR="00B52175" w:rsidRPr="008B07F4" w:rsidRDefault="00B52175" w:rsidP="00024E3A">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themeColor="text1"/>
                <w:sz w:val="20"/>
                <w:szCs w:val="20"/>
                <w:lang w:eastAsia="en-GB"/>
              </w:rPr>
              <w:t>154,194</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0597CC" w14:textId="4BA861B7" w:rsidR="00B52175" w:rsidRPr="008B07F4" w:rsidRDefault="00A757DA" w:rsidP="00024E3A">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w:t>
            </w:r>
          </w:p>
        </w:tc>
        <w:tc>
          <w:tcPr>
            <w:tcW w:w="13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9D4DB2" w14:textId="77777777" w:rsidR="00B52175" w:rsidRPr="008B07F4" w:rsidRDefault="00B52175" w:rsidP="00024E3A">
            <w:pPr>
              <w:spacing w:after="0" w:line="240" w:lineRule="auto"/>
              <w:jc w:val="right"/>
              <w:rPr>
                <w:rFonts w:ascii="Arial" w:eastAsia="Times New Roman" w:hAnsi="Arial" w:cs="Arial"/>
                <w:b/>
                <w:bCs/>
                <w:color w:val="000000"/>
                <w:sz w:val="20"/>
                <w:szCs w:val="20"/>
                <w:lang w:eastAsia="en-GB"/>
              </w:rPr>
            </w:pPr>
            <w:r w:rsidRPr="008B07F4">
              <w:rPr>
                <w:rFonts w:ascii="Arial" w:eastAsia="Times New Roman" w:hAnsi="Arial" w:cs="Arial"/>
                <w:b/>
                <w:bCs/>
                <w:color w:val="000000"/>
                <w:sz w:val="20"/>
                <w:szCs w:val="20"/>
                <w:lang w:eastAsia="en-GB"/>
              </w:rPr>
              <w:t>154,194</w:t>
            </w:r>
            <w:r w:rsidRPr="008B07F4">
              <w:rPr>
                <w:rFonts w:ascii="Arial" w:eastAsia="Times New Roman" w:hAnsi="Arial" w:cs="Arial"/>
                <w:b/>
                <w:bCs/>
                <w:color w:val="000000" w:themeColor="text1"/>
                <w:sz w:val="20"/>
                <w:szCs w:val="20"/>
                <w:lang w:eastAsia="en-GB"/>
              </w:rPr>
              <w:t xml:space="preserve"> </w:t>
            </w:r>
          </w:p>
        </w:tc>
      </w:tr>
    </w:tbl>
    <w:p w14:paraId="4308E82A" w14:textId="77777777" w:rsidR="00932B80" w:rsidRDefault="00932B80" w:rsidP="00A51927">
      <w:pPr>
        <w:spacing w:after="0" w:line="240" w:lineRule="auto"/>
        <w:rPr>
          <w:rFonts w:ascii="Arial" w:hAnsi="Arial" w:cs="Arial"/>
          <w:sz w:val="20"/>
          <w:szCs w:val="20"/>
          <w:highlight w:val="yellow"/>
        </w:rPr>
      </w:pPr>
    </w:p>
    <w:p w14:paraId="43E9B68A" w14:textId="68B2D72E" w:rsidR="00BF7FC5" w:rsidRPr="00E43365" w:rsidRDefault="00E43365" w:rsidP="00334CC6">
      <w:pPr>
        <w:pStyle w:val="Default"/>
        <w:spacing w:line="20" w:lineRule="atLeast"/>
        <w:rPr>
          <w:rFonts w:ascii="Arial" w:hAnsi="Arial" w:cs="Arial"/>
          <w:sz w:val="20"/>
          <w:szCs w:val="20"/>
        </w:rPr>
      </w:pPr>
      <w:r w:rsidRPr="00E43365">
        <w:rPr>
          <w:rFonts w:ascii="Arial" w:hAnsi="Arial" w:cs="Arial"/>
          <w:sz w:val="20"/>
          <w:szCs w:val="20"/>
        </w:rPr>
        <w:t>Jonathan Belford acted as Interim Chief Finance Officer for the Partnership from July 2025 while continuing in his substantive post as Chief Officer - Finance for Aberdeen City Council. In undertaking the interim role, he continued to provide direct support to the IJB’s governance and financial management arrangements, including oversight of financial reporting, budget monitoring, year-end accounts and wider financial advice to the Board and its committees, thereby maintaining continuity of financial leadership during the period of transition. Going forward, the Deputy Chief Finance Officer will support the day-to-day financial management and governance requirements of the IJB, with Jonathan Belford’s continuing involvement focused on providing strategic oversight, continuity and support during the transition of responsibilities. No recharge was made by Aberdeen City Council to the Partnership in respect of the time he contributed in carrying out the interim Chief Finance Officer role.</w:t>
      </w:r>
    </w:p>
    <w:p w14:paraId="52CA7440" w14:textId="77777777" w:rsidR="009520FE" w:rsidRDefault="009520FE" w:rsidP="00334CC6">
      <w:pPr>
        <w:spacing w:after="0" w:line="20" w:lineRule="atLeast"/>
        <w:rPr>
          <w:rFonts w:ascii="Arial" w:hAnsi="Arial" w:cs="Arial"/>
          <w:b/>
          <w:bCs/>
          <w:sz w:val="20"/>
          <w:szCs w:val="20"/>
        </w:rPr>
      </w:pPr>
    </w:p>
    <w:p w14:paraId="2B4DA01C" w14:textId="77777777" w:rsidR="003F3CA0" w:rsidRPr="000875CB" w:rsidRDefault="003F3CA0" w:rsidP="00334CC6">
      <w:pPr>
        <w:spacing w:after="0" w:line="20" w:lineRule="atLeast"/>
        <w:rPr>
          <w:rFonts w:ascii="Arial" w:hAnsi="Arial" w:cs="Arial"/>
          <w:b/>
          <w:bCs/>
          <w:sz w:val="20"/>
          <w:szCs w:val="20"/>
        </w:rPr>
      </w:pPr>
      <w:r w:rsidRPr="000875CB">
        <w:rPr>
          <w:rFonts w:ascii="Arial" w:hAnsi="Arial" w:cs="Arial"/>
          <w:b/>
          <w:bCs/>
          <w:sz w:val="20"/>
          <w:szCs w:val="20"/>
        </w:rPr>
        <w:t>Pension benefits</w:t>
      </w:r>
    </w:p>
    <w:p w14:paraId="3A2348EB" w14:textId="77777777" w:rsidR="003F3CA0" w:rsidRDefault="003F3CA0" w:rsidP="00334CC6">
      <w:pPr>
        <w:spacing w:after="0" w:line="20" w:lineRule="atLeast"/>
        <w:rPr>
          <w:rFonts w:ascii="Arial" w:hAnsi="Arial" w:cs="Arial"/>
          <w:sz w:val="20"/>
          <w:szCs w:val="20"/>
        </w:rPr>
      </w:pPr>
    </w:p>
    <w:p w14:paraId="6B9EB216" w14:textId="273BBF36" w:rsidR="00297C5D" w:rsidRPr="004B795B" w:rsidRDefault="00297C5D" w:rsidP="00334CC6">
      <w:pPr>
        <w:pStyle w:val="Default"/>
        <w:spacing w:line="20" w:lineRule="atLeast"/>
        <w:rPr>
          <w:rFonts w:ascii="Arial" w:hAnsi="Arial" w:cs="Arial"/>
          <w:sz w:val="20"/>
          <w:szCs w:val="20"/>
        </w:rPr>
      </w:pPr>
      <w:r w:rsidRPr="004B795B">
        <w:rPr>
          <w:rFonts w:ascii="Arial" w:hAnsi="Arial" w:cs="Arial"/>
          <w:sz w:val="20"/>
          <w:szCs w:val="20"/>
        </w:rPr>
        <w:t xml:space="preserve">In respect of </w:t>
      </w:r>
      <w:r w:rsidR="00D905AC" w:rsidRPr="004B795B">
        <w:rPr>
          <w:rFonts w:ascii="Arial" w:hAnsi="Arial" w:cs="Arial"/>
          <w:sz w:val="20"/>
          <w:szCs w:val="20"/>
        </w:rPr>
        <w:t>o</w:t>
      </w:r>
      <w:r w:rsidRPr="004B795B">
        <w:rPr>
          <w:rFonts w:ascii="Arial" w:hAnsi="Arial" w:cs="Arial"/>
          <w:sz w:val="20"/>
          <w:szCs w:val="20"/>
        </w:rPr>
        <w:t>fficers</w:t>
      </w:r>
      <w:r w:rsidR="00D905AC" w:rsidRPr="004B795B">
        <w:rPr>
          <w:rFonts w:ascii="Arial" w:hAnsi="Arial" w:cs="Arial"/>
          <w:sz w:val="20"/>
          <w:szCs w:val="20"/>
        </w:rPr>
        <w:t>’</w:t>
      </w:r>
      <w:r w:rsidRPr="004B795B">
        <w:rPr>
          <w:rFonts w:ascii="Arial" w:hAnsi="Arial" w:cs="Arial"/>
          <w:sz w:val="20"/>
          <w:szCs w:val="20"/>
        </w:rPr>
        <w:t xml:space="preserve"> pension benefits t</w:t>
      </w:r>
      <w:r w:rsidR="00432BD6" w:rsidRPr="004B795B">
        <w:rPr>
          <w:rFonts w:ascii="Arial" w:hAnsi="Arial" w:cs="Arial"/>
          <w:sz w:val="20"/>
          <w:szCs w:val="20"/>
        </w:rPr>
        <w:t>he statutory liability for any future contributions to be made rests with the relevant employing partner organisation. On this basis there is no pensions liability reflected on the IJB balance sheet for the Chief Officer</w:t>
      </w:r>
      <w:r w:rsidR="00D905AC" w:rsidRPr="004B795B">
        <w:rPr>
          <w:rFonts w:ascii="Arial" w:hAnsi="Arial" w:cs="Arial"/>
          <w:sz w:val="20"/>
          <w:szCs w:val="20"/>
        </w:rPr>
        <w:t xml:space="preserve"> or any other officers</w:t>
      </w:r>
      <w:r w:rsidR="00432BD6" w:rsidRPr="004B795B">
        <w:rPr>
          <w:rFonts w:ascii="Arial" w:hAnsi="Arial" w:cs="Arial"/>
          <w:sz w:val="20"/>
          <w:szCs w:val="20"/>
        </w:rPr>
        <w:t xml:space="preserve">. </w:t>
      </w:r>
    </w:p>
    <w:p w14:paraId="4F7FEE30" w14:textId="77777777" w:rsidR="00297C5D" w:rsidRPr="004B795B" w:rsidRDefault="00297C5D" w:rsidP="00334CC6">
      <w:pPr>
        <w:pStyle w:val="Default"/>
        <w:spacing w:line="20" w:lineRule="atLeast"/>
        <w:rPr>
          <w:rFonts w:ascii="Arial" w:hAnsi="Arial" w:cs="Arial"/>
          <w:sz w:val="20"/>
          <w:szCs w:val="20"/>
        </w:rPr>
      </w:pPr>
    </w:p>
    <w:p w14:paraId="004B12D4" w14:textId="77777777" w:rsidR="000875CB" w:rsidRDefault="00297C5D" w:rsidP="00334CC6">
      <w:pPr>
        <w:pStyle w:val="Default"/>
        <w:spacing w:line="20" w:lineRule="atLeast"/>
        <w:rPr>
          <w:rFonts w:ascii="Arial" w:hAnsi="Arial" w:cs="Arial"/>
          <w:sz w:val="20"/>
          <w:szCs w:val="20"/>
        </w:rPr>
      </w:pPr>
      <w:r w:rsidRPr="004B795B">
        <w:rPr>
          <w:rFonts w:ascii="Arial" w:hAnsi="Arial" w:cs="Arial"/>
          <w:sz w:val="20"/>
          <w:szCs w:val="20"/>
        </w:rPr>
        <w:t xml:space="preserve">The IJB </w:t>
      </w:r>
      <w:r w:rsidR="00822D5B" w:rsidRPr="004B795B">
        <w:rPr>
          <w:rFonts w:ascii="Arial" w:hAnsi="Arial" w:cs="Arial"/>
          <w:sz w:val="20"/>
          <w:szCs w:val="20"/>
        </w:rPr>
        <w:t>however</w:t>
      </w:r>
      <w:r w:rsidRPr="004B795B">
        <w:rPr>
          <w:rFonts w:ascii="Arial" w:hAnsi="Arial" w:cs="Arial"/>
          <w:sz w:val="20"/>
          <w:szCs w:val="20"/>
        </w:rPr>
        <w:t xml:space="preserve"> has responsibility for funding the employer contributions for the current year</w:t>
      </w:r>
      <w:r w:rsidR="00D905AC" w:rsidRPr="004B795B">
        <w:rPr>
          <w:rFonts w:ascii="Arial" w:hAnsi="Arial" w:cs="Arial"/>
          <w:sz w:val="20"/>
          <w:szCs w:val="20"/>
        </w:rPr>
        <w:t xml:space="preserve"> in respect of the officer time spent on fulfilling the responsibilities of their role on the IJB</w:t>
      </w:r>
      <w:r w:rsidRPr="004B795B">
        <w:rPr>
          <w:rFonts w:ascii="Arial" w:hAnsi="Arial" w:cs="Arial"/>
          <w:sz w:val="20"/>
          <w:szCs w:val="20"/>
        </w:rPr>
        <w:t xml:space="preserve">. </w:t>
      </w:r>
    </w:p>
    <w:p w14:paraId="289D5599" w14:textId="77777777" w:rsidR="000875CB" w:rsidRDefault="000875CB" w:rsidP="00334CC6">
      <w:pPr>
        <w:pStyle w:val="Default"/>
        <w:spacing w:line="20" w:lineRule="atLeast"/>
        <w:rPr>
          <w:rFonts w:ascii="Arial" w:hAnsi="Arial" w:cs="Arial"/>
          <w:sz w:val="20"/>
          <w:szCs w:val="20"/>
        </w:rPr>
      </w:pPr>
    </w:p>
    <w:p w14:paraId="1FB49BDB" w14:textId="2F600ABC" w:rsidR="003F3CA0" w:rsidRDefault="00822D5B" w:rsidP="00334CC6">
      <w:pPr>
        <w:pStyle w:val="Default"/>
        <w:spacing w:line="20" w:lineRule="atLeast"/>
        <w:rPr>
          <w:rFonts w:ascii="Arial" w:hAnsi="Arial" w:cs="Arial"/>
          <w:sz w:val="20"/>
          <w:szCs w:val="20"/>
        </w:rPr>
      </w:pPr>
      <w:r w:rsidRPr="004B795B">
        <w:rPr>
          <w:rFonts w:ascii="Arial" w:hAnsi="Arial" w:cs="Arial"/>
          <w:sz w:val="20"/>
          <w:szCs w:val="20"/>
        </w:rPr>
        <w:t xml:space="preserve">The following table shows the IJB’s </w:t>
      </w:r>
      <w:r w:rsidR="000E7272" w:rsidRPr="004B795B">
        <w:rPr>
          <w:rFonts w:ascii="Arial" w:hAnsi="Arial" w:cs="Arial"/>
          <w:sz w:val="20"/>
          <w:szCs w:val="20"/>
        </w:rPr>
        <w:t xml:space="preserve">funding </w:t>
      </w:r>
      <w:r w:rsidRPr="004B795B">
        <w:rPr>
          <w:rFonts w:ascii="Arial" w:hAnsi="Arial" w:cs="Arial"/>
          <w:sz w:val="20"/>
          <w:szCs w:val="20"/>
        </w:rPr>
        <w:t>during the year</w:t>
      </w:r>
      <w:r w:rsidR="00D905AC" w:rsidRPr="004B795B">
        <w:rPr>
          <w:rFonts w:ascii="Arial" w:hAnsi="Arial" w:cs="Arial"/>
          <w:sz w:val="20"/>
          <w:szCs w:val="20"/>
        </w:rPr>
        <w:t xml:space="preserve"> </w:t>
      </w:r>
      <w:r w:rsidR="000E7272" w:rsidRPr="004B795B">
        <w:rPr>
          <w:rFonts w:ascii="Arial" w:hAnsi="Arial" w:cs="Arial"/>
          <w:sz w:val="20"/>
          <w:szCs w:val="20"/>
        </w:rPr>
        <w:t xml:space="preserve">to support </w:t>
      </w:r>
      <w:r w:rsidR="00D905AC" w:rsidRPr="004B795B">
        <w:rPr>
          <w:rFonts w:ascii="Arial" w:hAnsi="Arial" w:cs="Arial"/>
          <w:sz w:val="20"/>
          <w:szCs w:val="20"/>
        </w:rPr>
        <w:t>officers’</w:t>
      </w:r>
      <w:r w:rsidRPr="004B795B">
        <w:rPr>
          <w:rFonts w:ascii="Arial" w:hAnsi="Arial" w:cs="Arial"/>
          <w:sz w:val="20"/>
          <w:szCs w:val="20"/>
        </w:rPr>
        <w:t xml:space="preserve"> pension benefits. The table also shows the total value of accrued pension benefits which </w:t>
      </w:r>
      <w:r w:rsidR="006D14D8" w:rsidRPr="004B795B">
        <w:rPr>
          <w:rFonts w:ascii="Arial" w:hAnsi="Arial" w:cs="Arial"/>
          <w:sz w:val="20"/>
          <w:szCs w:val="20"/>
        </w:rPr>
        <w:t>may</w:t>
      </w:r>
      <w:r w:rsidRPr="004B795B">
        <w:rPr>
          <w:rFonts w:ascii="Arial" w:hAnsi="Arial" w:cs="Arial"/>
          <w:sz w:val="20"/>
          <w:szCs w:val="20"/>
        </w:rPr>
        <w:t xml:space="preserve"> include benefits earned in other employment positions</w:t>
      </w:r>
      <w:r w:rsidR="00783CBA" w:rsidRPr="004B795B">
        <w:rPr>
          <w:rFonts w:ascii="Arial" w:hAnsi="Arial" w:cs="Arial"/>
          <w:sz w:val="20"/>
          <w:szCs w:val="20"/>
        </w:rPr>
        <w:t xml:space="preserve"> and from </w:t>
      </w:r>
      <w:r w:rsidR="00D905AC" w:rsidRPr="004B795B">
        <w:rPr>
          <w:rFonts w:ascii="Arial" w:hAnsi="Arial" w:cs="Arial"/>
          <w:sz w:val="20"/>
          <w:szCs w:val="20"/>
        </w:rPr>
        <w:t>each officer’s</w:t>
      </w:r>
      <w:r w:rsidR="004D2E4E" w:rsidRPr="004B795B">
        <w:rPr>
          <w:rFonts w:ascii="Arial" w:hAnsi="Arial" w:cs="Arial"/>
          <w:sz w:val="20"/>
          <w:szCs w:val="20"/>
        </w:rPr>
        <w:t xml:space="preserve"> own contributions.</w:t>
      </w:r>
    </w:p>
    <w:p w14:paraId="1288A644" w14:textId="77777777" w:rsidR="003F3CA0" w:rsidRDefault="003F3CA0" w:rsidP="00E70E26">
      <w:pPr>
        <w:pStyle w:val="Default"/>
        <w:rPr>
          <w:rFonts w:ascii="Arial" w:hAnsi="Arial" w:cs="Arial"/>
          <w:sz w:val="20"/>
          <w:szCs w:val="20"/>
        </w:rPr>
      </w:pPr>
      <w:r>
        <w:rPr>
          <w:rFonts w:ascii="Arial" w:hAnsi="Arial" w:cs="Arial"/>
          <w:sz w:val="20"/>
          <w:szCs w:val="20"/>
        </w:rPr>
        <w:br w:type="page"/>
      </w:r>
    </w:p>
    <w:p w14:paraId="06DB8A94" w14:textId="77777777" w:rsidR="00483186" w:rsidRPr="00C9207C" w:rsidRDefault="00483186" w:rsidP="00A51927">
      <w:pPr>
        <w:spacing w:after="0" w:line="240" w:lineRule="auto"/>
        <w:rPr>
          <w:rFonts w:ascii="Arial" w:hAnsi="Arial" w:cs="Arial"/>
          <w:sz w:val="20"/>
          <w:szCs w:val="20"/>
          <w:highlight w:val="yellow"/>
        </w:rPr>
      </w:pPr>
    </w:p>
    <w:tbl>
      <w:tblPr>
        <w:tblW w:w="5000" w:type="pct"/>
        <w:tblLook w:val="04A0" w:firstRow="1" w:lastRow="0" w:firstColumn="1" w:lastColumn="0" w:noHBand="0" w:noVBand="1"/>
      </w:tblPr>
      <w:tblGrid>
        <w:gridCol w:w="1061"/>
        <w:gridCol w:w="1300"/>
        <w:gridCol w:w="1385"/>
        <w:gridCol w:w="1324"/>
        <w:gridCol w:w="995"/>
        <w:gridCol w:w="1055"/>
        <w:gridCol w:w="966"/>
        <w:gridCol w:w="935"/>
      </w:tblGrid>
      <w:tr w:rsidR="00A75C31" w:rsidRPr="0096093B" w14:paraId="7611F7AA" w14:textId="77777777" w:rsidTr="009B35BC">
        <w:trPr>
          <w:gridAfter w:val="2"/>
          <w:wAfter w:w="1054" w:type="pct"/>
          <w:trHeight w:val="300"/>
        </w:trPr>
        <w:tc>
          <w:tcPr>
            <w:tcW w:w="588" w:type="pct"/>
            <w:tcBorders>
              <w:top w:val="nil"/>
              <w:left w:val="nil"/>
              <w:bottom w:val="nil"/>
              <w:right w:val="nil"/>
            </w:tcBorders>
            <w:noWrap/>
            <w:vAlign w:val="center"/>
            <w:hideMark/>
          </w:tcPr>
          <w:p w14:paraId="31E00FF6" w14:textId="77777777" w:rsidR="00A75C31" w:rsidRPr="0096093B" w:rsidRDefault="00A75C31" w:rsidP="00F60A1D">
            <w:pPr>
              <w:spacing w:after="0" w:line="240" w:lineRule="auto"/>
              <w:rPr>
                <w:rFonts w:ascii="Arial" w:eastAsia="Times New Roman" w:hAnsi="Arial" w:cs="Arial"/>
                <w:sz w:val="17"/>
                <w:szCs w:val="17"/>
                <w:lang w:eastAsia="en-GB"/>
              </w:rPr>
            </w:pPr>
          </w:p>
        </w:tc>
        <w:tc>
          <w:tcPr>
            <w:tcW w:w="721" w:type="pct"/>
            <w:tcBorders>
              <w:top w:val="nil"/>
              <w:left w:val="nil"/>
              <w:bottom w:val="nil"/>
              <w:right w:val="nil"/>
            </w:tcBorders>
            <w:noWrap/>
            <w:vAlign w:val="center"/>
            <w:hideMark/>
          </w:tcPr>
          <w:p w14:paraId="7BD118E5" w14:textId="77777777" w:rsidR="00A75C31" w:rsidRPr="0096093B" w:rsidRDefault="00A75C31" w:rsidP="00F60A1D">
            <w:pPr>
              <w:spacing w:after="0" w:line="240" w:lineRule="auto"/>
              <w:rPr>
                <w:rFonts w:ascii="Arial" w:eastAsia="Times New Roman" w:hAnsi="Arial" w:cs="Arial"/>
                <w:sz w:val="17"/>
                <w:szCs w:val="17"/>
                <w:lang w:eastAsia="en-GB"/>
              </w:rPr>
            </w:pPr>
          </w:p>
        </w:tc>
        <w:tc>
          <w:tcPr>
            <w:tcW w:w="2638" w:type="pct"/>
            <w:gridSpan w:val="4"/>
            <w:tcBorders>
              <w:top w:val="single" w:sz="4" w:space="0" w:color="auto"/>
              <w:left w:val="single" w:sz="4" w:space="0" w:color="auto"/>
              <w:bottom w:val="single" w:sz="4" w:space="0" w:color="auto"/>
              <w:right w:val="single" w:sz="4" w:space="0" w:color="auto"/>
            </w:tcBorders>
            <w:noWrap/>
            <w:vAlign w:val="center"/>
            <w:hideMark/>
          </w:tcPr>
          <w:p w14:paraId="1FB502CD"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Accrued Pension Benefits</w:t>
            </w:r>
          </w:p>
        </w:tc>
      </w:tr>
      <w:tr w:rsidR="000E3CB2" w:rsidRPr="0096093B" w14:paraId="3E985B22" w14:textId="77777777" w:rsidTr="009B35BC">
        <w:trPr>
          <w:trHeight w:val="300"/>
        </w:trPr>
        <w:tc>
          <w:tcPr>
            <w:tcW w:w="588" w:type="pct"/>
            <w:tcBorders>
              <w:top w:val="single" w:sz="4" w:space="0" w:color="auto"/>
              <w:left w:val="single" w:sz="4" w:space="0" w:color="auto"/>
              <w:bottom w:val="nil"/>
              <w:right w:val="single" w:sz="4" w:space="0" w:color="auto"/>
            </w:tcBorders>
            <w:noWrap/>
            <w:vAlign w:val="center"/>
            <w:hideMark/>
          </w:tcPr>
          <w:p w14:paraId="3E5E8ACB" w14:textId="77777777" w:rsidR="000E3CB2" w:rsidRPr="0096093B" w:rsidRDefault="000E3CB2"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Officer Name</w:t>
            </w:r>
          </w:p>
        </w:tc>
        <w:tc>
          <w:tcPr>
            <w:tcW w:w="721" w:type="pct"/>
            <w:tcBorders>
              <w:top w:val="single" w:sz="4" w:space="0" w:color="auto"/>
              <w:left w:val="nil"/>
              <w:bottom w:val="nil"/>
              <w:right w:val="single" w:sz="4" w:space="0" w:color="auto"/>
            </w:tcBorders>
            <w:noWrap/>
            <w:vAlign w:val="center"/>
            <w:hideMark/>
          </w:tcPr>
          <w:p w14:paraId="4BFF68A2" w14:textId="77777777" w:rsidR="000E3CB2" w:rsidRPr="0096093B" w:rsidRDefault="000E3CB2"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Responsibility</w:t>
            </w:r>
          </w:p>
        </w:tc>
        <w:tc>
          <w:tcPr>
            <w:tcW w:w="768" w:type="pct"/>
            <w:tcBorders>
              <w:top w:val="single" w:sz="4" w:space="0" w:color="auto"/>
              <w:left w:val="nil"/>
              <w:bottom w:val="nil"/>
              <w:right w:val="nil"/>
            </w:tcBorders>
            <w:noWrap/>
            <w:vAlign w:val="center"/>
            <w:hideMark/>
          </w:tcPr>
          <w:p w14:paraId="205DF55B"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Pension as at</w:t>
            </w:r>
          </w:p>
        </w:tc>
        <w:tc>
          <w:tcPr>
            <w:tcW w:w="734" w:type="pct"/>
            <w:tcBorders>
              <w:top w:val="single" w:sz="4" w:space="0" w:color="auto"/>
              <w:left w:val="single" w:sz="4" w:space="0" w:color="auto"/>
              <w:bottom w:val="nil"/>
              <w:right w:val="single" w:sz="4" w:space="0" w:color="auto"/>
            </w:tcBorders>
            <w:noWrap/>
            <w:vAlign w:val="center"/>
            <w:hideMark/>
          </w:tcPr>
          <w:p w14:paraId="4F9A6A1E"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Pension Difference</w:t>
            </w:r>
          </w:p>
        </w:tc>
        <w:tc>
          <w:tcPr>
            <w:tcW w:w="551" w:type="pct"/>
            <w:tcBorders>
              <w:top w:val="single" w:sz="4" w:space="0" w:color="auto"/>
              <w:left w:val="single" w:sz="4" w:space="0" w:color="auto"/>
              <w:bottom w:val="nil"/>
              <w:right w:val="single" w:sz="4" w:space="0" w:color="auto"/>
            </w:tcBorders>
            <w:noWrap/>
            <w:vAlign w:val="center"/>
            <w:hideMark/>
          </w:tcPr>
          <w:p w14:paraId="71E5D45E"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Lump sum</w:t>
            </w:r>
          </w:p>
        </w:tc>
        <w:tc>
          <w:tcPr>
            <w:tcW w:w="585" w:type="pct"/>
            <w:tcBorders>
              <w:top w:val="single" w:sz="4" w:space="0" w:color="auto"/>
              <w:left w:val="nil"/>
              <w:bottom w:val="nil"/>
              <w:right w:val="single" w:sz="4" w:space="0" w:color="auto"/>
            </w:tcBorders>
            <w:noWrap/>
            <w:vAlign w:val="center"/>
            <w:hideMark/>
          </w:tcPr>
          <w:p w14:paraId="19110154"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xml:space="preserve">Lump sum </w:t>
            </w:r>
          </w:p>
        </w:tc>
        <w:tc>
          <w:tcPr>
            <w:tcW w:w="105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8B70751" w14:textId="54813C63" w:rsidR="000E3CB2" w:rsidRPr="0096093B" w:rsidRDefault="007A6C49" w:rsidP="00F60A1D">
            <w:pPr>
              <w:spacing w:after="0" w:line="240" w:lineRule="auto"/>
              <w:jc w:val="center"/>
              <w:rPr>
                <w:rFonts w:ascii="Arial" w:eastAsia="Times New Roman" w:hAnsi="Arial" w:cs="Arial"/>
                <w:b/>
                <w:bCs/>
                <w:color w:val="000000"/>
                <w:sz w:val="17"/>
                <w:szCs w:val="17"/>
                <w:lang w:eastAsia="en-GB"/>
              </w:rPr>
            </w:pPr>
            <w:r>
              <w:rPr>
                <w:rFonts w:ascii="Arial" w:eastAsia="Times New Roman" w:hAnsi="Arial" w:cs="Arial"/>
                <w:b/>
                <w:bCs/>
                <w:color w:val="000000"/>
                <w:sz w:val="17"/>
                <w:szCs w:val="17"/>
                <w:lang w:eastAsia="en-GB"/>
              </w:rPr>
              <w:t>In-</w:t>
            </w:r>
            <w:r w:rsidR="00C336C5">
              <w:rPr>
                <w:rFonts w:ascii="Arial" w:eastAsia="Times New Roman" w:hAnsi="Arial" w:cs="Arial"/>
                <w:b/>
                <w:bCs/>
                <w:color w:val="000000"/>
                <w:sz w:val="17"/>
                <w:szCs w:val="17"/>
                <w:lang w:eastAsia="en-GB"/>
              </w:rPr>
              <w:t xml:space="preserve">year </w:t>
            </w:r>
            <w:r w:rsidR="000E3CB2" w:rsidRPr="0096093B">
              <w:rPr>
                <w:rFonts w:ascii="Arial" w:eastAsia="Times New Roman" w:hAnsi="Arial" w:cs="Arial"/>
                <w:b/>
                <w:bCs/>
                <w:color w:val="000000"/>
                <w:sz w:val="17"/>
                <w:szCs w:val="17"/>
                <w:lang w:eastAsia="en-GB"/>
              </w:rPr>
              <w:t>Pension</w:t>
            </w:r>
          </w:p>
          <w:p w14:paraId="300167EE" w14:textId="32E7B157" w:rsidR="000E3CB2" w:rsidRPr="0096093B" w:rsidRDefault="000E3CB2" w:rsidP="000E3CB2">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Contribution</w:t>
            </w:r>
          </w:p>
        </w:tc>
      </w:tr>
      <w:tr w:rsidR="000E3CB2" w:rsidRPr="0096093B" w14:paraId="22ABCB15" w14:textId="77777777" w:rsidTr="009B35BC">
        <w:trPr>
          <w:trHeight w:val="300"/>
        </w:trPr>
        <w:tc>
          <w:tcPr>
            <w:tcW w:w="588" w:type="pct"/>
            <w:tcBorders>
              <w:top w:val="nil"/>
              <w:left w:val="single" w:sz="4" w:space="0" w:color="auto"/>
              <w:bottom w:val="nil"/>
              <w:right w:val="single" w:sz="4" w:space="0" w:color="auto"/>
            </w:tcBorders>
            <w:noWrap/>
            <w:vAlign w:val="center"/>
            <w:hideMark/>
          </w:tcPr>
          <w:p w14:paraId="75ECFEF1" w14:textId="77777777" w:rsidR="000E3CB2" w:rsidRPr="0096093B" w:rsidRDefault="000E3CB2"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21" w:type="pct"/>
            <w:tcBorders>
              <w:top w:val="nil"/>
              <w:left w:val="nil"/>
              <w:bottom w:val="nil"/>
              <w:right w:val="single" w:sz="4" w:space="0" w:color="auto"/>
            </w:tcBorders>
            <w:noWrap/>
            <w:vAlign w:val="center"/>
            <w:hideMark/>
          </w:tcPr>
          <w:p w14:paraId="1FFD4A5B" w14:textId="77777777" w:rsidR="000E3CB2" w:rsidRPr="0096093B" w:rsidRDefault="000E3CB2"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68" w:type="pct"/>
            <w:tcBorders>
              <w:top w:val="nil"/>
              <w:left w:val="nil"/>
              <w:bottom w:val="nil"/>
              <w:right w:val="nil"/>
            </w:tcBorders>
            <w:noWrap/>
            <w:vAlign w:val="center"/>
            <w:hideMark/>
          </w:tcPr>
          <w:p w14:paraId="531A40A0"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31/03/2026</w:t>
            </w:r>
          </w:p>
        </w:tc>
        <w:tc>
          <w:tcPr>
            <w:tcW w:w="734" w:type="pct"/>
            <w:tcBorders>
              <w:top w:val="nil"/>
              <w:left w:val="single" w:sz="4" w:space="0" w:color="auto"/>
              <w:bottom w:val="nil"/>
              <w:right w:val="single" w:sz="4" w:space="0" w:color="auto"/>
            </w:tcBorders>
            <w:noWrap/>
            <w:vAlign w:val="center"/>
            <w:hideMark/>
          </w:tcPr>
          <w:p w14:paraId="312E237A"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from 31/03/25</w:t>
            </w:r>
          </w:p>
        </w:tc>
        <w:tc>
          <w:tcPr>
            <w:tcW w:w="551" w:type="pct"/>
            <w:tcBorders>
              <w:top w:val="nil"/>
              <w:left w:val="single" w:sz="4" w:space="0" w:color="auto"/>
              <w:bottom w:val="nil"/>
              <w:right w:val="single" w:sz="4" w:space="0" w:color="auto"/>
            </w:tcBorders>
            <w:noWrap/>
            <w:vAlign w:val="center"/>
            <w:hideMark/>
          </w:tcPr>
          <w:p w14:paraId="5213C1A2"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as at 31/03/26</w:t>
            </w:r>
          </w:p>
        </w:tc>
        <w:tc>
          <w:tcPr>
            <w:tcW w:w="585" w:type="pct"/>
            <w:tcBorders>
              <w:top w:val="nil"/>
              <w:left w:val="nil"/>
              <w:bottom w:val="nil"/>
              <w:right w:val="single" w:sz="4" w:space="0" w:color="auto"/>
            </w:tcBorders>
            <w:noWrap/>
            <w:vAlign w:val="center"/>
            <w:hideMark/>
          </w:tcPr>
          <w:p w14:paraId="5AF8342C" w14:textId="77777777"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difference from</w:t>
            </w:r>
          </w:p>
        </w:tc>
        <w:tc>
          <w:tcPr>
            <w:tcW w:w="1054" w:type="pct"/>
            <w:gridSpan w:val="2"/>
            <w:vMerge/>
            <w:tcBorders>
              <w:left w:val="single" w:sz="4" w:space="0" w:color="auto"/>
              <w:bottom w:val="single" w:sz="4" w:space="0" w:color="auto"/>
              <w:right w:val="single" w:sz="4" w:space="0" w:color="auto"/>
            </w:tcBorders>
            <w:noWrap/>
            <w:vAlign w:val="center"/>
            <w:hideMark/>
          </w:tcPr>
          <w:p w14:paraId="4F6921BB" w14:textId="43DB7629" w:rsidR="000E3CB2" w:rsidRPr="0096093B" w:rsidRDefault="000E3CB2" w:rsidP="00F60A1D">
            <w:pPr>
              <w:spacing w:after="0" w:line="240" w:lineRule="auto"/>
              <w:jc w:val="center"/>
              <w:rPr>
                <w:rFonts w:ascii="Arial" w:eastAsia="Times New Roman" w:hAnsi="Arial" w:cs="Arial"/>
                <w:b/>
                <w:bCs/>
                <w:color w:val="000000"/>
                <w:sz w:val="17"/>
                <w:szCs w:val="17"/>
                <w:lang w:eastAsia="en-GB"/>
              </w:rPr>
            </w:pPr>
          </w:p>
        </w:tc>
      </w:tr>
      <w:tr w:rsidR="00A75C31" w:rsidRPr="0096093B" w14:paraId="0FF971F9" w14:textId="77777777" w:rsidTr="009B35BC">
        <w:trPr>
          <w:trHeight w:val="300"/>
        </w:trPr>
        <w:tc>
          <w:tcPr>
            <w:tcW w:w="588" w:type="pct"/>
            <w:tcBorders>
              <w:top w:val="nil"/>
              <w:left w:val="single" w:sz="4" w:space="0" w:color="auto"/>
              <w:bottom w:val="nil"/>
              <w:right w:val="single" w:sz="4" w:space="0" w:color="auto"/>
            </w:tcBorders>
            <w:noWrap/>
            <w:vAlign w:val="center"/>
            <w:hideMark/>
          </w:tcPr>
          <w:p w14:paraId="339AB088"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21" w:type="pct"/>
            <w:tcBorders>
              <w:top w:val="nil"/>
              <w:left w:val="nil"/>
              <w:bottom w:val="nil"/>
              <w:right w:val="single" w:sz="4" w:space="0" w:color="auto"/>
            </w:tcBorders>
            <w:noWrap/>
            <w:vAlign w:val="center"/>
            <w:hideMark/>
          </w:tcPr>
          <w:p w14:paraId="50732B52"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68" w:type="pct"/>
            <w:tcBorders>
              <w:top w:val="nil"/>
              <w:left w:val="nil"/>
              <w:bottom w:val="nil"/>
              <w:right w:val="nil"/>
            </w:tcBorders>
            <w:noWrap/>
            <w:vAlign w:val="center"/>
            <w:hideMark/>
          </w:tcPr>
          <w:p w14:paraId="6D51C16D"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34" w:type="pct"/>
            <w:tcBorders>
              <w:top w:val="nil"/>
              <w:left w:val="single" w:sz="4" w:space="0" w:color="auto"/>
              <w:bottom w:val="nil"/>
              <w:right w:val="single" w:sz="4" w:space="0" w:color="auto"/>
            </w:tcBorders>
            <w:noWrap/>
            <w:vAlign w:val="center"/>
            <w:hideMark/>
          </w:tcPr>
          <w:p w14:paraId="74766E3A"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551" w:type="pct"/>
            <w:tcBorders>
              <w:top w:val="nil"/>
              <w:left w:val="single" w:sz="4" w:space="0" w:color="auto"/>
              <w:bottom w:val="nil"/>
              <w:right w:val="single" w:sz="4" w:space="0" w:color="auto"/>
            </w:tcBorders>
            <w:noWrap/>
            <w:vAlign w:val="center"/>
            <w:hideMark/>
          </w:tcPr>
          <w:p w14:paraId="7E6F9C2E"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585" w:type="pct"/>
            <w:tcBorders>
              <w:top w:val="nil"/>
              <w:left w:val="nil"/>
              <w:bottom w:val="nil"/>
              <w:right w:val="single" w:sz="4" w:space="0" w:color="auto"/>
            </w:tcBorders>
            <w:noWrap/>
            <w:vAlign w:val="center"/>
            <w:hideMark/>
          </w:tcPr>
          <w:p w14:paraId="1AC78D52" w14:textId="3031C01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31/03/25</w:t>
            </w:r>
          </w:p>
        </w:tc>
        <w:tc>
          <w:tcPr>
            <w:tcW w:w="535" w:type="pct"/>
            <w:tcBorders>
              <w:top w:val="single" w:sz="4" w:space="0" w:color="auto"/>
              <w:left w:val="single" w:sz="4" w:space="0" w:color="auto"/>
              <w:bottom w:val="nil"/>
              <w:right w:val="nil"/>
            </w:tcBorders>
            <w:noWrap/>
            <w:vAlign w:val="center"/>
            <w:hideMark/>
          </w:tcPr>
          <w:p w14:paraId="748538F6"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2025/26</w:t>
            </w:r>
          </w:p>
        </w:tc>
        <w:tc>
          <w:tcPr>
            <w:tcW w:w="518" w:type="pct"/>
            <w:tcBorders>
              <w:top w:val="single" w:sz="4" w:space="0" w:color="auto"/>
              <w:left w:val="single" w:sz="4" w:space="0" w:color="auto"/>
              <w:bottom w:val="nil"/>
              <w:right w:val="single" w:sz="4" w:space="0" w:color="auto"/>
            </w:tcBorders>
            <w:noWrap/>
            <w:vAlign w:val="center"/>
            <w:hideMark/>
          </w:tcPr>
          <w:p w14:paraId="35E71BB8"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2024/25</w:t>
            </w:r>
          </w:p>
        </w:tc>
      </w:tr>
      <w:tr w:rsidR="00A75C31" w:rsidRPr="0096093B" w14:paraId="0E66EE3A" w14:textId="77777777" w:rsidTr="007218E8">
        <w:trPr>
          <w:trHeight w:val="300"/>
        </w:trPr>
        <w:tc>
          <w:tcPr>
            <w:tcW w:w="588" w:type="pct"/>
            <w:tcBorders>
              <w:top w:val="nil"/>
              <w:left w:val="single" w:sz="4" w:space="0" w:color="auto"/>
              <w:bottom w:val="single" w:sz="4" w:space="0" w:color="auto"/>
              <w:right w:val="single" w:sz="4" w:space="0" w:color="auto"/>
            </w:tcBorders>
            <w:noWrap/>
            <w:vAlign w:val="center"/>
            <w:hideMark/>
          </w:tcPr>
          <w:p w14:paraId="6F96156D"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21" w:type="pct"/>
            <w:tcBorders>
              <w:top w:val="nil"/>
              <w:left w:val="nil"/>
              <w:bottom w:val="single" w:sz="4" w:space="0" w:color="auto"/>
              <w:right w:val="single" w:sz="4" w:space="0" w:color="auto"/>
            </w:tcBorders>
            <w:noWrap/>
            <w:vAlign w:val="center"/>
            <w:hideMark/>
          </w:tcPr>
          <w:p w14:paraId="6BC0EABC"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 </w:t>
            </w:r>
          </w:p>
        </w:tc>
        <w:tc>
          <w:tcPr>
            <w:tcW w:w="768" w:type="pct"/>
            <w:tcBorders>
              <w:top w:val="nil"/>
              <w:left w:val="nil"/>
              <w:bottom w:val="single" w:sz="4" w:space="0" w:color="auto"/>
              <w:right w:val="nil"/>
            </w:tcBorders>
            <w:noWrap/>
            <w:vAlign w:val="center"/>
            <w:hideMark/>
          </w:tcPr>
          <w:p w14:paraId="62FA1D1D"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c>
          <w:tcPr>
            <w:tcW w:w="734" w:type="pct"/>
            <w:tcBorders>
              <w:top w:val="nil"/>
              <w:left w:val="single" w:sz="4" w:space="0" w:color="auto"/>
              <w:bottom w:val="single" w:sz="4" w:space="0" w:color="auto"/>
              <w:right w:val="single" w:sz="4" w:space="0" w:color="auto"/>
            </w:tcBorders>
            <w:noWrap/>
            <w:vAlign w:val="center"/>
            <w:hideMark/>
          </w:tcPr>
          <w:p w14:paraId="303BD440"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c>
          <w:tcPr>
            <w:tcW w:w="551" w:type="pct"/>
            <w:tcBorders>
              <w:top w:val="nil"/>
              <w:left w:val="single" w:sz="4" w:space="0" w:color="auto"/>
              <w:bottom w:val="single" w:sz="4" w:space="0" w:color="auto"/>
              <w:right w:val="single" w:sz="4" w:space="0" w:color="auto"/>
            </w:tcBorders>
            <w:noWrap/>
            <w:vAlign w:val="center"/>
            <w:hideMark/>
          </w:tcPr>
          <w:p w14:paraId="024A789D"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c>
          <w:tcPr>
            <w:tcW w:w="585" w:type="pct"/>
            <w:tcBorders>
              <w:top w:val="nil"/>
              <w:left w:val="nil"/>
              <w:bottom w:val="single" w:sz="4" w:space="0" w:color="auto"/>
              <w:right w:val="single" w:sz="4" w:space="0" w:color="auto"/>
            </w:tcBorders>
            <w:noWrap/>
            <w:vAlign w:val="center"/>
            <w:hideMark/>
          </w:tcPr>
          <w:p w14:paraId="7E01DEF2"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c>
          <w:tcPr>
            <w:tcW w:w="535" w:type="pct"/>
            <w:tcBorders>
              <w:top w:val="nil"/>
              <w:left w:val="single" w:sz="4" w:space="0" w:color="auto"/>
              <w:bottom w:val="single" w:sz="4" w:space="0" w:color="auto"/>
              <w:right w:val="nil"/>
            </w:tcBorders>
            <w:noWrap/>
            <w:vAlign w:val="center"/>
            <w:hideMark/>
          </w:tcPr>
          <w:p w14:paraId="28D2E7CC"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c>
          <w:tcPr>
            <w:tcW w:w="518" w:type="pct"/>
            <w:tcBorders>
              <w:top w:val="nil"/>
              <w:left w:val="single" w:sz="4" w:space="0" w:color="auto"/>
              <w:bottom w:val="single" w:sz="4" w:space="0" w:color="auto"/>
              <w:right w:val="single" w:sz="4" w:space="0" w:color="auto"/>
            </w:tcBorders>
            <w:noWrap/>
            <w:vAlign w:val="center"/>
            <w:hideMark/>
          </w:tcPr>
          <w:p w14:paraId="3E134DA8" w14:textId="7777777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w:t>
            </w:r>
          </w:p>
        </w:tc>
      </w:tr>
      <w:tr w:rsidR="00A75C31" w:rsidRPr="0096093B" w14:paraId="4B32EE96" w14:textId="77777777" w:rsidTr="009B35BC">
        <w:trPr>
          <w:trHeight w:val="300"/>
        </w:trPr>
        <w:tc>
          <w:tcPr>
            <w:tcW w:w="588" w:type="pct"/>
            <w:tcBorders>
              <w:top w:val="single" w:sz="4" w:space="0" w:color="auto"/>
              <w:left w:val="single" w:sz="4" w:space="0" w:color="auto"/>
              <w:bottom w:val="nil"/>
              <w:right w:val="single" w:sz="4" w:space="0" w:color="auto"/>
            </w:tcBorders>
            <w:noWrap/>
            <w:vAlign w:val="center"/>
            <w:hideMark/>
          </w:tcPr>
          <w:p w14:paraId="1DCDED35"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Fiona Mitchelhill</w:t>
            </w:r>
          </w:p>
        </w:tc>
        <w:tc>
          <w:tcPr>
            <w:tcW w:w="721" w:type="pct"/>
            <w:tcBorders>
              <w:top w:val="single" w:sz="4" w:space="0" w:color="auto"/>
              <w:left w:val="nil"/>
              <w:bottom w:val="nil"/>
              <w:right w:val="single" w:sz="4" w:space="0" w:color="auto"/>
            </w:tcBorders>
            <w:noWrap/>
            <w:vAlign w:val="center"/>
            <w:hideMark/>
          </w:tcPr>
          <w:p w14:paraId="0011BE55"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Chief Officer</w:t>
            </w:r>
          </w:p>
        </w:tc>
        <w:tc>
          <w:tcPr>
            <w:tcW w:w="768" w:type="pct"/>
            <w:tcBorders>
              <w:top w:val="single" w:sz="4" w:space="0" w:color="auto"/>
              <w:left w:val="nil"/>
              <w:bottom w:val="nil"/>
              <w:right w:val="nil"/>
            </w:tcBorders>
            <w:noWrap/>
            <w:vAlign w:val="center"/>
            <w:hideMark/>
          </w:tcPr>
          <w:p w14:paraId="43BF7F92"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40,670 </w:t>
            </w:r>
          </w:p>
        </w:tc>
        <w:tc>
          <w:tcPr>
            <w:tcW w:w="734" w:type="pct"/>
            <w:tcBorders>
              <w:top w:val="single" w:sz="4" w:space="0" w:color="auto"/>
              <w:left w:val="single" w:sz="4" w:space="0" w:color="auto"/>
              <w:bottom w:val="nil"/>
              <w:right w:val="single" w:sz="4" w:space="0" w:color="auto"/>
            </w:tcBorders>
            <w:noWrap/>
            <w:vAlign w:val="center"/>
            <w:hideMark/>
          </w:tcPr>
          <w:p w14:paraId="248DE2D4"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4,702 </w:t>
            </w:r>
          </w:p>
        </w:tc>
        <w:tc>
          <w:tcPr>
            <w:tcW w:w="551" w:type="pct"/>
            <w:tcBorders>
              <w:top w:val="single" w:sz="4" w:space="0" w:color="auto"/>
              <w:left w:val="single" w:sz="4" w:space="0" w:color="auto"/>
              <w:bottom w:val="nil"/>
              <w:right w:val="single" w:sz="4" w:space="0" w:color="auto"/>
            </w:tcBorders>
            <w:noWrap/>
            <w:vAlign w:val="center"/>
            <w:hideMark/>
          </w:tcPr>
          <w:p w14:paraId="72439782"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96,164 </w:t>
            </w:r>
          </w:p>
        </w:tc>
        <w:tc>
          <w:tcPr>
            <w:tcW w:w="585" w:type="pct"/>
            <w:tcBorders>
              <w:top w:val="single" w:sz="4" w:space="0" w:color="auto"/>
              <w:left w:val="nil"/>
              <w:bottom w:val="nil"/>
              <w:right w:val="single" w:sz="4" w:space="0" w:color="auto"/>
            </w:tcBorders>
            <w:noWrap/>
            <w:vAlign w:val="center"/>
            <w:hideMark/>
          </w:tcPr>
          <w:p w14:paraId="261854C8"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6,375 </w:t>
            </w:r>
          </w:p>
        </w:tc>
        <w:tc>
          <w:tcPr>
            <w:tcW w:w="535" w:type="pct"/>
            <w:tcBorders>
              <w:top w:val="single" w:sz="4" w:space="0" w:color="auto"/>
              <w:left w:val="single" w:sz="4" w:space="0" w:color="auto"/>
              <w:bottom w:val="nil"/>
              <w:right w:val="nil"/>
            </w:tcBorders>
            <w:noWrap/>
            <w:vAlign w:val="center"/>
            <w:hideMark/>
          </w:tcPr>
          <w:p w14:paraId="0E794E8E"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26,035 </w:t>
            </w:r>
          </w:p>
        </w:tc>
        <w:tc>
          <w:tcPr>
            <w:tcW w:w="518" w:type="pct"/>
            <w:tcBorders>
              <w:top w:val="single" w:sz="4" w:space="0" w:color="auto"/>
              <w:left w:val="single" w:sz="4" w:space="0" w:color="auto"/>
              <w:bottom w:val="nil"/>
              <w:right w:val="single" w:sz="4" w:space="0" w:color="auto"/>
            </w:tcBorders>
            <w:noWrap/>
            <w:vAlign w:val="center"/>
            <w:hideMark/>
          </w:tcPr>
          <w:p w14:paraId="5EC76584"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24,491 </w:t>
            </w:r>
          </w:p>
        </w:tc>
      </w:tr>
      <w:tr w:rsidR="00A75C31" w:rsidRPr="0096093B" w14:paraId="4AAE9780" w14:textId="77777777" w:rsidTr="007218E8">
        <w:trPr>
          <w:trHeight w:val="300"/>
        </w:trPr>
        <w:tc>
          <w:tcPr>
            <w:tcW w:w="588" w:type="pct"/>
            <w:tcBorders>
              <w:top w:val="nil"/>
              <w:left w:val="single" w:sz="4" w:space="0" w:color="auto"/>
              <w:bottom w:val="single" w:sz="4" w:space="0" w:color="auto"/>
              <w:right w:val="single" w:sz="4" w:space="0" w:color="auto"/>
            </w:tcBorders>
            <w:noWrap/>
            <w:vAlign w:val="center"/>
            <w:hideMark/>
          </w:tcPr>
          <w:p w14:paraId="7BF7D844"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21" w:type="pct"/>
            <w:tcBorders>
              <w:top w:val="nil"/>
              <w:left w:val="nil"/>
              <w:bottom w:val="single" w:sz="4" w:space="0" w:color="auto"/>
              <w:right w:val="single" w:sz="4" w:space="0" w:color="auto"/>
            </w:tcBorders>
            <w:noWrap/>
            <w:vAlign w:val="center"/>
            <w:hideMark/>
          </w:tcPr>
          <w:p w14:paraId="6E30987E"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From 19/02/24</w:t>
            </w:r>
          </w:p>
        </w:tc>
        <w:tc>
          <w:tcPr>
            <w:tcW w:w="768" w:type="pct"/>
            <w:tcBorders>
              <w:top w:val="nil"/>
              <w:left w:val="nil"/>
              <w:bottom w:val="single" w:sz="4" w:space="0" w:color="auto"/>
              <w:right w:val="nil"/>
            </w:tcBorders>
            <w:noWrap/>
            <w:vAlign w:val="center"/>
            <w:hideMark/>
          </w:tcPr>
          <w:p w14:paraId="59571A46"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34" w:type="pct"/>
            <w:tcBorders>
              <w:top w:val="nil"/>
              <w:left w:val="single" w:sz="4" w:space="0" w:color="auto"/>
              <w:bottom w:val="single" w:sz="4" w:space="0" w:color="auto"/>
              <w:right w:val="single" w:sz="4" w:space="0" w:color="auto"/>
            </w:tcBorders>
            <w:noWrap/>
            <w:vAlign w:val="center"/>
            <w:hideMark/>
          </w:tcPr>
          <w:p w14:paraId="7D97DD0C"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51" w:type="pct"/>
            <w:tcBorders>
              <w:top w:val="nil"/>
              <w:left w:val="single" w:sz="4" w:space="0" w:color="auto"/>
              <w:bottom w:val="single" w:sz="4" w:space="0" w:color="auto"/>
              <w:right w:val="single" w:sz="4" w:space="0" w:color="auto"/>
            </w:tcBorders>
            <w:noWrap/>
            <w:vAlign w:val="center"/>
            <w:hideMark/>
          </w:tcPr>
          <w:p w14:paraId="46080B99"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85" w:type="pct"/>
            <w:tcBorders>
              <w:top w:val="nil"/>
              <w:left w:val="nil"/>
              <w:bottom w:val="single" w:sz="4" w:space="0" w:color="auto"/>
              <w:right w:val="single" w:sz="4" w:space="0" w:color="auto"/>
            </w:tcBorders>
            <w:noWrap/>
            <w:vAlign w:val="center"/>
            <w:hideMark/>
          </w:tcPr>
          <w:p w14:paraId="3DB1B856"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35" w:type="pct"/>
            <w:tcBorders>
              <w:top w:val="nil"/>
              <w:left w:val="single" w:sz="4" w:space="0" w:color="auto"/>
              <w:bottom w:val="single" w:sz="4" w:space="0" w:color="auto"/>
              <w:right w:val="nil"/>
            </w:tcBorders>
            <w:noWrap/>
            <w:vAlign w:val="center"/>
            <w:hideMark/>
          </w:tcPr>
          <w:p w14:paraId="65F98738"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18" w:type="pct"/>
            <w:tcBorders>
              <w:top w:val="nil"/>
              <w:left w:val="single" w:sz="4" w:space="0" w:color="auto"/>
              <w:bottom w:val="single" w:sz="4" w:space="0" w:color="auto"/>
              <w:right w:val="single" w:sz="4" w:space="0" w:color="auto"/>
            </w:tcBorders>
            <w:noWrap/>
            <w:vAlign w:val="center"/>
            <w:hideMark/>
          </w:tcPr>
          <w:p w14:paraId="30C5503A"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r>
      <w:tr w:rsidR="00A75C31" w:rsidRPr="0096093B" w14:paraId="2F3AA85B" w14:textId="77777777" w:rsidTr="007218E8">
        <w:trPr>
          <w:trHeight w:val="300"/>
        </w:trPr>
        <w:tc>
          <w:tcPr>
            <w:tcW w:w="588" w:type="pct"/>
            <w:tcBorders>
              <w:top w:val="single" w:sz="4" w:space="0" w:color="auto"/>
              <w:left w:val="single" w:sz="4" w:space="0" w:color="auto"/>
              <w:bottom w:val="nil"/>
              <w:right w:val="single" w:sz="4" w:space="0" w:color="auto"/>
            </w:tcBorders>
            <w:noWrap/>
            <w:vAlign w:val="center"/>
            <w:hideMark/>
          </w:tcPr>
          <w:p w14:paraId="33D6A050"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Amy MacDonald</w:t>
            </w:r>
          </w:p>
        </w:tc>
        <w:tc>
          <w:tcPr>
            <w:tcW w:w="721" w:type="pct"/>
            <w:tcBorders>
              <w:top w:val="single" w:sz="4" w:space="0" w:color="auto"/>
              <w:left w:val="nil"/>
              <w:bottom w:val="nil"/>
              <w:right w:val="single" w:sz="4" w:space="0" w:color="auto"/>
            </w:tcBorders>
            <w:noWrap/>
            <w:vAlign w:val="center"/>
            <w:hideMark/>
          </w:tcPr>
          <w:p w14:paraId="4BD0E06C"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Chief Finance Officer</w:t>
            </w:r>
          </w:p>
        </w:tc>
        <w:tc>
          <w:tcPr>
            <w:tcW w:w="768" w:type="pct"/>
            <w:tcBorders>
              <w:top w:val="single" w:sz="4" w:space="0" w:color="auto"/>
              <w:left w:val="nil"/>
              <w:bottom w:val="nil"/>
              <w:right w:val="nil"/>
            </w:tcBorders>
            <w:noWrap/>
            <w:vAlign w:val="center"/>
            <w:hideMark/>
          </w:tcPr>
          <w:p w14:paraId="273E7464"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1,051 </w:t>
            </w:r>
          </w:p>
        </w:tc>
        <w:tc>
          <w:tcPr>
            <w:tcW w:w="734" w:type="pct"/>
            <w:tcBorders>
              <w:top w:val="single" w:sz="4" w:space="0" w:color="auto"/>
              <w:left w:val="single" w:sz="4" w:space="0" w:color="auto"/>
              <w:bottom w:val="nil"/>
              <w:right w:val="single" w:sz="4" w:space="0" w:color="auto"/>
            </w:tcBorders>
            <w:noWrap/>
            <w:vAlign w:val="center"/>
            <w:hideMark/>
          </w:tcPr>
          <w:p w14:paraId="2203DC0C"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569 </w:t>
            </w:r>
          </w:p>
        </w:tc>
        <w:tc>
          <w:tcPr>
            <w:tcW w:w="551" w:type="pct"/>
            <w:tcBorders>
              <w:top w:val="single" w:sz="4" w:space="0" w:color="auto"/>
              <w:left w:val="single" w:sz="4" w:space="0" w:color="auto"/>
              <w:bottom w:val="nil"/>
              <w:right w:val="single" w:sz="4" w:space="0" w:color="auto"/>
            </w:tcBorders>
            <w:noWrap/>
            <w:vAlign w:val="center"/>
            <w:hideMark/>
          </w:tcPr>
          <w:p w14:paraId="091D8949"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   </w:t>
            </w:r>
          </w:p>
        </w:tc>
        <w:tc>
          <w:tcPr>
            <w:tcW w:w="585" w:type="pct"/>
            <w:tcBorders>
              <w:top w:val="single" w:sz="4" w:space="0" w:color="auto"/>
              <w:left w:val="nil"/>
              <w:bottom w:val="nil"/>
              <w:right w:val="single" w:sz="4" w:space="0" w:color="auto"/>
            </w:tcBorders>
            <w:noWrap/>
            <w:vAlign w:val="center"/>
            <w:hideMark/>
          </w:tcPr>
          <w:p w14:paraId="4D286F97"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   </w:t>
            </w:r>
          </w:p>
        </w:tc>
        <w:tc>
          <w:tcPr>
            <w:tcW w:w="535" w:type="pct"/>
            <w:tcBorders>
              <w:top w:val="single" w:sz="4" w:space="0" w:color="auto"/>
              <w:left w:val="single" w:sz="4" w:space="0" w:color="auto"/>
              <w:bottom w:val="nil"/>
              <w:right w:val="nil"/>
            </w:tcBorders>
            <w:noWrap/>
            <w:vAlign w:val="center"/>
            <w:hideMark/>
          </w:tcPr>
          <w:p w14:paraId="234DC4EE"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6,281</w:t>
            </w:r>
          </w:p>
        </w:tc>
        <w:tc>
          <w:tcPr>
            <w:tcW w:w="518" w:type="pct"/>
            <w:tcBorders>
              <w:top w:val="single" w:sz="4" w:space="0" w:color="auto"/>
              <w:left w:val="single" w:sz="4" w:space="0" w:color="auto"/>
              <w:bottom w:val="nil"/>
              <w:right w:val="single" w:sz="4" w:space="0" w:color="auto"/>
            </w:tcBorders>
            <w:noWrap/>
            <w:vAlign w:val="center"/>
            <w:hideMark/>
          </w:tcPr>
          <w:p w14:paraId="7988A677"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5,669</w:t>
            </w:r>
          </w:p>
        </w:tc>
      </w:tr>
      <w:tr w:rsidR="00A75C31" w:rsidRPr="0096093B" w14:paraId="73D97B2F" w14:textId="77777777" w:rsidTr="009B35BC">
        <w:trPr>
          <w:trHeight w:val="300"/>
        </w:trPr>
        <w:tc>
          <w:tcPr>
            <w:tcW w:w="588" w:type="pct"/>
            <w:tcBorders>
              <w:top w:val="nil"/>
              <w:left w:val="single" w:sz="4" w:space="0" w:color="auto"/>
              <w:bottom w:val="nil"/>
              <w:right w:val="single" w:sz="4" w:space="0" w:color="auto"/>
            </w:tcBorders>
            <w:noWrap/>
            <w:vAlign w:val="center"/>
            <w:hideMark/>
          </w:tcPr>
          <w:p w14:paraId="78596CD8"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21" w:type="pct"/>
            <w:tcBorders>
              <w:top w:val="nil"/>
              <w:left w:val="nil"/>
              <w:bottom w:val="nil"/>
              <w:right w:val="single" w:sz="4" w:space="0" w:color="auto"/>
            </w:tcBorders>
            <w:vAlign w:val="center"/>
            <w:hideMark/>
          </w:tcPr>
          <w:p w14:paraId="19B186BE"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From 19/12/2024</w:t>
            </w:r>
          </w:p>
        </w:tc>
        <w:tc>
          <w:tcPr>
            <w:tcW w:w="768" w:type="pct"/>
            <w:tcBorders>
              <w:top w:val="nil"/>
              <w:left w:val="nil"/>
              <w:bottom w:val="nil"/>
              <w:right w:val="nil"/>
            </w:tcBorders>
            <w:noWrap/>
            <w:vAlign w:val="center"/>
            <w:hideMark/>
          </w:tcPr>
          <w:p w14:paraId="4A8AECA2"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34" w:type="pct"/>
            <w:tcBorders>
              <w:top w:val="nil"/>
              <w:left w:val="single" w:sz="4" w:space="0" w:color="auto"/>
              <w:bottom w:val="nil"/>
              <w:right w:val="single" w:sz="4" w:space="0" w:color="auto"/>
            </w:tcBorders>
            <w:noWrap/>
            <w:vAlign w:val="center"/>
            <w:hideMark/>
          </w:tcPr>
          <w:p w14:paraId="4EA4D2E0"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51" w:type="pct"/>
            <w:tcBorders>
              <w:top w:val="nil"/>
              <w:left w:val="single" w:sz="4" w:space="0" w:color="auto"/>
              <w:bottom w:val="nil"/>
              <w:right w:val="single" w:sz="4" w:space="0" w:color="auto"/>
            </w:tcBorders>
            <w:noWrap/>
            <w:vAlign w:val="center"/>
            <w:hideMark/>
          </w:tcPr>
          <w:p w14:paraId="243AB4EB"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85" w:type="pct"/>
            <w:tcBorders>
              <w:top w:val="nil"/>
              <w:left w:val="nil"/>
              <w:bottom w:val="nil"/>
              <w:right w:val="single" w:sz="4" w:space="0" w:color="auto"/>
            </w:tcBorders>
            <w:noWrap/>
            <w:vAlign w:val="center"/>
            <w:hideMark/>
          </w:tcPr>
          <w:p w14:paraId="7B3B512B"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35" w:type="pct"/>
            <w:tcBorders>
              <w:top w:val="nil"/>
              <w:left w:val="single" w:sz="4" w:space="0" w:color="auto"/>
              <w:bottom w:val="nil"/>
              <w:right w:val="nil"/>
            </w:tcBorders>
            <w:noWrap/>
            <w:vAlign w:val="center"/>
            <w:hideMark/>
          </w:tcPr>
          <w:p w14:paraId="2DA5C87F"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18" w:type="pct"/>
            <w:tcBorders>
              <w:top w:val="nil"/>
              <w:left w:val="single" w:sz="4" w:space="0" w:color="auto"/>
              <w:bottom w:val="nil"/>
              <w:right w:val="single" w:sz="4" w:space="0" w:color="auto"/>
            </w:tcBorders>
            <w:noWrap/>
            <w:vAlign w:val="center"/>
            <w:hideMark/>
          </w:tcPr>
          <w:p w14:paraId="4C097CF0"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r>
      <w:tr w:rsidR="00A75C31" w:rsidRPr="0096093B" w14:paraId="6BB644F5" w14:textId="77777777" w:rsidTr="007218E8">
        <w:trPr>
          <w:trHeight w:val="300"/>
        </w:trPr>
        <w:tc>
          <w:tcPr>
            <w:tcW w:w="588" w:type="pct"/>
            <w:tcBorders>
              <w:top w:val="nil"/>
              <w:left w:val="single" w:sz="4" w:space="0" w:color="auto"/>
              <w:bottom w:val="single" w:sz="4" w:space="0" w:color="auto"/>
              <w:right w:val="single" w:sz="4" w:space="0" w:color="auto"/>
            </w:tcBorders>
            <w:noWrap/>
            <w:vAlign w:val="center"/>
            <w:hideMark/>
          </w:tcPr>
          <w:p w14:paraId="7957BA33"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21" w:type="pct"/>
            <w:tcBorders>
              <w:top w:val="nil"/>
              <w:left w:val="nil"/>
              <w:bottom w:val="single" w:sz="4" w:space="0" w:color="auto"/>
              <w:right w:val="single" w:sz="4" w:space="0" w:color="auto"/>
            </w:tcBorders>
            <w:noWrap/>
            <w:vAlign w:val="center"/>
            <w:hideMark/>
          </w:tcPr>
          <w:p w14:paraId="358F27BF"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To 02/07/2025</w:t>
            </w:r>
          </w:p>
        </w:tc>
        <w:tc>
          <w:tcPr>
            <w:tcW w:w="768" w:type="pct"/>
            <w:tcBorders>
              <w:top w:val="nil"/>
              <w:left w:val="nil"/>
              <w:bottom w:val="single" w:sz="4" w:space="0" w:color="auto"/>
              <w:right w:val="nil"/>
            </w:tcBorders>
            <w:noWrap/>
            <w:vAlign w:val="center"/>
            <w:hideMark/>
          </w:tcPr>
          <w:p w14:paraId="4FF48F8B"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34" w:type="pct"/>
            <w:tcBorders>
              <w:top w:val="nil"/>
              <w:left w:val="single" w:sz="4" w:space="0" w:color="auto"/>
              <w:bottom w:val="single" w:sz="4" w:space="0" w:color="auto"/>
              <w:right w:val="single" w:sz="4" w:space="0" w:color="auto"/>
            </w:tcBorders>
            <w:noWrap/>
            <w:vAlign w:val="center"/>
            <w:hideMark/>
          </w:tcPr>
          <w:p w14:paraId="7433BA6F"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51" w:type="pct"/>
            <w:tcBorders>
              <w:top w:val="nil"/>
              <w:left w:val="single" w:sz="4" w:space="0" w:color="auto"/>
              <w:bottom w:val="single" w:sz="4" w:space="0" w:color="auto"/>
              <w:right w:val="single" w:sz="4" w:space="0" w:color="auto"/>
            </w:tcBorders>
            <w:noWrap/>
            <w:vAlign w:val="center"/>
            <w:hideMark/>
          </w:tcPr>
          <w:p w14:paraId="7F842696"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85" w:type="pct"/>
            <w:tcBorders>
              <w:top w:val="nil"/>
              <w:left w:val="nil"/>
              <w:bottom w:val="single" w:sz="4" w:space="0" w:color="auto"/>
              <w:right w:val="single" w:sz="4" w:space="0" w:color="auto"/>
            </w:tcBorders>
            <w:noWrap/>
            <w:vAlign w:val="center"/>
            <w:hideMark/>
          </w:tcPr>
          <w:p w14:paraId="0BC948D9"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35" w:type="pct"/>
            <w:tcBorders>
              <w:top w:val="nil"/>
              <w:left w:val="single" w:sz="4" w:space="0" w:color="auto"/>
              <w:bottom w:val="single" w:sz="4" w:space="0" w:color="auto"/>
              <w:right w:val="nil"/>
            </w:tcBorders>
            <w:noWrap/>
            <w:vAlign w:val="center"/>
            <w:hideMark/>
          </w:tcPr>
          <w:p w14:paraId="43FC6627"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18" w:type="pct"/>
            <w:tcBorders>
              <w:top w:val="nil"/>
              <w:left w:val="single" w:sz="4" w:space="0" w:color="auto"/>
              <w:bottom w:val="single" w:sz="4" w:space="0" w:color="auto"/>
              <w:right w:val="single" w:sz="4" w:space="0" w:color="auto"/>
            </w:tcBorders>
            <w:noWrap/>
            <w:vAlign w:val="center"/>
            <w:hideMark/>
          </w:tcPr>
          <w:p w14:paraId="44E7BE49"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r>
      <w:tr w:rsidR="00A75C31" w:rsidRPr="0096093B" w14:paraId="689C279C" w14:textId="77777777" w:rsidTr="007218E8">
        <w:trPr>
          <w:trHeight w:val="600"/>
        </w:trPr>
        <w:tc>
          <w:tcPr>
            <w:tcW w:w="588" w:type="pct"/>
            <w:tcBorders>
              <w:top w:val="single" w:sz="4" w:space="0" w:color="auto"/>
              <w:left w:val="single" w:sz="4" w:space="0" w:color="auto"/>
              <w:bottom w:val="nil"/>
              <w:right w:val="single" w:sz="4" w:space="0" w:color="auto"/>
            </w:tcBorders>
            <w:noWrap/>
            <w:vAlign w:val="center"/>
            <w:hideMark/>
          </w:tcPr>
          <w:p w14:paraId="380B0548"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Lakshmi Kudlur</w:t>
            </w:r>
          </w:p>
        </w:tc>
        <w:tc>
          <w:tcPr>
            <w:tcW w:w="721" w:type="pct"/>
            <w:tcBorders>
              <w:top w:val="single" w:sz="4" w:space="0" w:color="auto"/>
              <w:left w:val="nil"/>
              <w:bottom w:val="nil"/>
              <w:right w:val="single" w:sz="4" w:space="0" w:color="auto"/>
            </w:tcBorders>
            <w:vAlign w:val="center"/>
            <w:hideMark/>
          </w:tcPr>
          <w:p w14:paraId="19D6669D"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Depute Chief Finance Officer </w:t>
            </w:r>
          </w:p>
        </w:tc>
        <w:tc>
          <w:tcPr>
            <w:tcW w:w="768" w:type="pct"/>
            <w:tcBorders>
              <w:top w:val="single" w:sz="4" w:space="0" w:color="auto"/>
              <w:left w:val="nil"/>
              <w:bottom w:val="nil"/>
              <w:right w:val="nil"/>
            </w:tcBorders>
            <w:noWrap/>
            <w:vAlign w:val="center"/>
            <w:hideMark/>
          </w:tcPr>
          <w:p w14:paraId="512B4523"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216 </w:t>
            </w:r>
          </w:p>
        </w:tc>
        <w:tc>
          <w:tcPr>
            <w:tcW w:w="734" w:type="pct"/>
            <w:tcBorders>
              <w:top w:val="single" w:sz="4" w:space="0" w:color="auto"/>
              <w:left w:val="single" w:sz="4" w:space="0" w:color="auto"/>
              <w:bottom w:val="nil"/>
              <w:right w:val="single" w:sz="4" w:space="0" w:color="auto"/>
            </w:tcBorders>
            <w:noWrap/>
            <w:vAlign w:val="center"/>
            <w:hideMark/>
          </w:tcPr>
          <w:p w14:paraId="04084116"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216 </w:t>
            </w:r>
          </w:p>
        </w:tc>
        <w:tc>
          <w:tcPr>
            <w:tcW w:w="551" w:type="pct"/>
            <w:tcBorders>
              <w:top w:val="single" w:sz="4" w:space="0" w:color="auto"/>
              <w:left w:val="single" w:sz="4" w:space="0" w:color="auto"/>
              <w:bottom w:val="nil"/>
              <w:right w:val="single" w:sz="4" w:space="0" w:color="auto"/>
            </w:tcBorders>
            <w:noWrap/>
            <w:vAlign w:val="center"/>
            <w:hideMark/>
          </w:tcPr>
          <w:p w14:paraId="4BB595A6"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   </w:t>
            </w:r>
          </w:p>
        </w:tc>
        <w:tc>
          <w:tcPr>
            <w:tcW w:w="585" w:type="pct"/>
            <w:tcBorders>
              <w:top w:val="single" w:sz="4" w:space="0" w:color="auto"/>
              <w:left w:val="nil"/>
              <w:bottom w:val="nil"/>
              <w:right w:val="single" w:sz="4" w:space="0" w:color="auto"/>
            </w:tcBorders>
            <w:noWrap/>
            <w:vAlign w:val="center"/>
            <w:hideMark/>
          </w:tcPr>
          <w:p w14:paraId="103AE50A"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   </w:t>
            </w:r>
          </w:p>
        </w:tc>
        <w:tc>
          <w:tcPr>
            <w:tcW w:w="535" w:type="pct"/>
            <w:tcBorders>
              <w:top w:val="single" w:sz="4" w:space="0" w:color="auto"/>
              <w:left w:val="single" w:sz="4" w:space="0" w:color="auto"/>
              <w:bottom w:val="nil"/>
              <w:right w:val="nil"/>
            </w:tcBorders>
            <w:noWrap/>
            <w:vAlign w:val="center"/>
            <w:hideMark/>
          </w:tcPr>
          <w:p w14:paraId="3E715B0B"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1,110 </w:t>
            </w:r>
          </w:p>
        </w:tc>
        <w:tc>
          <w:tcPr>
            <w:tcW w:w="518" w:type="pct"/>
            <w:tcBorders>
              <w:top w:val="single" w:sz="4" w:space="0" w:color="auto"/>
              <w:left w:val="single" w:sz="4" w:space="0" w:color="auto"/>
              <w:bottom w:val="nil"/>
              <w:right w:val="single" w:sz="4" w:space="0" w:color="auto"/>
            </w:tcBorders>
            <w:noWrap/>
            <w:vAlign w:val="center"/>
            <w:hideMark/>
          </w:tcPr>
          <w:p w14:paraId="1DBE877F"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xml:space="preserve"> - </w:t>
            </w:r>
          </w:p>
        </w:tc>
      </w:tr>
      <w:tr w:rsidR="00A75C31" w:rsidRPr="0096093B" w14:paraId="61E665D2" w14:textId="77777777" w:rsidTr="009B35BC">
        <w:trPr>
          <w:trHeight w:val="300"/>
        </w:trPr>
        <w:tc>
          <w:tcPr>
            <w:tcW w:w="588" w:type="pct"/>
            <w:tcBorders>
              <w:top w:val="nil"/>
              <w:left w:val="single" w:sz="4" w:space="0" w:color="auto"/>
              <w:bottom w:val="nil"/>
              <w:right w:val="single" w:sz="4" w:space="0" w:color="auto"/>
            </w:tcBorders>
            <w:noWrap/>
            <w:vAlign w:val="center"/>
            <w:hideMark/>
          </w:tcPr>
          <w:p w14:paraId="49A881E9"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21" w:type="pct"/>
            <w:tcBorders>
              <w:top w:val="nil"/>
              <w:left w:val="nil"/>
              <w:bottom w:val="nil"/>
              <w:right w:val="single" w:sz="4" w:space="0" w:color="auto"/>
            </w:tcBorders>
            <w:noWrap/>
            <w:vAlign w:val="center"/>
            <w:hideMark/>
          </w:tcPr>
          <w:p w14:paraId="608C933F"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From 16/02/2026</w:t>
            </w:r>
          </w:p>
        </w:tc>
        <w:tc>
          <w:tcPr>
            <w:tcW w:w="768" w:type="pct"/>
            <w:tcBorders>
              <w:top w:val="nil"/>
              <w:left w:val="nil"/>
              <w:bottom w:val="nil"/>
              <w:right w:val="nil"/>
            </w:tcBorders>
            <w:noWrap/>
            <w:vAlign w:val="center"/>
            <w:hideMark/>
          </w:tcPr>
          <w:p w14:paraId="0BF9BC4B"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34" w:type="pct"/>
            <w:tcBorders>
              <w:top w:val="nil"/>
              <w:left w:val="single" w:sz="4" w:space="0" w:color="auto"/>
              <w:bottom w:val="nil"/>
              <w:right w:val="single" w:sz="4" w:space="0" w:color="auto"/>
            </w:tcBorders>
            <w:noWrap/>
            <w:vAlign w:val="center"/>
            <w:hideMark/>
          </w:tcPr>
          <w:p w14:paraId="06B94C03"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51" w:type="pct"/>
            <w:tcBorders>
              <w:top w:val="nil"/>
              <w:left w:val="single" w:sz="4" w:space="0" w:color="auto"/>
              <w:bottom w:val="nil"/>
              <w:right w:val="single" w:sz="4" w:space="0" w:color="auto"/>
            </w:tcBorders>
            <w:noWrap/>
            <w:vAlign w:val="center"/>
            <w:hideMark/>
          </w:tcPr>
          <w:p w14:paraId="0DA5BC80"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85" w:type="pct"/>
            <w:tcBorders>
              <w:top w:val="nil"/>
              <w:left w:val="nil"/>
              <w:bottom w:val="nil"/>
              <w:right w:val="single" w:sz="4" w:space="0" w:color="auto"/>
            </w:tcBorders>
            <w:noWrap/>
            <w:vAlign w:val="center"/>
            <w:hideMark/>
          </w:tcPr>
          <w:p w14:paraId="2A3D30D3"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35" w:type="pct"/>
            <w:tcBorders>
              <w:top w:val="nil"/>
              <w:left w:val="single" w:sz="4" w:space="0" w:color="auto"/>
              <w:bottom w:val="nil"/>
              <w:right w:val="nil"/>
            </w:tcBorders>
            <w:noWrap/>
            <w:vAlign w:val="center"/>
            <w:hideMark/>
          </w:tcPr>
          <w:p w14:paraId="0886DC95"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18" w:type="pct"/>
            <w:tcBorders>
              <w:top w:val="nil"/>
              <w:left w:val="single" w:sz="4" w:space="0" w:color="auto"/>
              <w:bottom w:val="nil"/>
              <w:right w:val="single" w:sz="4" w:space="0" w:color="auto"/>
            </w:tcBorders>
            <w:noWrap/>
            <w:vAlign w:val="center"/>
            <w:hideMark/>
          </w:tcPr>
          <w:p w14:paraId="38C8F002" w14:textId="77777777" w:rsidR="00A75C31" w:rsidRPr="0096093B" w:rsidRDefault="00A75C31" w:rsidP="00F60A1D">
            <w:pPr>
              <w:spacing w:after="0" w:line="240" w:lineRule="auto"/>
              <w:jc w:val="center"/>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r>
      <w:tr w:rsidR="00A75C31" w:rsidRPr="0096093B" w14:paraId="0E13D537" w14:textId="77777777" w:rsidTr="009B35BC">
        <w:trPr>
          <w:trHeight w:val="300"/>
        </w:trPr>
        <w:tc>
          <w:tcPr>
            <w:tcW w:w="588" w:type="pct"/>
            <w:tcBorders>
              <w:top w:val="single" w:sz="4" w:space="0" w:color="auto"/>
              <w:left w:val="single" w:sz="4" w:space="0" w:color="auto"/>
              <w:bottom w:val="single" w:sz="4" w:space="0" w:color="auto"/>
              <w:right w:val="single" w:sz="4" w:space="0" w:color="auto"/>
            </w:tcBorders>
            <w:noWrap/>
            <w:vAlign w:val="center"/>
            <w:hideMark/>
          </w:tcPr>
          <w:p w14:paraId="6C519417" w14:textId="77777777" w:rsidR="00A75C31" w:rsidRPr="0096093B" w:rsidRDefault="00A75C31" w:rsidP="00F60A1D">
            <w:pPr>
              <w:spacing w:after="0" w:line="240" w:lineRule="auto"/>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Total</w:t>
            </w:r>
          </w:p>
        </w:tc>
        <w:tc>
          <w:tcPr>
            <w:tcW w:w="721" w:type="pct"/>
            <w:tcBorders>
              <w:top w:val="single" w:sz="4" w:space="0" w:color="auto"/>
              <w:left w:val="nil"/>
              <w:bottom w:val="single" w:sz="4" w:space="0" w:color="auto"/>
              <w:right w:val="single" w:sz="4" w:space="0" w:color="auto"/>
            </w:tcBorders>
            <w:noWrap/>
            <w:vAlign w:val="center"/>
            <w:hideMark/>
          </w:tcPr>
          <w:p w14:paraId="10AB1465" w14:textId="77777777" w:rsidR="00A75C31" w:rsidRPr="0096093B" w:rsidRDefault="00A75C31" w:rsidP="00F60A1D">
            <w:pPr>
              <w:spacing w:after="0" w:line="240" w:lineRule="auto"/>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68" w:type="pct"/>
            <w:tcBorders>
              <w:top w:val="single" w:sz="4" w:space="0" w:color="auto"/>
              <w:left w:val="nil"/>
              <w:bottom w:val="single" w:sz="4" w:space="0" w:color="auto"/>
              <w:right w:val="nil"/>
            </w:tcBorders>
            <w:noWrap/>
            <w:vAlign w:val="center"/>
            <w:hideMark/>
          </w:tcPr>
          <w:p w14:paraId="0E3A18AC"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734" w:type="pct"/>
            <w:tcBorders>
              <w:top w:val="single" w:sz="4" w:space="0" w:color="auto"/>
              <w:left w:val="single" w:sz="4" w:space="0" w:color="auto"/>
              <w:bottom w:val="single" w:sz="4" w:space="0" w:color="auto"/>
              <w:right w:val="single" w:sz="4" w:space="0" w:color="auto"/>
            </w:tcBorders>
            <w:noWrap/>
            <w:vAlign w:val="center"/>
            <w:hideMark/>
          </w:tcPr>
          <w:p w14:paraId="65D137E1"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51" w:type="pct"/>
            <w:tcBorders>
              <w:top w:val="single" w:sz="4" w:space="0" w:color="auto"/>
              <w:left w:val="single" w:sz="4" w:space="0" w:color="auto"/>
              <w:bottom w:val="single" w:sz="4" w:space="0" w:color="auto"/>
              <w:right w:val="single" w:sz="4" w:space="0" w:color="auto"/>
            </w:tcBorders>
            <w:noWrap/>
            <w:vAlign w:val="center"/>
            <w:hideMark/>
          </w:tcPr>
          <w:p w14:paraId="265991D3"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85" w:type="pct"/>
            <w:tcBorders>
              <w:top w:val="single" w:sz="4" w:space="0" w:color="auto"/>
              <w:left w:val="nil"/>
              <w:bottom w:val="single" w:sz="4" w:space="0" w:color="auto"/>
              <w:right w:val="single" w:sz="4" w:space="0" w:color="auto"/>
            </w:tcBorders>
            <w:noWrap/>
            <w:vAlign w:val="center"/>
            <w:hideMark/>
          </w:tcPr>
          <w:p w14:paraId="553C1262" w14:textId="77777777" w:rsidR="00A75C31" w:rsidRPr="0096093B" w:rsidRDefault="00A75C31" w:rsidP="00F60A1D">
            <w:pPr>
              <w:spacing w:after="0" w:line="240" w:lineRule="auto"/>
              <w:jc w:val="right"/>
              <w:rPr>
                <w:rFonts w:ascii="Arial" w:eastAsia="Times New Roman" w:hAnsi="Arial" w:cs="Arial"/>
                <w:color w:val="000000"/>
                <w:sz w:val="17"/>
                <w:szCs w:val="17"/>
                <w:lang w:eastAsia="en-GB"/>
              </w:rPr>
            </w:pPr>
            <w:r w:rsidRPr="0096093B">
              <w:rPr>
                <w:rFonts w:ascii="Arial" w:eastAsia="Times New Roman" w:hAnsi="Arial" w:cs="Arial"/>
                <w:color w:val="000000"/>
                <w:sz w:val="17"/>
                <w:szCs w:val="17"/>
                <w:lang w:eastAsia="en-GB"/>
              </w:rPr>
              <w:t> </w:t>
            </w:r>
          </w:p>
        </w:tc>
        <w:tc>
          <w:tcPr>
            <w:tcW w:w="535" w:type="pct"/>
            <w:tcBorders>
              <w:top w:val="single" w:sz="4" w:space="0" w:color="auto"/>
              <w:left w:val="single" w:sz="4" w:space="0" w:color="auto"/>
              <w:bottom w:val="single" w:sz="4" w:space="0" w:color="auto"/>
              <w:right w:val="nil"/>
            </w:tcBorders>
            <w:noWrap/>
            <w:vAlign w:val="center"/>
            <w:hideMark/>
          </w:tcPr>
          <w:p w14:paraId="7C9A256C" w14:textId="1AC7B5C7" w:rsidR="00A75C31" w:rsidRPr="0096093B" w:rsidRDefault="00A75C31" w:rsidP="00F60A1D">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32,31</w:t>
            </w:r>
            <w:r w:rsidR="00725192">
              <w:rPr>
                <w:rFonts w:ascii="Arial" w:eastAsia="Times New Roman" w:hAnsi="Arial" w:cs="Arial"/>
                <w:b/>
                <w:bCs/>
                <w:color w:val="000000"/>
                <w:sz w:val="17"/>
                <w:szCs w:val="17"/>
                <w:lang w:eastAsia="en-GB"/>
              </w:rPr>
              <w:t>6</w:t>
            </w:r>
          </w:p>
        </w:tc>
        <w:tc>
          <w:tcPr>
            <w:tcW w:w="518" w:type="pct"/>
            <w:tcBorders>
              <w:top w:val="single" w:sz="4" w:space="0" w:color="auto"/>
              <w:left w:val="single" w:sz="4" w:space="0" w:color="auto"/>
              <w:bottom w:val="single" w:sz="4" w:space="0" w:color="auto"/>
              <w:right w:val="single" w:sz="4" w:space="0" w:color="auto"/>
            </w:tcBorders>
            <w:noWrap/>
            <w:vAlign w:val="center"/>
            <w:hideMark/>
          </w:tcPr>
          <w:p w14:paraId="409A88AF" w14:textId="3F76A464" w:rsidR="00A75C31" w:rsidRPr="0096093B" w:rsidRDefault="00A75C31" w:rsidP="00725192">
            <w:pPr>
              <w:spacing w:after="0" w:line="240" w:lineRule="auto"/>
              <w:jc w:val="center"/>
              <w:rPr>
                <w:rFonts w:ascii="Arial" w:eastAsia="Times New Roman" w:hAnsi="Arial" w:cs="Arial"/>
                <w:b/>
                <w:bCs/>
                <w:color w:val="000000"/>
                <w:sz w:val="17"/>
                <w:szCs w:val="17"/>
                <w:lang w:eastAsia="en-GB"/>
              </w:rPr>
            </w:pPr>
            <w:r w:rsidRPr="0096093B">
              <w:rPr>
                <w:rFonts w:ascii="Arial" w:eastAsia="Times New Roman" w:hAnsi="Arial" w:cs="Arial"/>
                <w:b/>
                <w:bCs/>
                <w:color w:val="000000"/>
                <w:sz w:val="17"/>
                <w:szCs w:val="17"/>
                <w:lang w:eastAsia="en-GB"/>
              </w:rPr>
              <w:t>30,161</w:t>
            </w:r>
          </w:p>
        </w:tc>
      </w:tr>
    </w:tbl>
    <w:p w14:paraId="59AB677D" w14:textId="77777777" w:rsidR="00805436" w:rsidRPr="00C9207C" w:rsidRDefault="00805436" w:rsidP="00A51927">
      <w:pPr>
        <w:spacing w:after="0" w:line="240" w:lineRule="auto"/>
        <w:rPr>
          <w:rFonts w:ascii="Arial" w:hAnsi="Arial" w:cs="Arial"/>
          <w:sz w:val="20"/>
          <w:szCs w:val="20"/>
          <w:highlight w:val="yellow"/>
        </w:rPr>
      </w:pPr>
    </w:p>
    <w:p w14:paraId="1D2FBD12" w14:textId="77777777" w:rsidR="00024E3A" w:rsidRDefault="00024E3A" w:rsidP="00A51927">
      <w:pPr>
        <w:spacing w:after="0" w:line="240" w:lineRule="auto"/>
        <w:rPr>
          <w:rFonts w:ascii="Arial" w:hAnsi="Arial" w:cs="Arial"/>
          <w:sz w:val="20"/>
          <w:szCs w:val="20"/>
        </w:rPr>
      </w:pPr>
    </w:p>
    <w:p w14:paraId="4211DEA7" w14:textId="4DB46912" w:rsidR="009D2DAB" w:rsidRPr="001E78BF" w:rsidRDefault="009D2DAB" w:rsidP="00334CC6">
      <w:pPr>
        <w:pStyle w:val="Default"/>
        <w:spacing w:line="20" w:lineRule="atLeast"/>
        <w:rPr>
          <w:rFonts w:ascii="Arial" w:hAnsi="Arial" w:cs="Arial"/>
          <w:sz w:val="20"/>
          <w:szCs w:val="20"/>
        </w:rPr>
      </w:pPr>
      <w:r w:rsidRPr="001E78BF">
        <w:rPr>
          <w:rFonts w:ascii="Arial" w:hAnsi="Arial" w:cs="Arial"/>
          <w:sz w:val="20"/>
          <w:szCs w:val="20"/>
        </w:rPr>
        <w:t xml:space="preserve">The IJB does not have its own pension scheme, however, details of the </w:t>
      </w:r>
      <w:r w:rsidR="008A5E23" w:rsidRPr="001E78BF">
        <w:rPr>
          <w:rFonts w:ascii="Arial" w:hAnsi="Arial" w:cs="Arial"/>
          <w:sz w:val="20"/>
          <w:szCs w:val="20"/>
        </w:rPr>
        <w:t>Northeast</w:t>
      </w:r>
      <w:r w:rsidR="00FE0FF6" w:rsidRPr="001E78BF">
        <w:rPr>
          <w:rFonts w:ascii="Arial" w:hAnsi="Arial" w:cs="Arial"/>
          <w:sz w:val="20"/>
          <w:szCs w:val="20"/>
        </w:rPr>
        <w:t xml:space="preserve"> of Scotland Pension scheme can be found in </w:t>
      </w:r>
      <w:r w:rsidRPr="001E78BF">
        <w:rPr>
          <w:rFonts w:ascii="Arial" w:hAnsi="Arial" w:cs="Arial"/>
          <w:sz w:val="20"/>
          <w:szCs w:val="20"/>
        </w:rPr>
        <w:t>Aberdeen City Council’s accounts and</w:t>
      </w:r>
      <w:r w:rsidR="00FE0FF6" w:rsidRPr="001E78BF">
        <w:rPr>
          <w:rFonts w:ascii="Arial" w:hAnsi="Arial" w:cs="Arial"/>
          <w:sz w:val="20"/>
          <w:szCs w:val="20"/>
        </w:rPr>
        <w:t xml:space="preserve"> details of</w:t>
      </w:r>
      <w:r w:rsidRPr="001E78BF">
        <w:rPr>
          <w:rFonts w:ascii="Arial" w:hAnsi="Arial" w:cs="Arial"/>
          <w:sz w:val="20"/>
          <w:szCs w:val="20"/>
        </w:rPr>
        <w:t xml:space="preserve"> the NHS pen</w:t>
      </w:r>
      <w:r w:rsidR="00FE0FF6" w:rsidRPr="001E78BF">
        <w:rPr>
          <w:rFonts w:ascii="Arial" w:hAnsi="Arial" w:cs="Arial"/>
          <w:sz w:val="20"/>
          <w:szCs w:val="20"/>
        </w:rPr>
        <w:t>sion scheme can be found</w:t>
      </w:r>
      <w:r w:rsidR="001555E6" w:rsidRPr="001E78BF">
        <w:rPr>
          <w:rFonts w:ascii="Arial" w:hAnsi="Arial" w:cs="Arial"/>
          <w:sz w:val="20"/>
          <w:szCs w:val="20"/>
        </w:rPr>
        <w:t xml:space="preserve"> in</w:t>
      </w:r>
      <w:r w:rsidR="00FE0FF6" w:rsidRPr="001E78BF">
        <w:rPr>
          <w:rFonts w:ascii="Arial" w:hAnsi="Arial" w:cs="Arial"/>
          <w:sz w:val="20"/>
          <w:szCs w:val="20"/>
        </w:rPr>
        <w:t xml:space="preserve"> </w:t>
      </w:r>
      <w:r w:rsidRPr="001E78BF">
        <w:rPr>
          <w:rFonts w:ascii="Arial" w:hAnsi="Arial" w:cs="Arial"/>
          <w:sz w:val="20"/>
          <w:szCs w:val="20"/>
        </w:rPr>
        <w:t>NHS Grampian’s accounts.  Both documents are available on the</w:t>
      </w:r>
      <w:r w:rsidR="00FE0FF6" w:rsidRPr="001E78BF">
        <w:rPr>
          <w:rFonts w:ascii="Arial" w:hAnsi="Arial" w:cs="Arial"/>
          <w:sz w:val="20"/>
          <w:szCs w:val="20"/>
        </w:rPr>
        <w:t>ir</w:t>
      </w:r>
      <w:r w:rsidRPr="001E78BF">
        <w:rPr>
          <w:rFonts w:ascii="Arial" w:hAnsi="Arial" w:cs="Arial"/>
          <w:sz w:val="20"/>
          <w:szCs w:val="20"/>
        </w:rPr>
        <w:t xml:space="preserve"> respective websites.</w:t>
      </w:r>
      <w:r w:rsidR="00657D6D" w:rsidRPr="001E78BF">
        <w:rPr>
          <w:rFonts w:ascii="Arial" w:hAnsi="Arial" w:cs="Arial"/>
          <w:sz w:val="20"/>
          <w:szCs w:val="20"/>
        </w:rPr>
        <w:t xml:space="preserve">  The</w:t>
      </w:r>
      <w:r w:rsidR="00C14E1F" w:rsidRPr="001E78BF">
        <w:rPr>
          <w:rFonts w:ascii="Arial" w:hAnsi="Arial" w:cs="Arial"/>
          <w:sz w:val="20"/>
          <w:szCs w:val="20"/>
        </w:rPr>
        <w:t xml:space="preserve"> pension</w:t>
      </w:r>
      <w:r w:rsidR="00657D6D" w:rsidRPr="001E78BF">
        <w:rPr>
          <w:rFonts w:ascii="Arial" w:hAnsi="Arial" w:cs="Arial"/>
          <w:sz w:val="20"/>
          <w:szCs w:val="20"/>
        </w:rPr>
        <w:t xml:space="preserve"> figures for the chief officer and </w:t>
      </w:r>
      <w:r w:rsidR="00C14E1F" w:rsidRPr="001E78BF">
        <w:rPr>
          <w:rFonts w:ascii="Arial" w:hAnsi="Arial" w:cs="Arial"/>
          <w:sz w:val="20"/>
          <w:szCs w:val="20"/>
        </w:rPr>
        <w:t>chief finance officer</w:t>
      </w:r>
      <w:r w:rsidR="00657D6D" w:rsidRPr="001E78BF">
        <w:rPr>
          <w:rFonts w:ascii="Arial" w:hAnsi="Arial" w:cs="Arial"/>
          <w:sz w:val="20"/>
          <w:szCs w:val="20"/>
        </w:rPr>
        <w:t xml:space="preserve"> a</w:t>
      </w:r>
      <w:r w:rsidR="00C14E1F" w:rsidRPr="001E78BF">
        <w:rPr>
          <w:rFonts w:ascii="Arial" w:hAnsi="Arial" w:cs="Arial"/>
          <w:sz w:val="20"/>
          <w:szCs w:val="20"/>
        </w:rPr>
        <w:t>re</w:t>
      </w:r>
      <w:r w:rsidR="00657D6D" w:rsidRPr="001E78BF">
        <w:rPr>
          <w:rFonts w:ascii="Arial" w:hAnsi="Arial" w:cs="Arial"/>
          <w:sz w:val="20"/>
          <w:szCs w:val="20"/>
        </w:rPr>
        <w:t xml:space="preserve"> indicative based on last years.</w:t>
      </w:r>
    </w:p>
    <w:p w14:paraId="4EA7F95B" w14:textId="0D743B8B" w:rsidR="001B2EF9" w:rsidRPr="00C9207C" w:rsidRDefault="001B2EF9" w:rsidP="00334CC6">
      <w:pPr>
        <w:spacing w:after="0" w:line="20" w:lineRule="atLeast"/>
        <w:rPr>
          <w:rFonts w:ascii="Arial" w:hAnsi="Arial" w:cs="Arial"/>
          <w:b/>
          <w:sz w:val="20"/>
          <w:szCs w:val="20"/>
          <w:highlight w:val="yellow"/>
        </w:rPr>
      </w:pPr>
    </w:p>
    <w:p w14:paraId="3F4FF366" w14:textId="3A4B8034" w:rsidR="00FA0D78" w:rsidRPr="000D0ACD" w:rsidRDefault="00FA0D78" w:rsidP="00334CC6">
      <w:pPr>
        <w:spacing w:after="0" w:line="20" w:lineRule="atLeast"/>
        <w:rPr>
          <w:rFonts w:ascii="Arial" w:hAnsi="Arial" w:cs="Arial"/>
          <w:b/>
          <w:sz w:val="20"/>
          <w:szCs w:val="20"/>
        </w:rPr>
      </w:pPr>
      <w:r w:rsidRPr="000D0ACD">
        <w:rPr>
          <w:rFonts w:ascii="Arial" w:hAnsi="Arial" w:cs="Arial"/>
          <w:b/>
          <w:sz w:val="20"/>
          <w:szCs w:val="20"/>
        </w:rPr>
        <w:t>Disclosure by Pay Bands</w:t>
      </w:r>
    </w:p>
    <w:p w14:paraId="0A95C9EC" w14:textId="77777777" w:rsidR="00AA490C" w:rsidRPr="000D0ACD" w:rsidRDefault="00AA490C" w:rsidP="00334CC6">
      <w:pPr>
        <w:spacing w:after="0" w:line="20" w:lineRule="atLeast"/>
        <w:rPr>
          <w:rFonts w:ascii="Arial" w:hAnsi="Arial" w:cs="Arial"/>
          <w:sz w:val="20"/>
          <w:szCs w:val="20"/>
        </w:rPr>
      </w:pPr>
    </w:p>
    <w:p w14:paraId="6A2E9955" w14:textId="6539D517" w:rsidR="00FA5DE6" w:rsidRPr="000D0ACD" w:rsidRDefault="00FA0D78" w:rsidP="00334CC6">
      <w:pPr>
        <w:spacing w:after="0" w:line="20" w:lineRule="atLeast"/>
        <w:rPr>
          <w:rFonts w:ascii="Arial" w:hAnsi="Arial" w:cs="Arial"/>
          <w:sz w:val="20"/>
          <w:szCs w:val="20"/>
        </w:rPr>
      </w:pPr>
      <w:r w:rsidRPr="000D0ACD">
        <w:rPr>
          <w:rFonts w:ascii="Arial" w:hAnsi="Arial" w:cs="Arial"/>
          <w:sz w:val="20"/>
          <w:szCs w:val="20"/>
        </w:rPr>
        <w:t>As required by the regulations, the following table shows the number of persons whose remuneration for the year was £50,000 or above</w:t>
      </w:r>
      <w:r w:rsidR="007B42F9" w:rsidRPr="000D0ACD">
        <w:rPr>
          <w:rFonts w:ascii="Arial" w:hAnsi="Arial" w:cs="Arial"/>
          <w:sz w:val="20"/>
          <w:szCs w:val="20"/>
        </w:rPr>
        <w:t>, in bands of £5,000</w:t>
      </w:r>
      <w:r w:rsidRPr="000D0ACD">
        <w:rPr>
          <w:rFonts w:ascii="Arial" w:hAnsi="Arial" w:cs="Arial"/>
          <w:sz w:val="20"/>
          <w:szCs w:val="20"/>
        </w:rPr>
        <w:t>.</w:t>
      </w:r>
    </w:p>
    <w:p w14:paraId="428B1D7E" w14:textId="77777777" w:rsidR="00FA0D78" w:rsidRPr="000D0ACD" w:rsidRDefault="00FA0D78" w:rsidP="00A51927">
      <w:pPr>
        <w:spacing w:after="0" w:line="240" w:lineRule="auto"/>
        <w:rPr>
          <w:rFonts w:ascii="Arial" w:hAnsi="Arial" w:cs="Arial"/>
          <w:sz w:val="20"/>
          <w:szCs w:val="20"/>
        </w:rPr>
      </w:pPr>
    </w:p>
    <w:tbl>
      <w:tblPr>
        <w:tblStyle w:val="TableGrid"/>
        <w:tblW w:w="9014" w:type="dxa"/>
        <w:tblBorders>
          <w:insideH w:val="none" w:sz="0" w:space="0" w:color="auto"/>
          <w:insideV w:val="none" w:sz="0" w:space="0" w:color="auto"/>
        </w:tblBorders>
        <w:tblLook w:val="04A0" w:firstRow="1" w:lastRow="0" w:firstColumn="1" w:lastColumn="0" w:noHBand="0" w:noVBand="1"/>
      </w:tblPr>
      <w:tblGrid>
        <w:gridCol w:w="3004"/>
        <w:gridCol w:w="3005"/>
        <w:gridCol w:w="3005"/>
      </w:tblGrid>
      <w:tr w:rsidR="00FA5DE6" w:rsidRPr="000D0ACD" w14:paraId="7C6366FA" w14:textId="77777777" w:rsidTr="008B07F4">
        <w:trPr>
          <w:trHeight w:val="712"/>
        </w:trPr>
        <w:tc>
          <w:tcPr>
            <w:tcW w:w="3004" w:type="dxa"/>
            <w:tcBorders>
              <w:top w:val="single" w:sz="4" w:space="0" w:color="auto"/>
              <w:bottom w:val="single" w:sz="4" w:space="0" w:color="auto"/>
              <w:right w:val="single" w:sz="4" w:space="0" w:color="auto"/>
            </w:tcBorders>
          </w:tcPr>
          <w:p w14:paraId="669ED8BD" w14:textId="0411D88C" w:rsidR="00FA5DE6" w:rsidRPr="00252F26" w:rsidRDefault="00FA5DE6" w:rsidP="002F617A">
            <w:pPr>
              <w:spacing w:after="0" w:line="240" w:lineRule="auto"/>
              <w:jc w:val="center"/>
              <w:rPr>
                <w:rFonts w:ascii="Arial" w:hAnsi="Arial" w:cs="Arial"/>
                <w:b/>
                <w:sz w:val="20"/>
                <w:szCs w:val="20"/>
              </w:rPr>
            </w:pPr>
            <w:r w:rsidRPr="00252F26">
              <w:rPr>
                <w:rFonts w:ascii="Arial" w:hAnsi="Arial" w:cs="Arial"/>
                <w:b/>
                <w:sz w:val="20"/>
                <w:szCs w:val="20"/>
              </w:rPr>
              <w:t xml:space="preserve">Number of Employees in Band – </w:t>
            </w:r>
            <w:r w:rsidR="28B1117D" w:rsidRPr="00252F26">
              <w:rPr>
                <w:rFonts w:ascii="Arial" w:hAnsi="Arial" w:cs="Arial"/>
                <w:b/>
                <w:sz w:val="20"/>
                <w:szCs w:val="20"/>
              </w:rPr>
              <w:t>202</w:t>
            </w:r>
            <w:r w:rsidR="72337C8C" w:rsidRPr="00252F26">
              <w:rPr>
                <w:rFonts w:ascii="Arial" w:hAnsi="Arial" w:cs="Arial"/>
                <w:b/>
                <w:sz w:val="20"/>
                <w:szCs w:val="20"/>
              </w:rPr>
              <w:t>4</w:t>
            </w:r>
            <w:r w:rsidR="28B1117D" w:rsidRPr="00252F26">
              <w:rPr>
                <w:rFonts w:ascii="Arial" w:hAnsi="Arial" w:cs="Arial"/>
                <w:b/>
                <w:sz w:val="20"/>
                <w:szCs w:val="20"/>
              </w:rPr>
              <w:t>/</w:t>
            </w:r>
            <w:r w:rsidR="04037A4B" w:rsidRPr="00252F26">
              <w:rPr>
                <w:rFonts w:ascii="Arial" w:hAnsi="Arial" w:cs="Arial"/>
                <w:b/>
                <w:sz w:val="20"/>
                <w:szCs w:val="20"/>
              </w:rPr>
              <w:t>25</w:t>
            </w:r>
          </w:p>
          <w:p w14:paraId="63E645B4" w14:textId="7F9EF964" w:rsidR="00FA5DE6" w:rsidRPr="00252F26" w:rsidRDefault="00FA5DE6" w:rsidP="002F617A">
            <w:pPr>
              <w:spacing w:after="0" w:line="240" w:lineRule="auto"/>
              <w:jc w:val="center"/>
              <w:rPr>
                <w:rFonts w:ascii="Arial" w:hAnsi="Arial" w:cs="Arial"/>
                <w:b/>
                <w:sz w:val="20"/>
                <w:szCs w:val="20"/>
              </w:rPr>
            </w:pPr>
          </w:p>
        </w:tc>
        <w:tc>
          <w:tcPr>
            <w:tcW w:w="3005" w:type="dxa"/>
            <w:tcBorders>
              <w:top w:val="single" w:sz="4" w:space="0" w:color="auto"/>
              <w:left w:val="single" w:sz="4" w:space="0" w:color="auto"/>
              <w:bottom w:val="single" w:sz="4" w:space="0" w:color="auto"/>
              <w:right w:val="single" w:sz="4" w:space="0" w:color="auto"/>
            </w:tcBorders>
          </w:tcPr>
          <w:p w14:paraId="140D020E" w14:textId="1A44A0B4" w:rsidR="00FA5DE6" w:rsidRPr="00252F26" w:rsidRDefault="00FA5DE6" w:rsidP="002F617A">
            <w:pPr>
              <w:spacing w:after="0" w:line="240" w:lineRule="auto"/>
              <w:ind w:firstLine="1"/>
              <w:jc w:val="center"/>
              <w:rPr>
                <w:rFonts w:ascii="Arial" w:hAnsi="Arial" w:cs="Arial"/>
                <w:b/>
                <w:sz w:val="20"/>
                <w:szCs w:val="20"/>
              </w:rPr>
            </w:pPr>
            <w:r w:rsidRPr="00252F26">
              <w:rPr>
                <w:rFonts w:ascii="Arial" w:hAnsi="Arial" w:cs="Arial"/>
                <w:b/>
                <w:sz w:val="20"/>
                <w:szCs w:val="20"/>
              </w:rPr>
              <w:t>Remuneration Band</w:t>
            </w:r>
          </w:p>
        </w:tc>
        <w:tc>
          <w:tcPr>
            <w:tcW w:w="3005" w:type="dxa"/>
            <w:tcBorders>
              <w:top w:val="single" w:sz="4" w:space="0" w:color="auto"/>
              <w:left w:val="single" w:sz="4" w:space="0" w:color="auto"/>
              <w:bottom w:val="single" w:sz="4" w:space="0" w:color="auto"/>
            </w:tcBorders>
          </w:tcPr>
          <w:p w14:paraId="5214A0A3" w14:textId="2BBAD20F" w:rsidR="00FA5DE6" w:rsidRPr="00252F26" w:rsidRDefault="00FA5DE6" w:rsidP="002F617A">
            <w:pPr>
              <w:spacing w:after="0" w:line="240" w:lineRule="auto"/>
              <w:jc w:val="center"/>
              <w:rPr>
                <w:rFonts w:ascii="Arial" w:hAnsi="Arial" w:cs="Arial"/>
                <w:b/>
                <w:sz w:val="20"/>
                <w:szCs w:val="20"/>
              </w:rPr>
            </w:pPr>
            <w:r w:rsidRPr="00252F26">
              <w:rPr>
                <w:rFonts w:ascii="Arial" w:hAnsi="Arial" w:cs="Arial"/>
                <w:b/>
                <w:sz w:val="20"/>
                <w:szCs w:val="20"/>
              </w:rPr>
              <w:t xml:space="preserve">Number of Employees in Band – </w:t>
            </w:r>
            <w:r w:rsidR="28B1117D" w:rsidRPr="00252F26">
              <w:rPr>
                <w:rFonts w:ascii="Arial" w:hAnsi="Arial" w:cs="Arial"/>
                <w:b/>
                <w:sz w:val="20"/>
                <w:szCs w:val="20"/>
              </w:rPr>
              <w:t>202</w:t>
            </w:r>
            <w:r w:rsidR="0F56A1E4" w:rsidRPr="00252F26">
              <w:rPr>
                <w:rFonts w:ascii="Arial" w:hAnsi="Arial" w:cs="Arial"/>
                <w:b/>
                <w:sz w:val="20"/>
                <w:szCs w:val="20"/>
              </w:rPr>
              <w:t>5</w:t>
            </w:r>
            <w:r w:rsidR="28B1117D" w:rsidRPr="00252F26">
              <w:rPr>
                <w:rFonts w:ascii="Arial" w:hAnsi="Arial" w:cs="Arial"/>
                <w:b/>
                <w:sz w:val="20"/>
                <w:szCs w:val="20"/>
              </w:rPr>
              <w:t>/2</w:t>
            </w:r>
            <w:r w:rsidR="4BC4E670" w:rsidRPr="00252F26">
              <w:rPr>
                <w:rFonts w:ascii="Arial" w:hAnsi="Arial" w:cs="Arial"/>
                <w:b/>
                <w:sz w:val="20"/>
                <w:szCs w:val="20"/>
              </w:rPr>
              <w:t>6</w:t>
            </w:r>
          </w:p>
        </w:tc>
      </w:tr>
      <w:tr w:rsidR="000D0ACD" w:rsidRPr="000D0ACD" w14:paraId="10743B8D" w14:textId="77777777" w:rsidTr="008B07F4">
        <w:trPr>
          <w:trHeight w:val="232"/>
        </w:trPr>
        <w:tc>
          <w:tcPr>
            <w:tcW w:w="3004" w:type="dxa"/>
            <w:tcBorders>
              <w:top w:val="single" w:sz="4" w:space="0" w:color="auto"/>
              <w:right w:val="single" w:sz="4" w:space="0" w:color="auto"/>
            </w:tcBorders>
          </w:tcPr>
          <w:p w14:paraId="78ADB380" w14:textId="3121B655" w:rsidR="000D0ACD" w:rsidRPr="000D0ACD" w:rsidRDefault="000D0ACD" w:rsidP="000D0ACD">
            <w:pPr>
              <w:spacing w:after="0" w:line="240" w:lineRule="auto"/>
              <w:jc w:val="center"/>
              <w:rPr>
                <w:rFonts w:ascii="Arial" w:hAnsi="Arial" w:cs="Arial"/>
                <w:sz w:val="20"/>
                <w:szCs w:val="20"/>
              </w:rPr>
            </w:pPr>
            <w:r w:rsidRPr="000D0ACD">
              <w:rPr>
                <w:rFonts w:ascii="Arial" w:hAnsi="Arial" w:cs="Arial"/>
                <w:sz w:val="20"/>
                <w:szCs w:val="20"/>
              </w:rPr>
              <w:t>1</w:t>
            </w:r>
          </w:p>
        </w:tc>
        <w:tc>
          <w:tcPr>
            <w:tcW w:w="3005" w:type="dxa"/>
            <w:tcBorders>
              <w:top w:val="single" w:sz="4" w:space="0" w:color="auto"/>
              <w:left w:val="single" w:sz="4" w:space="0" w:color="auto"/>
              <w:bottom w:val="nil"/>
              <w:right w:val="single" w:sz="4" w:space="0" w:color="auto"/>
            </w:tcBorders>
          </w:tcPr>
          <w:p w14:paraId="3ACC2E6F" w14:textId="755C9E50" w:rsidR="000D0ACD" w:rsidRPr="000D0ACD" w:rsidRDefault="000D0ACD" w:rsidP="000D0ACD">
            <w:pPr>
              <w:spacing w:after="0" w:line="240" w:lineRule="auto"/>
              <w:rPr>
                <w:rFonts w:ascii="Arial" w:hAnsi="Arial" w:cs="Arial"/>
                <w:sz w:val="20"/>
                <w:szCs w:val="20"/>
              </w:rPr>
            </w:pPr>
            <w:r w:rsidRPr="000D0ACD">
              <w:rPr>
                <w:rFonts w:ascii="Arial" w:hAnsi="Arial" w:cs="Arial"/>
                <w:sz w:val="20"/>
                <w:szCs w:val="20"/>
              </w:rPr>
              <w:t>£105,000 - £109,999</w:t>
            </w:r>
          </w:p>
        </w:tc>
        <w:tc>
          <w:tcPr>
            <w:tcW w:w="3005" w:type="dxa"/>
            <w:tcBorders>
              <w:top w:val="single" w:sz="4" w:space="0" w:color="auto"/>
              <w:left w:val="single" w:sz="4" w:space="0" w:color="auto"/>
            </w:tcBorders>
          </w:tcPr>
          <w:p w14:paraId="461E38C2" w14:textId="626553F6" w:rsidR="000D0ACD" w:rsidRPr="000D0ACD" w:rsidRDefault="002F617A" w:rsidP="000D0ACD">
            <w:pPr>
              <w:spacing w:after="0" w:line="240" w:lineRule="auto"/>
              <w:jc w:val="center"/>
              <w:rPr>
                <w:rFonts w:ascii="Arial" w:hAnsi="Arial" w:cs="Arial"/>
                <w:sz w:val="20"/>
                <w:szCs w:val="20"/>
              </w:rPr>
            </w:pPr>
            <w:r>
              <w:rPr>
                <w:rFonts w:ascii="Arial" w:hAnsi="Arial" w:cs="Arial"/>
                <w:sz w:val="20"/>
                <w:szCs w:val="20"/>
              </w:rPr>
              <w:t>-</w:t>
            </w:r>
          </w:p>
        </w:tc>
      </w:tr>
      <w:tr w:rsidR="000D0ACD" w:rsidRPr="000D0ACD" w14:paraId="3C9BFCC6" w14:textId="77777777" w:rsidTr="008B07F4">
        <w:trPr>
          <w:trHeight w:val="464"/>
        </w:trPr>
        <w:tc>
          <w:tcPr>
            <w:tcW w:w="3004" w:type="dxa"/>
            <w:tcBorders>
              <w:right w:val="single" w:sz="4" w:space="0" w:color="auto"/>
            </w:tcBorders>
          </w:tcPr>
          <w:p w14:paraId="0E149C1D" w14:textId="20941D85" w:rsidR="000D0ACD" w:rsidRPr="000D0ACD" w:rsidRDefault="002F617A" w:rsidP="000D0ACD">
            <w:pPr>
              <w:spacing w:after="0" w:line="240" w:lineRule="auto"/>
              <w:jc w:val="center"/>
              <w:rPr>
                <w:rFonts w:ascii="Arial" w:hAnsi="Arial" w:cs="Arial"/>
                <w:sz w:val="20"/>
                <w:szCs w:val="20"/>
              </w:rPr>
            </w:pPr>
            <w:r>
              <w:rPr>
                <w:rFonts w:ascii="Arial" w:hAnsi="Arial" w:cs="Arial"/>
                <w:sz w:val="20"/>
                <w:szCs w:val="20"/>
              </w:rPr>
              <w:t>-</w:t>
            </w:r>
          </w:p>
          <w:p w14:paraId="13860291" w14:textId="47B5B683" w:rsidR="000D0ACD" w:rsidRPr="000D0ACD" w:rsidRDefault="000D0ACD" w:rsidP="000D0ACD">
            <w:pPr>
              <w:spacing w:after="0" w:line="240" w:lineRule="auto"/>
              <w:jc w:val="center"/>
              <w:rPr>
                <w:rFonts w:ascii="Arial" w:hAnsi="Arial" w:cs="Arial"/>
                <w:sz w:val="20"/>
                <w:szCs w:val="20"/>
              </w:rPr>
            </w:pPr>
            <w:r w:rsidRPr="000D0ACD">
              <w:rPr>
                <w:rFonts w:ascii="Arial" w:hAnsi="Arial" w:cs="Arial"/>
                <w:sz w:val="20"/>
                <w:szCs w:val="20"/>
              </w:rPr>
              <w:t>1</w:t>
            </w:r>
          </w:p>
        </w:tc>
        <w:tc>
          <w:tcPr>
            <w:tcW w:w="3005" w:type="dxa"/>
            <w:tcBorders>
              <w:top w:val="nil"/>
              <w:left w:val="single" w:sz="4" w:space="0" w:color="auto"/>
              <w:bottom w:val="single" w:sz="4" w:space="0" w:color="auto"/>
              <w:right w:val="single" w:sz="4" w:space="0" w:color="auto"/>
            </w:tcBorders>
          </w:tcPr>
          <w:p w14:paraId="21279F5A" w14:textId="77777777" w:rsidR="000D0ACD" w:rsidRPr="000D0ACD" w:rsidRDefault="000D0ACD" w:rsidP="000D0ACD">
            <w:pPr>
              <w:spacing w:after="0" w:line="240" w:lineRule="auto"/>
              <w:rPr>
                <w:rFonts w:ascii="Arial" w:hAnsi="Arial" w:cs="Arial"/>
                <w:sz w:val="20"/>
                <w:szCs w:val="20"/>
              </w:rPr>
            </w:pPr>
            <w:r w:rsidRPr="000D0ACD">
              <w:rPr>
                <w:rFonts w:ascii="Arial" w:hAnsi="Arial" w:cs="Arial"/>
                <w:sz w:val="20"/>
                <w:szCs w:val="20"/>
              </w:rPr>
              <w:t>£115,000 - £119,999</w:t>
            </w:r>
          </w:p>
          <w:p w14:paraId="171D211C" w14:textId="0818F86B" w:rsidR="000D0ACD" w:rsidRPr="000D0ACD" w:rsidRDefault="000D0ACD" w:rsidP="000D0ACD">
            <w:pPr>
              <w:spacing w:after="0" w:line="240" w:lineRule="auto"/>
              <w:rPr>
                <w:rFonts w:ascii="Arial" w:hAnsi="Arial" w:cs="Arial"/>
                <w:sz w:val="20"/>
                <w:szCs w:val="20"/>
              </w:rPr>
            </w:pPr>
            <w:r w:rsidRPr="000D0ACD">
              <w:rPr>
                <w:rFonts w:ascii="Arial" w:hAnsi="Arial" w:cs="Arial"/>
                <w:sz w:val="20"/>
                <w:szCs w:val="20"/>
              </w:rPr>
              <w:t>£120,000 - £124,999</w:t>
            </w:r>
          </w:p>
        </w:tc>
        <w:tc>
          <w:tcPr>
            <w:tcW w:w="3005" w:type="dxa"/>
            <w:tcBorders>
              <w:left w:val="single" w:sz="4" w:space="0" w:color="auto"/>
            </w:tcBorders>
          </w:tcPr>
          <w:p w14:paraId="40FEE79B" w14:textId="77777777" w:rsidR="000D0ACD" w:rsidRPr="000D0ACD" w:rsidRDefault="000D0ACD" w:rsidP="000D0ACD">
            <w:pPr>
              <w:spacing w:after="0" w:line="240" w:lineRule="auto"/>
              <w:jc w:val="center"/>
              <w:rPr>
                <w:rFonts w:ascii="Arial" w:hAnsi="Arial" w:cs="Arial"/>
                <w:sz w:val="20"/>
                <w:szCs w:val="20"/>
              </w:rPr>
            </w:pPr>
            <w:r w:rsidRPr="000D0ACD">
              <w:rPr>
                <w:rFonts w:ascii="Arial" w:hAnsi="Arial" w:cs="Arial"/>
                <w:sz w:val="20"/>
                <w:szCs w:val="20"/>
              </w:rPr>
              <w:t>1</w:t>
            </w:r>
          </w:p>
          <w:p w14:paraId="538BFDFF" w14:textId="5F4DAD6F" w:rsidR="000D0ACD" w:rsidRPr="000D0ACD" w:rsidRDefault="002F617A" w:rsidP="000D0ACD">
            <w:pPr>
              <w:spacing w:after="0" w:line="240" w:lineRule="auto"/>
              <w:jc w:val="center"/>
              <w:rPr>
                <w:rFonts w:ascii="Arial" w:hAnsi="Arial" w:cs="Arial"/>
                <w:sz w:val="20"/>
                <w:szCs w:val="20"/>
              </w:rPr>
            </w:pPr>
            <w:r>
              <w:rPr>
                <w:rFonts w:ascii="Arial" w:hAnsi="Arial" w:cs="Arial"/>
                <w:sz w:val="20"/>
                <w:szCs w:val="20"/>
              </w:rPr>
              <w:t>-</w:t>
            </w:r>
          </w:p>
        </w:tc>
      </w:tr>
    </w:tbl>
    <w:p w14:paraId="569285C8" w14:textId="77777777" w:rsidR="003D2ACD" w:rsidRDefault="003D2ACD" w:rsidP="00A51927">
      <w:pPr>
        <w:spacing w:after="0" w:line="240" w:lineRule="auto"/>
        <w:rPr>
          <w:rFonts w:ascii="Arial" w:hAnsi="Arial" w:cs="Arial"/>
          <w:b/>
          <w:sz w:val="20"/>
          <w:szCs w:val="20"/>
        </w:rPr>
      </w:pPr>
    </w:p>
    <w:p w14:paraId="1D83E91C" w14:textId="3F7069AA" w:rsidR="00EC039F" w:rsidRPr="000D0ACD" w:rsidRDefault="00EC039F" w:rsidP="00A51927">
      <w:pPr>
        <w:spacing w:after="0" w:line="240" w:lineRule="auto"/>
        <w:rPr>
          <w:rFonts w:ascii="Arial" w:hAnsi="Arial" w:cs="Arial"/>
          <w:b/>
          <w:sz w:val="20"/>
          <w:szCs w:val="20"/>
        </w:rPr>
      </w:pPr>
      <w:r w:rsidRPr="000D0ACD">
        <w:rPr>
          <w:rFonts w:ascii="Arial" w:hAnsi="Arial" w:cs="Arial"/>
          <w:b/>
          <w:sz w:val="20"/>
          <w:szCs w:val="20"/>
        </w:rPr>
        <w:t>Exit Packages</w:t>
      </w:r>
    </w:p>
    <w:p w14:paraId="4A09F98E" w14:textId="77777777" w:rsidR="00A87486" w:rsidRPr="000D0ACD" w:rsidRDefault="00A87486" w:rsidP="00A51927">
      <w:pPr>
        <w:spacing w:after="0" w:line="240" w:lineRule="auto"/>
        <w:rPr>
          <w:rFonts w:ascii="Arial" w:hAnsi="Arial" w:cs="Arial"/>
          <w:sz w:val="20"/>
          <w:szCs w:val="20"/>
        </w:rPr>
      </w:pPr>
    </w:p>
    <w:p w14:paraId="61AD8461" w14:textId="77777777" w:rsidR="00350A11" w:rsidRPr="00350A11" w:rsidRDefault="00350A11" w:rsidP="00350A11">
      <w:pPr>
        <w:spacing w:after="0" w:line="240" w:lineRule="auto"/>
        <w:rPr>
          <w:rFonts w:ascii="Arial" w:hAnsi="Arial" w:cs="Arial"/>
          <w:sz w:val="20"/>
          <w:szCs w:val="20"/>
        </w:rPr>
      </w:pPr>
      <w:r w:rsidRPr="00350A11">
        <w:rPr>
          <w:rFonts w:ascii="Arial" w:hAnsi="Arial" w:cs="Arial"/>
          <w:sz w:val="20"/>
          <w:szCs w:val="20"/>
        </w:rPr>
        <w:t>No exit packages requiring disclosure were paid during 2025/26 or 2024/25 in respect of officers included in this Remuneration Report.</w:t>
      </w:r>
    </w:p>
    <w:p w14:paraId="4E738790" w14:textId="77777777" w:rsidR="00FA5DE6" w:rsidRPr="00C9207C" w:rsidRDefault="00FA5DE6" w:rsidP="00A51927">
      <w:pPr>
        <w:spacing w:after="0" w:line="240" w:lineRule="auto"/>
        <w:rPr>
          <w:rFonts w:ascii="Arial" w:hAnsi="Arial" w:cs="Arial"/>
          <w:sz w:val="20"/>
          <w:szCs w:val="20"/>
          <w:highlight w:val="yellow"/>
        </w:rPr>
      </w:pPr>
    </w:p>
    <w:p w14:paraId="326A9AC2" w14:textId="77777777" w:rsidR="00FA5DE6" w:rsidRDefault="00FA5DE6" w:rsidP="00A51927">
      <w:pPr>
        <w:spacing w:after="0" w:line="240" w:lineRule="auto"/>
        <w:rPr>
          <w:rFonts w:ascii="Arial" w:hAnsi="Arial" w:cs="Arial"/>
          <w:sz w:val="20"/>
          <w:szCs w:val="20"/>
          <w:highlight w:val="yellow"/>
        </w:rPr>
      </w:pPr>
    </w:p>
    <w:p w14:paraId="6582F5FA" w14:textId="77777777" w:rsidR="00024E3A" w:rsidRDefault="00024E3A" w:rsidP="00A51927">
      <w:pPr>
        <w:spacing w:after="0" w:line="240" w:lineRule="auto"/>
        <w:rPr>
          <w:rFonts w:ascii="Arial" w:hAnsi="Arial" w:cs="Arial"/>
          <w:sz w:val="20"/>
          <w:szCs w:val="20"/>
          <w:highlight w:val="yellow"/>
        </w:rPr>
      </w:pPr>
    </w:p>
    <w:p w14:paraId="23456374" w14:textId="77777777" w:rsidR="00024E3A" w:rsidRDefault="00024E3A" w:rsidP="00A51927">
      <w:pPr>
        <w:spacing w:after="0" w:line="240" w:lineRule="auto"/>
        <w:rPr>
          <w:rFonts w:ascii="Arial" w:hAnsi="Arial" w:cs="Arial"/>
          <w:sz w:val="20"/>
          <w:szCs w:val="20"/>
          <w:highlight w:val="yellow"/>
        </w:rPr>
      </w:pPr>
    </w:p>
    <w:p w14:paraId="39A722AF" w14:textId="77777777" w:rsidR="00024E3A" w:rsidRPr="00697047" w:rsidRDefault="00024E3A" w:rsidP="00A51927">
      <w:pPr>
        <w:spacing w:after="0" w:line="240" w:lineRule="auto"/>
        <w:rPr>
          <w:rFonts w:ascii="Arial" w:hAnsi="Arial" w:cs="Arial"/>
          <w:sz w:val="20"/>
          <w:szCs w:val="20"/>
        </w:rPr>
      </w:pPr>
    </w:p>
    <w:p w14:paraId="61DA79EF" w14:textId="77777777" w:rsidR="00FA5DE6" w:rsidRPr="00697047" w:rsidRDefault="00FA5DE6" w:rsidP="00A51927">
      <w:pPr>
        <w:spacing w:after="0" w:line="240" w:lineRule="auto"/>
        <w:rPr>
          <w:rFonts w:ascii="Arial" w:hAnsi="Arial" w:cs="Arial"/>
          <w:sz w:val="20"/>
          <w:szCs w:val="20"/>
        </w:rPr>
      </w:pPr>
    </w:p>
    <w:tbl>
      <w:tblPr>
        <w:tblStyle w:val="TableGrid2"/>
        <w:tblW w:w="49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477"/>
      </w:tblGrid>
      <w:tr w:rsidR="00495DCF" w:rsidRPr="00697047" w14:paraId="0304CA7D" w14:textId="77777777" w:rsidTr="008F454D">
        <w:tc>
          <w:tcPr>
            <w:tcW w:w="2500" w:type="pct"/>
          </w:tcPr>
          <w:p w14:paraId="51083B91" w14:textId="5155E6C5" w:rsidR="00495DCF" w:rsidRPr="00697047" w:rsidRDefault="00495DCF" w:rsidP="00A51927">
            <w:pPr>
              <w:autoSpaceDE w:val="0"/>
              <w:autoSpaceDN w:val="0"/>
              <w:adjustRightInd w:val="0"/>
              <w:ind w:left="441" w:right="-46" w:hanging="441"/>
              <w:rPr>
                <w:rFonts w:ascii="Arial" w:hAnsi="Arial" w:cs="Arial"/>
                <w:sz w:val="20"/>
                <w:szCs w:val="20"/>
                <w:lang w:val="en-US"/>
              </w:rPr>
            </w:pPr>
            <w:r w:rsidRPr="00697047">
              <w:rPr>
                <w:rFonts w:ascii="Arial" w:hAnsi="Arial" w:cs="Arial"/>
                <w:sz w:val="20"/>
                <w:szCs w:val="20"/>
                <w:lang w:val="en-US"/>
              </w:rPr>
              <w:t>…………………………………...</w:t>
            </w:r>
          </w:p>
        </w:tc>
        <w:tc>
          <w:tcPr>
            <w:tcW w:w="2500" w:type="pct"/>
          </w:tcPr>
          <w:p w14:paraId="5131EAAD" w14:textId="4C5354A6" w:rsidR="00495DCF" w:rsidRPr="00697047" w:rsidRDefault="00495DCF" w:rsidP="00A51927">
            <w:pPr>
              <w:autoSpaceDE w:val="0"/>
              <w:autoSpaceDN w:val="0"/>
              <w:adjustRightInd w:val="0"/>
              <w:ind w:left="441" w:right="-46" w:hanging="441"/>
              <w:rPr>
                <w:rFonts w:ascii="Arial" w:hAnsi="Arial" w:cs="Arial"/>
                <w:sz w:val="20"/>
                <w:szCs w:val="20"/>
                <w:lang w:val="en-US"/>
              </w:rPr>
            </w:pPr>
            <w:r w:rsidRPr="00697047">
              <w:rPr>
                <w:rFonts w:ascii="Arial" w:hAnsi="Arial" w:cs="Arial"/>
                <w:sz w:val="20"/>
                <w:szCs w:val="20"/>
                <w:lang w:val="en-US"/>
              </w:rPr>
              <w:t>………………………...................</w:t>
            </w:r>
          </w:p>
        </w:tc>
      </w:tr>
      <w:tr w:rsidR="00495DCF" w:rsidRPr="00C9207C" w14:paraId="4BD24221" w14:textId="77777777" w:rsidTr="008F454D">
        <w:trPr>
          <w:trHeight w:val="284"/>
        </w:trPr>
        <w:tc>
          <w:tcPr>
            <w:tcW w:w="2500" w:type="pct"/>
          </w:tcPr>
          <w:p w14:paraId="37256A46" w14:textId="77777777" w:rsidR="00FE133C" w:rsidRPr="00697047" w:rsidRDefault="00FE3C56" w:rsidP="00FE133C">
            <w:pPr>
              <w:autoSpaceDE w:val="0"/>
              <w:autoSpaceDN w:val="0"/>
              <w:adjustRightInd w:val="0"/>
              <w:spacing w:before="120"/>
              <w:ind w:left="441" w:right="-46" w:hanging="441"/>
              <w:rPr>
                <w:rFonts w:ascii="Arial" w:hAnsi="Arial" w:cs="Arial"/>
                <w:sz w:val="20"/>
                <w:szCs w:val="20"/>
                <w:lang w:val="en-US"/>
              </w:rPr>
            </w:pPr>
            <w:r w:rsidRPr="00697047">
              <w:rPr>
                <w:rFonts w:ascii="Arial" w:hAnsi="Arial" w:cs="Arial"/>
                <w:sz w:val="20"/>
                <w:szCs w:val="20"/>
                <w:lang w:val="en-US"/>
              </w:rPr>
              <w:t>Fiona Mitchelhill</w:t>
            </w:r>
          </w:p>
          <w:p w14:paraId="3EA9FC71" w14:textId="559458F4" w:rsidR="00223A61" w:rsidRPr="00697047" w:rsidRDefault="00495DCF" w:rsidP="00FE133C">
            <w:pPr>
              <w:autoSpaceDE w:val="0"/>
              <w:autoSpaceDN w:val="0"/>
              <w:adjustRightInd w:val="0"/>
              <w:spacing w:before="120"/>
              <w:ind w:left="441" w:right="-46" w:hanging="441"/>
              <w:rPr>
                <w:rFonts w:ascii="Arial" w:hAnsi="Arial" w:cs="Arial"/>
                <w:sz w:val="20"/>
                <w:szCs w:val="20"/>
                <w:lang w:val="en-US"/>
              </w:rPr>
            </w:pPr>
            <w:r w:rsidRPr="00697047">
              <w:rPr>
                <w:rFonts w:ascii="Arial" w:hAnsi="Arial" w:cs="Arial"/>
                <w:sz w:val="20"/>
                <w:szCs w:val="20"/>
                <w:lang w:val="en-US"/>
              </w:rPr>
              <w:t>Chief</w:t>
            </w:r>
            <w:r w:rsidR="006448BB" w:rsidRPr="00697047">
              <w:rPr>
                <w:rFonts w:ascii="Arial" w:hAnsi="Arial" w:cs="Arial"/>
                <w:sz w:val="20"/>
                <w:szCs w:val="20"/>
                <w:lang w:val="en-US"/>
              </w:rPr>
              <w:t xml:space="preserve"> </w:t>
            </w:r>
            <w:r w:rsidRPr="00697047">
              <w:rPr>
                <w:rFonts w:ascii="Arial" w:hAnsi="Arial" w:cs="Arial"/>
                <w:sz w:val="20"/>
                <w:szCs w:val="20"/>
                <w:lang w:val="en-US"/>
              </w:rPr>
              <w:t>Officer</w:t>
            </w:r>
          </w:p>
        </w:tc>
        <w:tc>
          <w:tcPr>
            <w:tcW w:w="2500" w:type="pct"/>
          </w:tcPr>
          <w:p w14:paraId="1A4642E9" w14:textId="235E982E" w:rsidR="00495DCF" w:rsidRPr="00697047" w:rsidRDefault="00496AAD" w:rsidP="00A51927">
            <w:pPr>
              <w:autoSpaceDE w:val="0"/>
              <w:autoSpaceDN w:val="0"/>
              <w:adjustRightInd w:val="0"/>
              <w:spacing w:before="120"/>
              <w:ind w:left="441" w:right="-46" w:hanging="441"/>
              <w:rPr>
                <w:rFonts w:ascii="Arial" w:hAnsi="Arial" w:cs="Arial"/>
                <w:sz w:val="20"/>
                <w:szCs w:val="20"/>
                <w:lang w:val="en-US"/>
              </w:rPr>
            </w:pPr>
            <w:r w:rsidRPr="00697047">
              <w:rPr>
                <w:rFonts w:ascii="Arial" w:hAnsi="Arial" w:cs="Arial"/>
                <w:sz w:val="20"/>
                <w:szCs w:val="20"/>
                <w:lang w:val="en-US"/>
              </w:rPr>
              <w:t>Huss</w:t>
            </w:r>
            <w:r w:rsidR="00B236F7" w:rsidRPr="00697047">
              <w:rPr>
                <w:rFonts w:ascii="Arial" w:hAnsi="Arial" w:cs="Arial"/>
                <w:sz w:val="20"/>
                <w:szCs w:val="20"/>
                <w:lang w:val="en-US"/>
              </w:rPr>
              <w:t>ein Patwa</w:t>
            </w:r>
          </w:p>
          <w:p w14:paraId="14819F8B" w14:textId="43268097" w:rsidR="00223A61" w:rsidRPr="00697047" w:rsidRDefault="00495DCF" w:rsidP="00A51927">
            <w:pPr>
              <w:autoSpaceDE w:val="0"/>
              <w:autoSpaceDN w:val="0"/>
              <w:adjustRightInd w:val="0"/>
              <w:spacing w:before="120"/>
              <w:ind w:left="441" w:right="-46" w:hanging="441"/>
              <w:rPr>
                <w:rFonts w:ascii="Arial" w:hAnsi="Arial" w:cs="Arial"/>
                <w:sz w:val="20"/>
                <w:szCs w:val="20"/>
                <w:lang w:val="en-US"/>
              </w:rPr>
            </w:pPr>
            <w:r w:rsidRPr="00697047">
              <w:rPr>
                <w:rFonts w:ascii="Arial" w:hAnsi="Arial" w:cs="Arial"/>
                <w:sz w:val="20"/>
                <w:szCs w:val="20"/>
                <w:lang w:val="en-US"/>
              </w:rPr>
              <w:t>Cha</w:t>
            </w:r>
            <w:r w:rsidR="008F454D" w:rsidRPr="00697047">
              <w:rPr>
                <w:rFonts w:ascii="Arial" w:hAnsi="Arial" w:cs="Arial"/>
                <w:sz w:val="20"/>
                <w:szCs w:val="20"/>
                <w:lang w:val="en-US"/>
              </w:rPr>
              <w:t>ir</w:t>
            </w:r>
          </w:p>
        </w:tc>
      </w:tr>
    </w:tbl>
    <w:p w14:paraId="149AF4F3" w14:textId="3BCAE20D" w:rsidR="007218E8" w:rsidRDefault="007218E8" w:rsidP="00A51927">
      <w:pPr>
        <w:pStyle w:val="Heading1"/>
        <w:jc w:val="left"/>
        <w:rPr>
          <w:rFonts w:ascii="Arial" w:hAnsi="Arial" w:cs="Arial"/>
          <w:highlight w:val="yellow"/>
        </w:rPr>
      </w:pPr>
      <w:bookmarkStart w:id="21" w:name="_Toc70062051"/>
    </w:p>
    <w:p w14:paraId="78C842AA" w14:textId="1ABC0557" w:rsidR="00785C52" w:rsidRPr="00C9207C" w:rsidRDefault="0077128E" w:rsidP="00A51927">
      <w:pPr>
        <w:pStyle w:val="Heading1"/>
        <w:jc w:val="left"/>
        <w:rPr>
          <w:rFonts w:ascii="Arial" w:hAnsi="Arial" w:cs="Arial"/>
        </w:rPr>
      </w:pPr>
      <w:bookmarkStart w:id="22" w:name="_Toc232169349"/>
      <w:r w:rsidRPr="00235001">
        <w:rPr>
          <w:rFonts w:ascii="Arial" w:hAnsi="Arial" w:cs="Arial"/>
        </w:rPr>
        <w:t>3.4</w:t>
      </w:r>
      <w:r>
        <w:tab/>
      </w:r>
      <w:r w:rsidR="26820857" w:rsidRPr="00235001">
        <w:rPr>
          <w:rFonts w:ascii="Arial" w:hAnsi="Arial" w:cs="Arial"/>
        </w:rPr>
        <w:t>Annual Governance Statement</w:t>
      </w:r>
      <w:bookmarkEnd w:id="21"/>
      <w:bookmarkEnd w:id="22"/>
    </w:p>
    <w:p w14:paraId="005DF452" w14:textId="08CE473C" w:rsidR="005878F4" w:rsidRPr="00C9207C" w:rsidRDefault="005878F4" w:rsidP="00A51927">
      <w:pPr>
        <w:spacing w:after="0" w:line="240" w:lineRule="auto"/>
        <w:rPr>
          <w:rFonts w:ascii="Arial" w:hAnsi="Arial" w:cs="Arial"/>
          <w:sz w:val="20"/>
          <w:szCs w:val="20"/>
          <w:highlight w:val="yellow"/>
        </w:rPr>
      </w:pPr>
    </w:p>
    <w:p w14:paraId="70C50797" w14:textId="77777777" w:rsidR="0068170F" w:rsidRPr="005437FA" w:rsidRDefault="0068170F" w:rsidP="00AD71B6">
      <w:pPr>
        <w:spacing w:after="120" w:line="240" w:lineRule="auto"/>
        <w:rPr>
          <w:rFonts w:ascii="Arial" w:hAnsi="Arial" w:cs="Arial"/>
          <w:b/>
          <w:sz w:val="20"/>
          <w:szCs w:val="20"/>
        </w:rPr>
      </w:pPr>
      <w:r w:rsidRPr="005437FA">
        <w:rPr>
          <w:rFonts w:ascii="Arial" w:hAnsi="Arial" w:cs="Arial"/>
          <w:b/>
          <w:sz w:val="20"/>
          <w:szCs w:val="20"/>
        </w:rPr>
        <w:t>Scope of responsibility</w:t>
      </w:r>
    </w:p>
    <w:p w14:paraId="106A55CF" w14:textId="095A85A0" w:rsidR="0068170F" w:rsidRPr="005437FA" w:rsidRDefault="0068170F" w:rsidP="00AD71B6">
      <w:pPr>
        <w:spacing w:after="120" w:line="240" w:lineRule="auto"/>
        <w:rPr>
          <w:rFonts w:ascii="Arial" w:hAnsi="Arial" w:cs="Arial"/>
          <w:bCs/>
          <w:sz w:val="20"/>
          <w:szCs w:val="20"/>
        </w:rPr>
      </w:pPr>
      <w:r w:rsidRPr="005437FA">
        <w:rPr>
          <w:rFonts w:ascii="Arial" w:hAnsi="Arial" w:cs="Arial"/>
          <w:b/>
          <w:sz w:val="20"/>
          <w:szCs w:val="20"/>
        </w:rPr>
        <w:br/>
      </w:r>
      <w:r w:rsidRPr="005437FA">
        <w:rPr>
          <w:rFonts w:ascii="Arial" w:hAnsi="Arial" w:cs="Arial"/>
          <w:bCs/>
          <w:sz w:val="20"/>
          <w:szCs w:val="20"/>
        </w:rPr>
        <w:t>Aberdeen City Integration Joint Board (IJB) is responsible for ensuring that its business is conducted in accordance with the law and proper standards, that public money is safeguarded and properly accounted for, and that resources are used economically, efficiently, effectively and sustainably. In discharging this responsibility, the IJB is required to put in place appropriate arrangements for governance, risk management and internal control, and to review the adequacy and effectiveness of those arrangements at least annually.</w:t>
      </w:r>
    </w:p>
    <w:p w14:paraId="5A6AA24A" w14:textId="77777777" w:rsidR="0068170F" w:rsidRPr="005437FA" w:rsidRDefault="0068170F" w:rsidP="0068170F">
      <w:pPr>
        <w:spacing w:after="0" w:line="240" w:lineRule="auto"/>
        <w:rPr>
          <w:rFonts w:ascii="Arial" w:hAnsi="Arial" w:cs="Arial"/>
          <w:bCs/>
          <w:sz w:val="20"/>
          <w:szCs w:val="20"/>
        </w:rPr>
      </w:pPr>
    </w:p>
    <w:p w14:paraId="47E0E4A6" w14:textId="77777777" w:rsidR="0068170F" w:rsidRPr="005437FA" w:rsidRDefault="0068170F" w:rsidP="0068170F">
      <w:pPr>
        <w:spacing w:after="0" w:line="240" w:lineRule="auto"/>
        <w:rPr>
          <w:rFonts w:ascii="Arial" w:hAnsi="Arial" w:cs="Arial"/>
          <w:bCs/>
          <w:sz w:val="20"/>
          <w:szCs w:val="20"/>
        </w:rPr>
      </w:pPr>
      <w:r w:rsidRPr="005437FA">
        <w:rPr>
          <w:rFonts w:ascii="Arial" w:hAnsi="Arial" w:cs="Arial"/>
          <w:bCs/>
          <w:sz w:val="20"/>
          <w:szCs w:val="20"/>
        </w:rPr>
        <w:t>As an Integration Joint Board, Aberdeen City IJB operates within a shared and interdependent governance environment with Aberdeen City Council and NHS Grampian. Many governance, operational and control arrangements are delivered through partner systems, officers and hosted structures. The IJB therefore relies on a combination of its own governance arrangements and assurance from partner bodies in order to form a balanced view on the overall effectiveness of its governance framework. This shared assurance model means that significant control issues arising within one partner body may have implications for the wider assurance environment and, where material, may require to be reflected across the governance statements of the partner organisations as well as the IJB. This statement explains the framework in place, summarises the assurances considered during 2025/26, highlights the principal governance issues identified, and sets out the improvement actions that will be taken in 2026/27.</w:t>
      </w:r>
    </w:p>
    <w:p w14:paraId="19B08023" w14:textId="77777777" w:rsidR="0068170F" w:rsidRPr="007B4E1E" w:rsidRDefault="0068170F" w:rsidP="0068170F">
      <w:pPr>
        <w:spacing w:after="0" w:line="240" w:lineRule="auto"/>
        <w:rPr>
          <w:rFonts w:ascii="Arial" w:hAnsi="Arial" w:cs="Arial"/>
          <w:sz w:val="20"/>
          <w:szCs w:val="20"/>
        </w:rPr>
      </w:pPr>
    </w:p>
    <w:p w14:paraId="23306B4D" w14:textId="77777777" w:rsidR="0068170F" w:rsidRPr="00AD71B6" w:rsidRDefault="0068170F" w:rsidP="00AD71B6">
      <w:pPr>
        <w:spacing w:after="120" w:line="240" w:lineRule="auto"/>
        <w:rPr>
          <w:rFonts w:ascii="Arial" w:hAnsi="Arial" w:cs="Arial"/>
          <w:b/>
          <w:sz w:val="20"/>
          <w:szCs w:val="20"/>
        </w:rPr>
      </w:pPr>
      <w:r w:rsidRPr="00AD71B6">
        <w:rPr>
          <w:rFonts w:ascii="Arial" w:hAnsi="Arial" w:cs="Arial"/>
          <w:b/>
          <w:sz w:val="20"/>
          <w:szCs w:val="20"/>
        </w:rPr>
        <w:t>The governance framework</w:t>
      </w:r>
    </w:p>
    <w:p w14:paraId="13911F60" w14:textId="77777777" w:rsidR="0068170F" w:rsidRPr="007B4E1E" w:rsidRDefault="0068170F" w:rsidP="00E70E26">
      <w:pPr>
        <w:pStyle w:val="Default"/>
        <w:rPr>
          <w:rFonts w:ascii="Arial" w:hAnsi="Arial" w:cs="Arial"/>
          <w:sz w:val="20"/>
          <w:szCs w:val="20"/>
        </w:rPr>
      </w:pPr>
      <w:r>
        <w:rPr>
          <w:rFonts w:ascii="Arial" w:hAnsi="Arial" w:cs="Arial"/>
          <w:sz w:val="20"/>
          <w:szCs w:val="20"/>
        </w:rPr>
        <w:t>The governance framework comprises the systems, processes, culture, values and assurance arrangements through which the IJB directs and controls its business and engages with communities, service users, carers, staff, providers and partner organisations. The framework is informed by the CIPFA/SOLACE Delivering Good Governance in Local Government Framework and the 2025 addendum on annual reviews of governance and annual governance statements, together with the IJB’s local code of corporate governance, integration scheme, standing orders, financial regulations, committee terms of reference and scheme of delegation. It is further supported by the IJB’s Assurance and Escalation Framework and by review of the governance environment against the relevant CIPFA principles on the role of the Chief Financial Officer. The IJB has also reflected the learning arising from Audit Scotland’s work on Integration Joint Boards, including the need for realistic financial planning, transparent decision-making, stronger performance information, robust savings governance and clearer whole-system collaboration on service redesign and sustainability.</w:t>
      </w:r>
    </w:p>
    <w:p w14:paraId="416D5468" w14:textId="77777777" w:rsidR="0068170F" w:rsidRDefault="0068170F" w:rsidP="00E70E26">
      <w:pPr>
        <w:pStyle w:val="Default"/>
        <w:rPr>
          <w:rFonts w:ascii="Arial" w:hAnsi="Arial" w:cs="Arial"/>
          <w:sz w:val="20"/>
          <w:szCs w:val="20"/>
        </w:rPr>
      </w:pPr>
    </w:p>
    <w:p w14:paraId="1A4BEBE8" w14:textId="77777777" w:rsidR="0068170F" w:rsidRDefault="0068170F" w:rsidP="00E70E26">
      <w:pPr>
        <w:pStyle w:val="Default"/>
        <w:rPr>
          <w:rFonts w:ascii="Arial" w:hAnsi="Arial" w:cs="Arial"/>
          <w:sz w:val="20"/>
          <w:szCs w:val="20"/>
        </w:rPr>
      </w:pPr>
      <w:r>
        <w:rPr>
          <w:rFonts w:ascii="Arial" w:hAnsi="Arial" w:cs="Arial"/>
          <w:sz w:val="20"/>
          <w:szCs w:val="20"/>
        </w:rPr>
        <w:t>During 2025/26, the key elements of this framework included: strategic leadership through the IJB and its committees; public and transparent reporting; oversight of finance, performance, clinical and care governance, and risk; governance arrangements for hosted and large hospital services; internal audit review; external audit scrutiny; standards and ethical governance arrangements; structured engagement with stakeholders; and formal reporting from officers and partner organisations. The IJB continues to operate in a challenging environment characterised by significant financial pressure, workforce constraints, increasing complexity of need, and the requirement to make difficult decisions about prioritisation, redesign and the pace of change. In that context, good governance has remained essential to ensuring that decisions are evidence-based, lawful, transparent and focused on outcomes for the people of Aberdeen.</w:t>
      </w:r>
    </w:p>
    <w:p w14:paraId="6DA5D9C0" w14:textId="77777777" w:rsidR="0068170F" w:rsidRPr="007B4E1E" w:rsidRDefault="0068170F" w:rsidP="0068170F">
      <w:pPr>
        <w:spacing w:after="0" w:line="240" w:lineRule="auto"/>
        <w:rPr>
          <w:rFonts w:ascii="Arial" w:hAnsi="Arial" w:cs="Arial"/>
          <w:sz w:val="20"/>
          <w:szCs w:val="20"/>
        </w:rPr>
      </w:pPr>
    </w:p>
    <w:p w14:paraId="0E9F9CFB" w14:textId="77777777" w:rsidR="00E70E26" w:rsidRPr="00AD71B6" w:rsidRDefault="0068170F" w:rsidP="00AD71B6">
      <w:pPr>
        <w:spacing w:after="120" w:line="240" w:lineRule="auto"/>
        <w:rPr>
          <w:rFonts w:ascii="Arial" w:hAnsi="Arial" w:cs="Arial"/>
          <w:b/>
          <w:sz w:val="20"/>
          <w:szCs w:val="20"/>
        </w:rPr>
      </w:pPr>
      <w:r w:rsidRPr="00AD71B6">
        <w:rPr>
          <w:rFonts w:ascii="Arial" w:hAnsi="Arial" w:cs="Arial"/>
          <w:b/>
          <w:sz w:val="20"/>
          <w:szCs w:val="20"/>
        </w:rPr>
        <w:t>Assessment against the core principles of good governance</w:t>
      </w:r>
    </w:p>
    <w:p w14:paraId="1C55F0F9" w14:textId="15BD6521" w:rsidR="0068170F" w:rsidRPr="007B4E1E" w:rsidRDefault="0068170F" w:rsidP="001F787E">
      <w:pPr>
        <w:pStyle w:val="Default"/>
        <w:rPr>
          <w:rFonts w:ascii="Arial" w:hAnsi="Arial" w:cs="Arial"/>
          <w:sz w:val="20"/>
          <w:szCs w:val="20"/>
        </w:rPr>
      </w:pPr>
      <w:r>
        <w:rPr>
          <w:rFonts w:ascii="Arial" w:hAnsi="Arial" w:cs="Arial"/>
          <w:sz w:val="20"/>
          <w:szCs w:val="20"/>
        </w:rPr>
        <w:t>In reviewing its governance arrangements for 2025/26, the IJB has assessed the extent to which the seven core principles of good governance remained embedded and effective in a year characterised by sustained financial pressure, recurring savings requirements, workforce constraints, changes in key finance leadership capacity, increasing complexity of need, and the need to progress service redesign with partner bodies. The IJB’s assessment against each principle is set out below.</w:t>
      </w:r>
    </w:p>
    <w:p w14:paraId="650EA09B" w14:textId="77777777" w:rsidR="00397517" w:rsidRDefault="00397517" w:rsidP="0068170F">
      <w:pPr>
        <w:rPr>
          <w:rFonts w:ascii="Arial" w:hAnsi="Arial" w:cs="Arial"/>
          <w:b/>
          <w:bCs/>
          <w:sz w:val="20"/>
          <w:szCs w:val="20"/>
        </w:rPr>
      </w:pPr>
    </w:p>
    <w:p w14:paraId="280A453E" w14:textId="2833C4B8" w:rsidR="0068170F" w:rsidRPr="00AD71B6" w:rsidRDefault="0068170F" w:rsidP="00AD71B6">
      <w:pPr>
        <w:spacing w:after="120" w:line="240" w:lineRule="auto"/>
        <w:rPr>
          <w:rFonts w:ascii="Arial" w:hAnsi="Arial" w:cs="Arial"/>
          <w:b/>
          <w:sz w:val="20"/>
          <w:szCs w:val="20"/>
        </w:rPr>
      </w:pPr>
      <w:r w:rsidRPr="00AD71B6">
        <w:rPr>
          <w:rFonts w:ascii="Arial" w:hAnsi="Arial" w:cs="Arial"/>
          <w:b/>
          <w:sz w:val="20"/>
          <w:szCs w:val="20"/>
        </w:rPr>
        <w:lastRenderedPageBreak/>
        <w:t>Principle 1 – Behaving with integrity, demonstrating strong commitment to ethical values, and respecting the rule of law</w:t>
      </w:r>
    </w:p>
    <w:p w14:paraId="2D0F2BA0" w14:textId="77777777" w:rsidR="0068170F" w:rsidRDefault="0068170F" w:rsidP="00397517">
      <w:pPr>
        <w:pStyle w:val="Default"/>
        <w:rPr>
          <w:rFonts w:ascii="Arial" w:hAnsi="Arial" w:cs="Arial"/>
          <w:sz w:val="20"/>
          <w:szCs w:val="20"/>
        </w:rPr>
      </w:pPr>
      <w:r>
        <w:rPr>
          <w:rFonts w:ascii="Arial" w:hAnsi="Arial" w:cs="Arial"/>
          <w:sz w:val="20"/>
          <w:szCs w:val="20"/>
        </w:rPr>
        <w:br/>
        <w:t>During 2025/26, the IJB continued to place weight on lawful, ethical and transparent decision-making at a time when financial pressure and difficult prioritisation decisions increased the need for clarity, fairness and disciplined governance. This principle was reflected through formal decision-making in public, adherence to standing orders and delegated authorities, oversight of declarations of interest and member conduct, maintenance of standards arrangements including registers of interests and gifts and hospitality, and access to governance and legal advice from partner bodies. The IJB considers that, in a year of material savings requirements and service change, maintaining public confidence depended not only on formal compliance but also on ensuring that decisions were evidence-based, properly documented and consistent with the principles of stewardship, equity and accountability.</w:t>
      </w:r>
    </w:p>
    <w:p w14:paraId="3A095345" w14:textId="77777777" w:rsidR="0068170F" w:rsidRPr="007B4E1E" w:rsidRDefault="0068170F" w:rsidP="0068170F">
      <w:pPr>
        <w:spacing w:after="0" w:line="240" w:lineRule="auto"/>
        <w:rPr>
          <w:rFonts w:ascii="Arial" w:hAnsi="Arial" w:cs="Arial"/>
          <w:sz w:val="20"/>
          <w:szCs w:val="20"/>
        </w:rPr>
      </w:pPr>
    </w:p>
    <w:p w14:paraId="12CC561C" w14:textId="77777777"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2 – Ensuring openness and comprehensive stakeholder engagement</w:t>
      </w:r>
    </w:p>
    <w:p w14:paraId="44CF06FA" w14:textId="77777777" w:rsidR="00BD0405" w:rsidRPr="00BD0405" w:rsidRDefault="00BD0405" w:rsidP="00BD0405">
      <w:pPr>
        <w:pStyle w:val="Default"/>
        <w:rPr>
          <w:rFonts w:ascii="Arial" w:hAnsi="Arial" w:cs="Arial"/>
          <w:sz w:val="20"/>
          <w:szCs w:val="20"/>
        </w:rPr>
      </w:pPr>
      <w:r w:rsidRPr="00BD0405">
        <w:rPr>
          <w:rFonts w:ascii="Arial" w:hAnsi="Arial" w:cs="Arial"/>
          <w:sz w:val="20"/>
          <w:szCs w:val="20"/>
        </w:rPr>
        <w:t>During 2025/26, the IJB continued to promote openness and accountability through public and hybrid meetings, published papers, recorded decision-making, and online access to meeting recordings. Complaints arrangements remained aligned with Scottish Public Services Ombudsman guidance, alongside ongoing structured engagement with stakeholders including staff-side representatives, trade unions, service users, carers and providers.</w:t>
      </w:r>
    </w:p>
    <w:p w14:paraId="0D47C141" w14:textId="77777777" w:rsidR="00BD0405" w:rsidRDefault="00BD0405" w:rsidP="00BD0405">
      <w:pPr>
        <w:pStyle w:val="Default"/>
        <w:rPr>
          <w:rFonts w:ascii="Arial" w:hAnsi="Arial" w:cs="Arial"/>
          <w:sz w:val="20"/>
          <w:szCs w:val="20"/>
        </w:rPr>
      </w:pPr>
    </w:p>
    <w:p w14:paraId="554B8CBF" w14:textId="6D3B0BFC" w:rsidR="00BD0405" w:rsidRPr="00BD0405" w:rsidRDefault="00BD0405" w:rsidP="00BD0405">
      <w:pPr>
        <w:pStyle w:val="Default"/>
        <w:rPr>
          <w:rFonts w:ascii="Arial" w:hAnsi="Arial" w:cs="Arial"/>
          <w:sz w:val="20"/>
          <w:szCs w:val="20"/>
        </w:rPr>
      </w:pPr>
      <w:r w:rsidRPr="00BD0405">
        <w:rPr>
          <w:rFonts w:ascii="Arial" w:hAnsi="Arial" w:cs="Arial"/>
          <w:sz w:val="20"/>
          <w:szCs w:val="20"/>
        </w:rPr>
        <w:t>Building on this, savings options within the Medium-Term Financial Framework (MTFF) were developed through a structured programme of collaborative public engagement, primarily undertaken in Quarter 3. This ensured proposals were shaped by both early public priorities and more detailed feedback, with a clear focus on meaningful two-way communication. Feedback was systematically analysed to refine savings proposals and associated Integrated Impact Assessments (IIAs), with particular emphasis on engaging those most affected by service changes, including seldom-heard communities.</w:t>
      </w:r>
    </w:p>
    <w:p w14:paraId="2DB6CFAF" w14:textId="77777777" w:rsidR="00BD0405" w:rsidRDefault="00BD0405" w:rsidP="00BD0405">
      <w:pPr>
        <w:pStyle w:val="Default"/>
        <w:rPr>
          <w:rFonts w:ascii="Arial" w:hAnsi="Arial" w:cs="Arial"/>
          <w:sz w:val="20"/>
          <w:szCs w:val="20"/>
        </w:rPr>
      </w:pPr>
    </w:p>
    <w:p w14:paraId="4E6352C1" w14:textId="14CD9416" w:rsidR="00BD0405" w:rsidRPr="00BD0405" w:rsidRDefault="00BD0405" w:rsidP="00BD0405">
      <w:pPr>
        <w:pStyle w:val="Default"/>
        <w:rPr>
          <w:rFonts w:ascii="Arial" w:hAnsi="Arial" w:cs="Arial"/>
          <w:sz w:val="20"/>
          <w:szCs w:val="20"/>
        </w:rPr>
      </w:pPr>
      <w:r w:rsidRPr="00BD0405">
        <w:rPr>
          <w:rFonts w:ascii="Arial" w:hAnsi="Arial" w:cs="Arial"/>
          <w:sz w:val="20"/>
          <w:szCs w:val="20"/>
        </w:rPr>
        <w:t>Publicly accessible digital channels, including a YouTube video following the budget meeting, further supported transparency and accessibility. In a period of financial pressure and service redesign, the IJB recognised that transparency requires not only publication but also clear communication of the rationale, implications and potential impacts of decisions. Timely, proportionate and meaningful engagement therefore remained essential, with this approach directly informing the IIAs underpinning IJB decision-making.</w:t>
      </w:r>
    </w:p>
    <w:p w14:paraId="0E010A46" w14:textId="77777777" w:rsidR="0068170F" w:rsidRDefault="0068170F" w:rsidP="0068170F">
      <w:pPr>
        <w:rPr>
          <w:rFonts w:ascii="Arial" w:hAnsi="Arial" w:cs="Arial"/>
          <w:b/>
          <w:bCs/>
          <w:sz w:val="20"/>
          <w:szCs w:val="20"/>
        </w:rPr>
      </w:pPr>
    </w:p>
    <w:p w14:paraId="5DE8AE43" w14:textId="594A2F2F"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3 – Defining outcomes in terms of sustainable social, economic and environmental benefit</w:t>
      </w:r>
    </w:p>
    <w:p w14:paraId="42723A40" w14:textId="77777777" w:rsidR="0068170F" w:rsidRDefault="0068170F" w:rsidP="0068170F">
      <w:pPr>
        <w:spacing w:after="0" w:line="240" w:lineRule="auto"/>
        <w:rPr>
          <w:rFonts w:ascii="Arial" w:hAnsi="Arial" w:cs="Arial"/>
          <w:sz w:val="20"/>
          <w:szCs w:val="20"/>
        </w:rPr>
      </w:pPr>
      <w:r>
        <w:rPr>
          <w:rFonts w:ascii="Arial" w:hAnsi="Arial" w:cs="Arial"/>
          <w:sz w:val="20"/>
          <w:szCs w:val="20"/>
        </w:rPr>
        <w:br/>
        <w:t>In 2025/26, the IJB continued to frame its work around improving outcomes for the people of Aberdeen but did so in a context where the affordability and sustainability of existing service models required closer scrutiny. The IJB recognises that securing positive outcomes increasingly depends on explicit choices about prioritisation, prevention, demand management and long-term sustainability. This reinforced the need to align strategic planning, performance information, financial planning and impact assessment more closely, supported by the Medium-Term Financial Framework and by governance arrangements for transformation and hosted and large hospital services, so that decisions reflect both immediate operational pressures and longer-term objectives relating to inequality, wellbeing, community resilience and best value.</w:t>
      </w:r>
    </w:p>
    <w:p w14:paraId="33317108" w14:textId="77777777" w:rsidR="0068170F" w:rsidRPr="007B4E1E" w:rsidRDefault="0068170F" w:rsidP="0068170F">
      <w:pPr>
        <w:spacing w:after="0" w:line="240" w:lineRule="auto"/>
        <w:rPr>
          <w:rFonts w:ascii="Arial" w:hAnsi="Arial" w:cs="Arial"/>
          <w:sz w:val="20"/>
          <w:szCs w:val="20"/>
        </w:rPr>
      </w:pPr>
    </w:p>
    <w:p w14:paraId="0ACA1A33" w14:textId="77777777"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4 – Determining the interventions necessary to achieve intended outcomes</w:t>
      </w:r>
    </w:p>
    <w:p w14:paraId="065BC549"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br/>
        <w:t xml:space="preserve">During 2025/26, the IJB considered a range of interventions in response to recurring financial pressures, increasing demand and the need for service redesign. In that context, effective governance required proposals to be supported by robust options appraisal, affordability analysis, risk assessment, implementation planning and, where appropriate, integrated impact assessment. The IJB also recognises that it is often difficult to demonstrate a direct correlation between a particular intervention and the intended outcome, particularly in the short term, given the complexity of need, the </w:t>
      </w:r>
      <w:r>
        <w:rPr>
          <w:rFonts w:ascii="Arial" w:hAnsi="Arial" w:cs="Arial"/>
          <w:sz w:val="20"/>
          <w:szCs w:val="20"/>
        </w:rPr>
        <w:lastRenderedPageBreak/>
        <w:t>influence of wider system factors and the time often required for the impact of change to become evident. The IJB therefore recognises that the effectiveness of this principle was increasingly linked to the pace and realism of transformation planning and to the extent to which proposed interventions could be translated into deliverable actions with clear ownership, milestones and anticipated benefits.</w:t>
      </w:r>
    </w:p>
    <w:p w14:paraId="1E984CD1" w14:textId="77777777" w:rsidR="00BD0405" w:rsidRDefault="00BD0405" w:rsidP="0068170F">
      <w:pPr>
        <w:rPr>
          <w:rFonts w:ascii="Arial" w:hAnsi="Arial" w:cs="Arial"/>
          <w:b/>
          <w:bCs/>
          <w:sz w:val="20"/>
          <w:szCs w:val="20"/>
        </w:rPr>
      </w:pPr>
    </w:p>
    <w:p w14:paraId="09AC4230" w14:textId="58F3DDFE"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5 – Developing the entity’s capacity, including the capability of its leadership and the individuals within it</w:t>
      </w:r>
    </w:p>
    <w:p w14:paraId="3073D58C" w14:textId="77777777" w:rsidR="0068170F" w:rsidRDefault="0068170F" w:rsidP="0068170F">
      <w:pPr>
        <w:spacing w:after="0" w:line="240" w:lineRule="auto"/>
        <w:rPr>
          <w:rFonts w:ascii="Arial" w:hAnsi="Arial" w:cs="Arial"/>
          <w:sz w:val="20"/>
          <w:szCs w:val="20"/>
        </w:rPr>
      </w:pPr>
      <w:r>
        <w:rPr>
          <w:rFonts w:ascii="Arial" w:hAnsi="Arial" w:cs="Arial"/>
          <w:sz w:val="20"/>
          <w:szCs w:val="20"/>
        </w:rPr>
        <w:t>The IJB recognises that organisational capacity remained a material governance consideration during 2025/26. Workforce pressures, recruitment and retention challenges, and changes in key finance leadership roles all had potential implications for resilience, pace of delivery and the depth of assurance available to members. In particular, changes in the Chief Finance Officer role increased the importance of maintaining continuity of financial leadership and ensuring that financial advice, reporting and stewardship remained effective throughout the transition. Continuity was supported through interim Chief Finance Officer arrangements following the departure of the previous postholder in July 2025, and the appointment of a Deputy Chief Finance Officer in February 2026 was an important step in strengthening resilience within the finance function. Capacity and leadership development were also supported through workforce planning, organisational development activity and continued attention to IJB development and culture. The IJB’s assessment is that governance arrangements remained in place, but that sustaining leadership and organisational capacity, particularly in key finance roles, will remain essential if the IJB is to deliver the scale of change required in the period ahead.</w:t>
      </w:r>
    </w:p>
    <w:p w14:paraId="66D438D8" w14:textId="77777777" w:rsidR="0068170F" w:rsidRPr="007B4E1E" w:rsidRDefault="0068170F" w:rsidP="0068170F">
      <w:pPr>
        <w:spacing w:after="0" w:line="240" w:lineRule="auto"/>
        <w:rPr>
          <w:rFonts w:ascii="Arial" w:hAnsi="Arial" w:cs="Arial"/>
          <w:sz w:val="20"/>
          <w:szCs w:val="20"/>
        </w:rPr>
      </w:pPr>
    </w:p>
    <w:p w14:paraId="7695A044" w14:textId="77777777"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6 – Managing risks and performance through robust internal control and strong public financial management</w:t>
      </w:r>
    </w:p>
    <w:p w14:paraId="65323CD3"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br/>
        <w:t>This principle was particularly significant during 2025/26. The IJB continued to receive reports on finance, performance and risk, maintained committee scrutiny arrangements and oversight of internal control through its established governance structures, and drew assurance from both strategic and operational risk arrangements and from statutory and local performance reporting. In response to the scale of the financial challenge and the requirement to deliver recurring savings, the Senior Leadership Team established the Budget Savings Oversight Group to strengthen oversight of in-year savings delivery, support implementation of agreed budget measures and provide governance over the development of proposals to support future financial balance. The Budget Protocol, introduced in 2024/25 and continued in 2025/26, further strengthened the governance framework by formalising expectations around early identification of savings, integrated impact assessment, engagement with partners and communities, and structured reporting of progress to the IJB. The IJB therefore recognises that, whilst arrangements remained in place and were broadly effective, further strengthening is still required to improve the integration, timeliness and strategic value of finance, performance and risk reporting and to support more proactive financial oversight and risk management.</w:t>
      </w:r>
    </w:p>
    <w:p w14:paraId="535448B0" w14:textId="77777777" w:rsidR="0068170F" w:rsidRDefault="0068170F" w:rsidP="0068170F">
      <w:pPr>
        <w:rPr>
          <w:rFonts w:ascii="Arial" w:hAnsi="Arial" w:cs="Arial"/>
          <w:b/>
          <w:bCs/>
          <w:sz w:val="20"/>
          <w:szCs w:val="20"/>
        </w:rPr>
      </w:pPr>
    </w:p>
    <w:p w14:paraId="63756034" w14:textId="77777777"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t>Principle 7 – Implementing good practice in transparency, reporting, and audit to deliver effective accountability</w:t>
      </w:r>
    </w:p>
    <w:p w14:paraId="01ED65AF" w14:textId="054678E8" w:rsidR="00397517" w:rsidRDefault="0068170F" w:rsidP="00BD0405">
      <w:pPr>
        <w:spacing w:after="0" w:line="240" w:lineRule="auto"/>
        <w:rPr>
          <w:rFonts w:ascii="Arial" w:hAnsi="Arial" w:cs="Arial"/>
          <w:sz w:val="20"/>
          <w:szCs w:val="20"/>
        </w:rPr>
      </w:pPr>
      <w:r>
        <w:rPr>
          <w:rFonts w:ascii="Arial" w:hAnsi="Arial" w:cs="Arial"/>
          <w:sz w:val="20"/>
          <w:szCs w:val="20"/>
        </w:rPr>
        <w:br/>
        <w:t>During 2025/26, the IJB continued to rely on a combination of public reporting, committee scrutiny, internal audit, external audit and partner-body assurance to support accountability. In a year of heightened scrutiny over financial sustainability, the quality of reporting, governance of hosted and large hospital services, and follow-through on audit findings assumed increased importance. The IJB recognises that effective accountability depends not only on the availability of reports, but on whether reporting is clear, balanced and sufficiently integrated to support informed challenge and timely decisions. The annual review concluded that these arrangements remained in place and functioning, while also identifying the need for continued improvement in assurance mapping, the quality assurance of financial reporting and annual accounts preparation, and the systematic follow-up of recommendations and agreed actions.</w:t>
      </w:r>
    </w:p>
    <w:p w14:paraId="391B415E" w14:textId="77777777" w:rsidR="00BD0405" w:rsidRDefault="00BD0405" w:rsidP="00BD0405">
      <w:pPr>
        <w:spacing w:after="0" w:line="240" w:lineRule="auto"/>
        <w:rPr>
          <w:rFonts w:ascii="Arial" w:hAnsi="Arial" w:cs="Arial"/>
          <w:b/>
          <w:bCs/>
          <w:sz w:val="20"/>
          <w:szCs w:val="20"/>
        </w:rPr>
      </w:pPr>
    </w:p>
    <w:p w14:paraId="206A29FC" w14:textId="77777777" w:rsidR="00526C44" w:rsidRDefault="00526C44" w:rsidP="00526C44">
      <w:pPr>
        <w:spacing w:after="120" w:line="240" w:lineRule="auto"/>
        <w:rPr>
          <w:rFonts w:ascii="Arial" w:hAnsi="Arial" w:cs="Arial"/>
          <w:b/>
          <w:sz w:val="20"/>
          <w:szCs w:val="20"/>
        </w:rPr>
      </w:pPr>
    </w:p>
    <w:p w14:paraId="219E083B" w14:textId="2CAA6825"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lastRenderedPageBreak/>
        <w:t>Review of effectiveness</w:t>
      </w:r>
      <w:r w:rsidRPr="00526C44">
        <w:rPr>
          <w:rFonts w:ascii="Arial" w:hAnsi="Arial" w:cs="Arial"/>
          <w:b/>
          <w:sz w:val="20"/>
          <w:szCs w:val="20"/>
        </w:rPr>
        <w:br/>
      </w:r>
    </w:p>
    <w:p w14:paraId="46AE886A"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t>The annual review of effectiveness has been informed by a range of assurance sources, including reports to the IJB and its committees; the work of the Senior Leadership Team; the IJB’s strategic and operational risk arrangements; the annual internal audit opinion and individual internal audit reports; external audit findings; governance and finance reviews undertaken by partner bodies; performance and financial monitoring reports; and management assurances relating to compliance, stewardship and control, including reliance on partner-body assurances on the soundness of internal control arrangements and embedded standards for countering fraud and corruption. The review has also considered the findings and recommendations emerging from national audit and inspection activity relevant to Integration Joint Boards and health and social care integration in Scotland.</w:t>
      </w:r>
    </w:p>
    <w:p w14:paraId="30B42133" w14:textId="77777777" w:rsidR="0068170F" w:rsidRDefault="0068170F" w:rsidP="0068170F">
      <w:pPr>
        <w:spacing w:after="0" w:line="240" w:lineRule="auto"/>
        <w:rPr>
          <w:rFonts w:ascii="Arial" w:hAnsi="Arial" w:cs="Arial"/>
          <w:sz w:val="20"/>
          <w:szCs w:val="20"/>
        </w:rPr>
      </w:pPr>
    </w:p>
    <w:p w14:paraId="096A8170"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t>The review found that the IJB had in place an established framework of governance, risk management and internal control which operated throughout 2025/26. The IJB maintained regular public meetings, committee scrutiny, financial and performance reporting, and oversight of key risks and improvement activity. These arrangements supported lawful and transparent decision-making and provided an appropriate basis for accountability. However, the review also confirmed that the governance environment remains under significant strain from recurring financial pressures, the scale of savings required, workforce fragility, the pace of transformation and reliance on partner-body systems and capacity. In that context, effective governance requires not only compliance with established processes, but earlier strategic challenge, clearer integration of finance, performance and risk, and stronger assurance that agreed savings and redesign actions are deliverable and sustainable.</w:t>
      </w:r>
    </w:p>
    <w:p w14:paraId="55F46C58" w14:textId="77777777" w:rsidR="0068170F" w:rsidRDefault="0068170F" w:rsidP="0068170F">
      <w:pPr>
        <w:spacing w:after="0" w:line="240" w:lineRule="auto"/>
        <w:rPr>
          <w:rFonts w:ascii="Arial" w:hAnsi="Arial" w:cs="Arial"/>
          <w:sz w:val="20"/>
          <w:szCs w:val="20"/>
        </w:rPr>
      </w:pPr>
    </w:p>
    <w:p w14:paraId="1CED50D3"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t>The review also considered progress in implementing audit recommendations. As at 31 March 2026, 17 audit recommendations remained open, of which 12 were not yet due for implementation or had agreed revised timescales. During 2025/26, 17 recommendations were raised and 20 were closed. Specific audit work during the year included financial sustainability and adherence to the Health and Care Staffing Act, with further follow-up activity planned during 2026/27.</w:t>
      </w:r>
    </w:p>
    <w:p w14:paraId="574274DC" w14:textId="77777777" w:rsidR="0068170F" w:rsidRDefault="0068170F" w:rsidP="0068170F">
      <w:pPr>
        <w:spacing w:after="0" w:line="240" w:lineRule="auto"/>
        <w:rPr>
          <w:rFonts w:ascii="Arial" w:hAnsi="Arial" w:cs="Arial"/>
          <w:sz w:val="20"/>
          <w:szCs w:val="20"/>
        </w:rPr>
      </w:pPr>
    </w:p>
    <w:p w14:paraId="67C85E73" w14:textId="701628D6" w:rsidR="0068170F" w:rsidRDefault="00E96223" w:rsidP="004E5022">
      <w:pPr>
        <w:spacing w:after="0" w:line="240" w:lineRule="auto"/>
        <w:rPr>
          <w:b/>
          <w:bCs/>
        </w:rPr>
      </w:pPr>
      <w:r w:rsidRPr="007B4E1E">
        <w:rPr>
          <w:rFonts w:ascii="Arial" w:hAnsi="Arial" w:cs="Arial"/>
          <w:sz w:val="20"/>
          <w:szCs w:val="20"/>
          <w:highlight w:val="yellow"/>
        </w:rPr>
        <w:t>Placeholder for final internal audit opinion: insert the confirmed 2025/26 annual internal audit opinion here and ensure that the conclusion on assurance and certification below are aligned to that opinion before approval.</w:t>
      </w:r>
    </w:p>
    <w:p w14:paraId="0CDC40F1" w14:textId="77777777" w:rsidR="0068170F" w:rsidRPr="00526C44" w:rsidRDefault="0068170F" w:rsidP="005D0FAC">
      <w:pPr>
        <w:spacing w:before="120" w:after="120" w:line="240" w:lineRule="auto"/>
        <w:rPr>
          <w:rFonts w:ascii="Arial" w:hAnsi="Arial" w:cs="Arial"/>
          <w:b/>
          <w:sz w:val="20"/>
          <w:szCs w:val="20"/>
        </w:rPr>
      </w:pPr>
      <w:r w:rsidRPr="00526C44">
        <w:rPr>
          <w:rFonts w:ascii="Arial" w:hAnsi="Arial" w:cs="Arial"/>
          <w:b/>
          <w:sz w:val="20"/>
          <w:szCs w:val="20"/>
        </w:rPr>
        <w:t>Governance priorities and areas of continued strengthening in 2025/26</w:t>
      </w:r>
      <w:r w:rsidRPr="00526C44">
        <w:rPr>
          <w:rFonts w:ascii="Arial" w:hAnsi="Arial" w:cs="Arial"/>
          <w:b/>
          <w:sz w:val="20"/>
          <w:szCs w:val="20"/>
        </w:rPr>
        <w:br/>
      </w:r>
    </w:p>
    <w:p w14:paraId="78B404E3" w14:textId="77777777" w:rsidR="0068170F" w:rsidRPr="00E2752B" w:rsidRDefault="0068170F" w:rsidP="0068170F">
      <w:pPr>
        <w:spacing w:after="0" w:line="240" w:lineRule="auto"/>
        <w:rPr>
          <w:rFonts w:ascii="Arial" w:hAnsi="Arial" w:cs="Arial"/>
          <w:sz w:val="20"/>
          <w:szCs w:val="20"/>
        </w:rPr>
      </w:pPr>
      <w:r>
        <w:rPr>
          <w:rFonts w:ascii="Arial" w:hAnsi="Arial" w:cs="Arial"/>
          <w:sz w:val="20"/>
          <w:szCs w:val="20"/>
        </w:rPr>
        <w:t>During 2025/26, the IJB maintained a clear focus on the areas of governance most critical to sustainable and effective delivery. Financial sustainability remained a central priority for the IJB. In its 2024 national report on Integration Joint Boards, Audit Scotland highlighted the importance of achievable and sustainable annual budgets and savings, up-to-date financial plans, stronger data and performance information, and clearer whole-system collaboration on redesign and commissioning. These themes remained directly relevant to Aberdeen City IJB during 2025/26 in the context of sustained service demand, constrained resources, workforce pressures and the need to deliver recurring savings while maintaining safe and effective services. The IJB therefore continued to prioritise strong governance over budget setting, savings delivery, service redesign, risk escalation and decision-making, supported by clear evidence of affordability, impact and deliverability.</w:t>
      </w:r>
    </w:p>
    <w:p w14:paraId="2D2C602B" w14:textId="77777777" w:rsidR="0068170F" w:rsidRDefault="0068170F" w:rsidP="0068170F">
      <w:pPr>
        <w:spacing w:after="0" w:line="240" w:lineRule="auto"/>
        <w:rPr>
          <w:rFonts w:ascii="Arial" w:hAnsi="Arial" w:cs="Arial"/>
          <w:sz w:val="20"/>
          <w:szCs w:val="20"/>
        </w:rPr>
      </w:pPr>
    </w:p>
    <w:p w14:paraId="1A721416" w14:textId="77777777" w:rsidR="0068170F" w:rsidRPr="00E2752B" w:rsidRDefault="0068170F" w:rsidP="0068170F">
      <w:pPr>
        <w:spacing w:after="0" w:line="240" w:lineRule="auto"/>
        <w:rPr>
          <w:rFonts w:ascii="Arial" w:hAnsi="Arial" w:cs="Arial"/>
          <w:sz w:val="20"/>
          <w:szCs w:val="20"/>
        </w:rPr>
      </w:pPr>
      <w:r>
        <w:rPr>
          <w:rFonts w:ascii="Arial" w:hAnsi="Arial" w:cs="Arial"/>
          <w:sz w:val="20"/>
          <w:szCs w:val="20"/>
        </w:rPr>
        <w:t>The IJB also continued to strengthen governance in relation to leadership and finance capacity, the pace and complexity of transformation, and the integration of finance, performance, risk and outcomes reporting. The appointment of a Deputy Chief Finance Officer in February 2026 provided additional resilience within the finance function, and work continued to ensure that members are supported by timely and integrated assurance. Taken together, these areas remain important to maintaining a clear line of sight from strategic priorities to operational delivery and financial sustainability and will continue to inform the IJB’s improvement focus during 2026/27.</w:t>
      </w:r>
    </w:p>
    <w:p w14:paraId="257947E4" w14:textId="77777777" w:rsidR="0068170F" w:rsidRDefault="0068170F" w:rsidP="0068170F">
      <w:pPr>
        <w:rPr>
          <w:b/>
          <w:bCs/>
        </w:rPr>
      </w:pPr>
    </w:p>
    <w:p w14:paraId="5FC5A9EA" w14:textId="77777777" w:rsidR="00526C44" w:rsidRDefault="00526C44" w:rsidP="0068170F">
      <w:pPr>
        <w:rPr>
          <w:b/>
          <w:bCs/>
        </w:rPr>
      </w:pPr>
    </w:p>
    <w:p w14:paraId="38C7BCA3" w14:textId="77777777" w:rsidR="0068170F" w:rsidRPr="00526C44" w:rsidRDefault="0068170F" w:rsidP="00526C44">
      <w:pPr>
        <w:spacing w:after="120" w:line="240" w:lineRule="auto"/>
        <w:rPr>
          <w:rFonts w:ascii="Arial" w:hAnsi="Arial" w:cs="Arial"/>
          <w:b/>
          <w:sz w:val="20"/>
          <w:szCs w:val="20"/>
        </w:rPr>
      </w:pPr>
      <w:r w:rsidRPr="00526C44">
        <w:rPr>
          <w:rFonts w:ascii="Arial" w:hAnsi="Arial" w:cs="Arial"/>
          <w:b/>
          <w:sz w:val="20"/>
          <w:szCs w:val="20"/>
        </w:rPr>
        <w:lastRenderedPageBreak/>
        <w:t>Improvement priorities for 2026/27</w:t>
      </w:r>
      <w:r w:rsidRPr="00526C44">
        <w:rPr>
          <w:rFonts w:ascii="Arial" w:hAnsi="Arial" w:cs="Arial"/>
          <w:b/>
          <w:sz w:val="20"/>
          <w:szCs w:val="20"/>
        </w:rPr>
        <w:br/>
      </w:r>
    </w:p>
    <w:p w14:paraId="619C85A4" w14:textId="77777777" w:rsidR="0068170F" w:rsidRPr="007B4E1E" w:rsidRDefault="0068170F" w:rsidP="0068170F">
      <w:pPr>
        <w:spacing w:after="0" w:line="240" w:lineRule="auto"/>
        <w:rPr>
          <w:rFonts w:ascii="Arial" w:hAnsi="Arial" w:cs="Arial"/>
          <w:sz w:val="20"/>
          <w:szCs w:val="20"/>
        </w:rPr>
      </w:pPr>
      <w:r>
        <w:rPr>
          <w:rFonts w:ascii="Arial" w:hAnsi="Arial" w:cs="Arial"/>
          <w:sz w:val="20"/>
          <w:szCs w:val="20"/>
        </w:rPr>
        <w:t>To address the matters identified through the annual review, the IJB will continue to strengthen its governance arrangements during 2026/27 through a focused programme of improvement. Priority actions include maintaining robust oversight of savings delivery and medium-term financial planning; ensuring that budget decisions are supported by clear options appraisal, impact assessment and implementation planning; improving the quality, consistency and integration of finance, performance and risk reporting to the IJB and its committees; reviewing governance documentation and assurance routes to ensure that they remain current, clear and proportionate; strengthening follow-up of internal and external audit recommendations; and continuing to work with Aberdeen City Council, NHS Grampian and wider stakeholders on whole-system redesign, commissioning and prevention-focused change. Collectively, these actions are intended to ensure that the governance framework remains fit for purpose in a period of significant service and financial pressure.</w:t>
      </w:r>
    </w:p>
    <w:p w14:paraId="1C1660FB" w14:textId="77777777" w:rsidR="0068170F" w:rsidRDefault="0068170F" w:rsidP="0068170F">
      <w:pPr>
        <w:rPr>
          <w:rFonts w:ascii="Arial" w:hAnsi="Arial" w:cs="Arial"/>
          <w:b/>
          <w:sz w:val="20"/>
          <w:szCs w:val="20"/>
        </w:rPr>
      </w:pPr>
    </w:p>
    <w:p w14:paraId="748B4E6F" w14:textId="57CE300E" w:rsidR="0068170F" w:rsidRDefault="0068170F" w:rsidP="00526C44">
      <w:pPr>
        <w:spacing w:after="120"/>
        <w:rPr>
          <w:lang w:eastAsia="en-GB"/>
        </w:rPr>
      </w:pPr>
      <w:r w:rsidRPr="00526C44">
        <w:rPr>
          <w:rFonts w:ascii="Arial" w:hAnsi="Arial" w:cs="Arial"/>
          <w:b/>
          <w:sz w:val="20"/>
          <w:szCs w:val="20"/>
        </w:rPr>
        <w:t>Summary of key governance improvements</w:t>
      </w:r>
      <w:r w:rsidRPr="00526C44">
        <w:rPr>
          <w:rFonts w:ascii="Arial" w:hAnsi="Arial" w:cs="Arial"/>
          <w:b/>
          <w:sz w:val="20"/>
          <w:szCs w:val="20"/>
        </w:rPr>
        <w:br/>
      </w:r>
      <w:r>
        <w:rPr>
          <w:rFonts w:ascii="Arial" w:hAnsi="Arial" w:cs="Arial"/>
          <w:sz w:val="20"/>
          <w:szCs w:val="20"/>
        </w:rPr>
        <w:t>The principal governance improvements for 2026/27 are summarised in the table below.</w:t>
      </w:r>
    </w:p>
    <w:tbl>
      <w:tblPr>
        <w:tblW w:w="5000" w:type="pct"/>
        <w:tblCellSpacing w:w="1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4610"/>
        <w:gridCol w:w="3031"/>
        <w:gridCol w:w="1365"/>
      </w:tblGrid>
      <w:tr w:rsidR="0068170F" w:rsidRPr="00E2752B" w14:paraId="58A2D2DB" w14:textId="77777777">
        <w:trPr>
          <w:trHeight w:val="549"/>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1F4CF695" w14:textId="77777777" w:rsidR="0068170F" w:rsidRPr="00E2752B" w:rsidRDefault="0068170F">
            <w:pPr>
              <w:rPr>
                <w:rFonts w:ascii="Arial" w:hAnsi="Arial" w:cs="Arial"/>
                <w:sz w:val="20"/>
                <w:szCs w:val="20"/>
                <w:lang w:eastAsia="en-GB"/>
              </w:rPr>
            </w:pPr>
            <w:r w:rsidRPr="00E2752B">
              <w:rPr>
                <w:rFonts w:ascii="Arial" w:hAnsi="Arial" w:cs="Arial"/>
                <w:b/>
                <w:bCs/>
                <w:sz w:val="20"/>
                <w:szCs w:val="20"/>
              </w:rPr>
              <w:t>Improvement action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669C6826" w14:textId="77777777" w:rsidR="0068170F" w:rsidRPr="00E2752B" w:rsidRDefault="0068170F">
            <w:pPr>
              <w:rPr>
                <w:rFonts w:ascii="Arial" w:hAnsi="Arial" w:cs="Arial"/>
                <w:sz w:val="20"/>
                <w:szCs w:val="20"/>
              </w:rPr>
            </w:pPr>
            <w:r w:rsidRPr="00E2752B">
              <w:rPr>
                <w:rFonts w:ascii="Arial" w:hAnsi="Arial" w:cs="Arial"/>
                <w:b/>
                <w:bCs/>
                <w:sz w:val="20"/>
                <w:szCs w:val="20"/>
              </w:rPr>
              <w:t>Lead responsibility</w:t>
            </w:r>
          </w:p>
        </w:tc>
        <w:tc>
          <w:tcPr>
            <w:tcW w:w="0" w:type="auto"/>
            <w:tcBorders>
              <w:top w:val="single" w:sz="8" w:space="0" w:color="auto"/>
              <w:left w:val="single" w:sz="8" w:space="0" w:color="auto"/>
              <w:bottom w:val="single" w:sz="8" w:space="0" w:color="auto"/>
              <w:right w:val="single" w:sz="8" w:space="0" w:color="auto"/>
            </w:tcBorders>
            <w:vAlign w:val="center"/>
            <w:hideMark/>
          </w:tcPr>
          <w:p w14:paraId="19547896" w14:textId="77777777" w:rsidR="0068170F" w:rsidRPr="00E2752B" w:rsidRDefault="0068170F">
            <w:pPr>
              <w:rPr>
                <w:rFonts w:ascii="Arial" w:hAnsi="Arial" w:cs="Arial"/>
                <w:sz w:val="20"/>
                <w:szCs w:val="20"/>
              </w:rPr>
            </w:pPr>
            <w:r w:rsidRPr="00E2752B">
              <w:rPr>
                <w:rFonts w:ascii="Arial" w:hAnsi="Arial" w:cs="Arial"/>
                <w:b/>
                <w:bCs/>
                <w:sz w:val="20"/>
                <w:szCs w:val="20"/>
              </w:rPr>
              <w:t>Target timescale</w:t>
            </w:r>
          </w:p>
        </w:tc>
      </w:tr>
      <w:tr w:rsidR="0068170F" w:rsidRPr="00E2752B" w14:paraId="69F24981"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797FF685" w14:textId="77777777" w:rsidR="0068170F" w:rsidRPr="00E2752B" w:rsidRDefault="0068170F" w:rsidP="009E1EDE">
            <w:pPr>
              <w:spacing w:line="20" w:lineRule="atLeast"/>
              <w:rPr>
                <w:rFonts w:ascii="Arial" w:hAnsi="Arial" w:cs="Arial"/>
                <w:sz w:val="20"/>
                <w:szCs w:val="20"/>
              </w:rPr>
            </w:pPr>
            <w:r w:rsidRPr="00E2752B">
              <w:rPr>
                <w:rFonts w:ascii="Arial" w:hAnsi="Arial" w:cs="Arial"/>
                <w:sz w:val="20"/>
                <w:szCs w:val="20"/>
              </w:rPr>
              <w:t>Strengthen oversight of recurring savings delivery, recovery planning and medium-term financial sustainability.</w:t>
            </w:r>
          </w:p>
        </w:tc>
        <w:tc>
          <w:tcPr>
            <w:tcW w:w="0" w:type="auto"/>
            <w:tcBorders>
              <w:top w:val="single" w:sz="8" w:space="0" w:color="auto"/>
              <w:left w:val="single" w:sz="8" w:space="0" w:color="auto"/>
              <w:bottom w:val="single" w:sz="8" w:space="0" w:color="auto"/>
              <w:right w:val="single" w:sz="8" w:space="0" w:color="auto"/>
            </w:tcBorders>
            <w:vAlign w:val="center"/>
            <w:hideMark/>
          </w:tcPr>
          <w:p w14:paraId="3D2139CA"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Chief Officer and Chief Finance Officer</w:t>
            </w:r>
          </w:p>
        </w:tc>
        <w:tc>
          <w:tcPr>
            <w:tcW w:w="0" w:type="auto"/>
            <w:tcBorders>
              <w:top w:val="single" w:sz="8" w:space="0" w:color="auto"/>
              <w:left w:val="single" w:sz="8" w:space="0" w:color="auto"/>
              <w:bottom w:val="single" w:sz="8" w:space="0" w:color="auto"/>
              <w:right w:val="single" w:sz="8" w:space="0" w:color="auto"/>
            </w:tcBorders>
            <w:vAlign w:val="center"/>
            <w:hideMark/>
          </w:tcPr>
          <w:p w14:paraId="3EB2BC65"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Throughout 2026/27</w:t>
            </w:r>
          </w:p>
        </w:tc>
      </w:tr>
      <w:tr w:rsidR="0068170F" w:rsidRPr="00E2752B" w14:paraId="057B2D88"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0EFAB966" w14:textId="77777777" w:rsidR="0068170F" w:rsidRPr="00E2752B" w:rsidRDefault="0068170F" w:rsidP="009E1EDE">
            <w:pPr>
              <w:spacing w:line="20" w:lineRule="atLeast"/>
              <w:rPr>
                <w:rFonts w:ascii="Arial" w:hAnsi="Arial" w:cs="Arial"/>
                <w:sz w:val="20"/>
                <w:szCs w:val="20"/>
              </w:rPr>
            </w:pPr>
            <w:r w:rsidRPr="00E2752B">
              <w:rPr>
                <w:rFonts w:ascii="Arial" w:hAnsi="Arial" w:cs="Arial"/>
                <w:sz w:val="20"/>
                <w:szCs w:val="20"/>
              </w:rPr>
              <w:t>Improve the integration of finance, performance and strategic risk reporting to support earlier intervention and stronger scrutiny.</w:t>
            </w:r>
          </w:p>
        </w:tc>
        <w:tc>
          <w:tcPr>
            <w:tcW w:w="0" w:type="auto"/>
            <w:tcBorders>
              <w:top w:val="single" w:sz="8" w:space="0" w:color="auto"/>
              <w:left w:val="single" w:sz="8" w:space="0" w:color="auto"/>
              <w:bottom w:val="single" w:sz="8" w:space="0" w:color="auto"/>
              <w:right w:val="single" w:sz="8" w:space="0" w:color="auto"/>
            </w:tcBorders>
            <w:vAlign w:val="center"/>
            <w:hideMark/>
          </w:tcPr>
          <w:p w14:paraId="43A7483C"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Senior Leadership Team</w:t>
            </w:r>
          </w:p>
        </w:tc>
        <w:tc>
          <w:tcPr>
            <w:tcW w:w="0" w:type="auto"/>
            <w:tcBorders>
              <w:top w:val="single" w:sz="8" w:space="0" w:color="auto"/>
              <w:left w:val="single" w:sz="8" w:space="0" w:color="auto"/>
              <w:bottom w:val="single" w:sz="8" w:space="0" w:color="auto"/>
              <w:right w:val="single" w:sz="8" w:space="0" w:color="auto"/>
            </w:tcBorders>
            <w:vAlign w:val="center"/>
            <w:hideMark/>
          </w:tcPr>
          <w:p w14:paraId="038AF8E5"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By Quarter 2 2026/27</w:t>
            </w:r>
          </w:p>
        </w:tc>
      </w:tr>
      <w:tr w:rsidR="0068170F" w:rsidRPr="00E2752B" w14:paraId="689CCD53"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618E60B1" w14:textId="77777777" w:rsidR="0068170F" w:rsidRPr="00E2752B" w:rsidRDefault="0068170F" w:rsidP="009E1EDE">
            <w:pPr>
              <w:spacing w:line="20" w:lineRule="atLeast"/>
              <w:rPr>
                <w:rFonts w:ascii="Arial" w:hAnsi="Arial" w:cs="Arial"/>
                <w:sz w:val="20"/>
                <w:szCs w:val="20"/>
              </w:rPr>
            </w:pPr>
            <w:r w:rsidRPr="00E2752B">
              <w:rPr>
                <w:rFonts w:ascii="Arial" w:hAnsi="Arial" w:cs="Arial"/>
                <w:sz w:val="20"/>
                <w:szCs w:val="20"/>
              </w:rPr>
              <w:t>Review and refresh key governance documents, assurance mapping and committee reporting routes.</w:t>
            </w:r>
          </w:p>
        </w:tc>
        <w:tc>
          <w:tcPr>
            <w:tcW w:w="0" w:type="auto"/>
            <w:tcBorders>
              <w:top w:val="single" w:sz="8" w:space="0" w:color="auto"/>
              <w:left w:val="single" w:sz="8" w:space="0" w:color="auto"/>
              <w:bottom w:val="single" w:sz="8" w:space="0" w:color="auto"/>
              <w:right w:val="single" w:sz="8" w:space="0" w:color="auto"/>
            </w:tcBorders>
            <w:vAlign w:val="center"/>
            <w:hideMark/>
          </w:tcPr>
          <w:p w14:paraId="2E205F89"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Chief Officer with Governance</w:t>
            </w:r>
            <w:r>
              <w:rPr>
                <w:rFonts w:ascii="Arial" w:hAnsi="Arial" w:cs="Arial"/>
                <w:sz w:val="20"/>
                <w:szCs w:val="20"/>
              </w:rPr>
              <w:t xml:space="preserve"> team</w:t>
            </w:r>
            <w:r w:rsidRPr="00E2752B">
              <w:rPr>
                <w:rFonts w:ascii="Arial" w:hAnsi="Arial" w:cs="Arial"/>
                <w:sz w:val="20"/>
                <w:szCs w:val="20"/>
              </w:rPr>
              <w:t xml:space="preserve"> </w:t>
            </w:r>
            <w:r>
              <w:rPr>
                <w:rFonts w:ascii="Arial" w:hAnsi="Arial" w:cs="Arial"/>
                <w:sz w:val="20"/>
                <w:szCs w:val="20"/>
              </w:rPr>
              <w:t xml:space="preserve">(Aberdeen City Council) </w:t>
            </w:r>
            <w:r w:rsidRPr="00E2752B">
              <w:rPr>
                <w:rFonts w:ascii="Arial" w:hAnsi="Arial" w:cs="Arial"/>
                <w:sz w:val="20"/>
                <w:szCs w:val="20"/>
              </w:rPr>
              <w:t xml:space="preserve">and </w:t>
            </w:r>
            <w:r>
              <w:rPr>
                <w:rFonts w:ascii="Arial" w:hAnsi="Arial" w:cs="Arial"/>
                <w:sz w:val="20"/>
                <w:szCs w:val="20"/>
              </w:rPr>
              <w:t>relevant Lead officers</w:t>
            </w:r>
          </w:p>
        </w:tc>
        <w:tc>
          <w:tcPr>
            <w:tcW w:w="0" w:type="auto"/>
            <w:tcBorders>
              <w:top w:val="single" w:sz="8" w:space="0" w:color="auto"/>
              <w:left w:val="single" w:sz="8" w:space="0" w:color="auto"/>
              <w:bottom w:val="single" w:sz="8" w:space="0" w:color="auto"/>
              <w:right w:val="single" w:sz="8" w:space="0" w:color="auto"/>
            </w:tcBorders>
            <w:vAlign w:val="center"/>
            <w:hideMark/>
          </w:tcPr>
          <w:p w14:paraId="2AFDE090"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By Quarter 3 2026/27</w:t>
            </w:r>
          </w:p>
        </w:tc>
      </w:tr>
      <w:tr w:rsidR="0068170F" w:rsidRPr="00E2752B" w14:paraId="56C10C7A"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627DE143" w14:textId="77777777" w:rsidR="0068170F" w:rsidRPr="00E2752B" w:rsidRDefault="0068170F" w:rsidP="009E1EDE">
            <w:pPr>
              <w:spacing w:line="20" w:lineRule="atLeast"/>
              <w:rPr>
                <w:rFonts w:ascii="Arial" w:hAnsi="Arial" w:cs="Arial"/>
                <w:sz w:val="20"/>
                <w:szCs w:val="20"/>
              </w:rPr>
            </w:pPr>
            <w:r w:rsidRPr="00E2752B">
              <w:rPr>
                <w:rFonts w:ascii="Arial" w:hAnsi="Arial" w:cs="Arial"/>
                <w:sz w:val="20"/>
                <w:szCs w:val="20"/>
              </w:rPr>
              <w:t>Maintain structured follow-up of internal and external audit recommendations and report progress regularly to the appropriate committee.</w:t>
            </w:r>
          </w:p>
        </w:tc>
        <w:tc>
          <w:tcPr>
            <w:tcW w:w="0" w:type="auto"/>
            <w:tcBorders>
              <w:top w:val="single" w:sz="8" w:space="0" w:color="auto"/>
              <w:left w:val="single" w:sz="8" w:space="0" w:color="auto"/>
              <w:bottom w:val="single" w:sz="8" w:space="0" w:color="auto"/>
              <w:right w:val="single" w:sz="8" w:space="0" w:color="auto"/>
            </w:tcBorders>
            <w:vAlign w:val="center"/>
            <w:hideMark/>
          </w:tcPr>
          <w:p w14:paraId="1237A7B3"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Senior Leadership Team and relevant lead officers</w:t>
            </w:r>
          </w:p>
        </w:tc>
        <w:tc>
          <w:tcPr>
            <w:tcW w:w="0" w:type="auto"/>
            <w:tcBorders>
              <w:top w:val="single" w:sz="8" w:space="0" w:color="auto"/>
              <w:left w:val="single" w:sz="8" w:space="0" w:color="auto"/>
              <w:bottom w:val="single" w:sz="8" w:space="0" w:color="auto"/>
              <w:right w:val="single" w:sz="8" w:space="0" w:color="auto"/>
            </w:tcBorders>
            <w:vAlign w:val="center"/>
            <w:hideMark/>
          </w:tcPr>
          <w:p w14:paraId="7C294821"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Throughout 2026/27</w:t>
            </w:r>
          </w:p>
        </w:tc>
      </w:tr>
      <w:tr w:rsidR="0068170F" w:rsidRPr="00E2752B" w14:paraId="5F2A732D"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47089324" w14:textId="77777777" w:rsidR="0068170F" w:rsidRPr="00E2752B" w:rsidRDefault="0068170F" w:rsidP="009E1EDE">
            <w:pPr>
              <w:spacing w:line="20" w:lineRule="atLeast"/>
              <w:rPr>
                <w:rFonts w:ascii="Arial" w:hAnsi="Arial" w:cs="Arial"/>
                <w:sz w:val="20"/>
                <w:szCs w:val="20"/>
              </w:rPr>
            </w:pPr>
            <w:r w:rsidRPr="00E2752B">
              <w:rPr>
                <w:rFonts w:ascii="Arial" w:hAnsi="Arial" w:cs="Arial"/>
                <w:sz w:val="20"/>
                <w:szCs w:val="20"/>
              </w:rPr>
              <w:t>Embed stronger governance over transformation, commissioning and service redesign, including stakeholder engagement and impact assessment.</w:t>
            </w:r>
          </w:p>
        </w:tc>
        <w:tc>
          <w:tcPr>
            <w:tcW w:w="0" w:type="auto"/>
            <w:tcBorders>
              <w:top w:val="single" w:sz="8" w:space="0" w:color="auto"/>
              <w:left w:val="single" w:sz="8" w:space="0" w:color="auto"/>
              <w:bottom w:val="single" w:sz="8" w:space="0" w:color="auto"/>
              <w:right w:val="single" w:sz="8" w:space="0" w:color="auto"/>
            </w:tcBorders>
            <w:vAlign w:val="center"/>
            <w:hideMark/>
          </w:tcPr>
          <w:p w14:paraId="2F01985B"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Chief Officer and Senior Leadership Team</w:t>
            </w:r>
          </w:p>
        </w:tc>
        <w:tc>
          <w:tcPr>
            <w:tcW w:w="0" w:type="auto"/>
            <w:tcBorders>
              <w:top w:val="single" w:sz="8" w:space="0" w:color="auto"/>
              <w:left w:val="single" w:sz="8" w:space="0" w:color="auto"/>
              <w:bottom w:val="single" w:sz="8" w:space="0" w:color="auto"/>
              <w:right w:val="single" w:sz="8" w:space="0" w:color="auto"/>
            </w:tcBorders>
            <w:vAlign w:val="center"/>
            <w:hideMark/>
          </w:tcPr>
          <w:p w14:paraId="6B3EB173" w14:textId="77777777" w:rsidR="0068170F" w:rsidRPr="00E2752B" w:rsidRDefault="0068170F" w:rsidP="00134EDC">
            <w:pPr>
              <w:spacing w:line="20" w:lineRule="atLeast"/>
              <w:rPr>
                <w:rFonts w:ascii="Arial" w:hAnsi="Arial" w:cs="Arial"/>
                <w:sz w:val="20"/>
                <w:szCs w:val="20"/>
              </w:rPr>
            </w:pPr>
            <w:r w:rsidRPr="00E2752B">
              <w:rPr>
                <w:rFonts w:ascii="Arial" w:hAnsi="Arial" w:cs="Arial"/>
                <w:sz w:val="20"/>
                <w:szCs w:val="20"/>
              </w:rPr>
              <w:t>Throughout 2026/27</w:t>
            </w:r>
          </w:p>
        </w:tc>
      </w:tr>
    </w:tbl>
    <w:p w14:paraId="6DCCC9FE" w14:textId="77777777" w:rsidR="00F328BB" w:rsidRDefault="0068170F" w:rsidP="00845EF0">
      <w:pPr>
        <w:spacing w:before="120" w:line="20" w:lineRule="atLeast"/>
        <w:rPr>
          <w:b/>
          <w:bCs/>
        </w:rPr>
      </w:pPr>
      <w:r>
        <w:rPr>
          <w:b/>
          <w:bCs/>
        </w:rPr>
        <w:t>Conclusion on assurance</w:t>
      </w:r>
    </w:p>
    <w:p w14:paraId="5827D5A5" w14:textId="484DDAB9" w:rsidR="0068170F" w:rsidRPr="007B4E1E" w:rsidRDefault="0068170F" w:rsidP="00845EF0">
      <w:pPr>
        <w:spacing w:before="120" w:line="20" w:lineRule="atLeast"/>
        <w:rPr>
          <w:rFonts w:ascii="Arial" w:hAnsi="Arial" w:cs="Arial"/>
          <w:sz w:val="20"/>
          <w:szCs w:val="20"/>
        </w:rPr>
      </w:pPr>
      <w:r>
        <w:br/>
      </w:r>
      <w:r>
        <w:rPr>
          <w:rFonts w:ascii="Arial" w:hAnsi="Arial" w:cs="Arial"/>
          <w:sz w:val="20"/>
          <w:szCs w:val="20"/>
        </w:rPr>
        <w:t>On the basis of the review undertaken and taking account of the assurances provided by internal audit, external audit, officers, partner bodies and the IJB’s own scrutiny arrangements, Aberdeen City IJB considers that, during 2025/26, it had in place governance, risk management and internal control arrangements that were generally appropriate and effective and provide a basis for reasonable assurance. The IJB also recognises, however, that the scale of the financial challenge, together with the extent of transformation required and the reliance on partner systems and capacity, means that governance improvement must remain an active priority. The IJB is satisfied that the principal areas requiring attention are understood and that appropriate improvement actions have been identified for delivery in 2026/27.</w:t>
      </w:r>
    </w:p>
    <w:p w14:paraId="6AA2E473" w14:textId="77777777" w:rsidR="00F328BB" w:rsidRDefault="00F328BB" w:rsidP="00F328BB">
      <w:pPr>
        <w:spacing w:before="120" w:after="120" w:line="20" w:lineRule="atLeast"/>
        <w:rPr>
          <w:b/>
          <w:bCs/>
        </w:rPr>
      </w:pPr>
    </w:p>
    <w:p w14:paraId="078B1FFE" w14:textId="77777777" w:rsidR="00F328BB" w:rsidRDefault="00F328BB" w:rsidP="00F328BB">
      <w:pPr>
        <w:spacing w:before="120" w:after="120" w:line="20" w:lineRule="atLeast"/>
        <w:rPr>
          <w:b/>
          <w:bCs/>
        </w:rPr>
      </w:pPr>
    </w:p>
    <w:p w14:paraId="1A3DDF63" w14:textId="77777777" w:rsidR="00F328BB" w:rsidRDefault="0068170F" w:rsidP="00F328BB">
      <w:pPr>
        <w:spacing w:before="120" w:after="120" w:line="20" w:lineRule="atLeast"/>
        <w:rPr>
          <w:b/>
          <w:bCs/>
        </w:rPr>
      </w:pPr>
      <w:r>
        <w:rPr>
          <w:b/>
          <w:bCs/>
        </w:rPr>
        <w:lastRenderedPageBreak/>
        <w:t>Certification</w:t>
      </w:r>
    </w:p>
    <w:p w14:paraId="52AF8C37" w14:textId="77777777" w:rsidR="0068170F" w:rsidRDefault="0068170F" w:rsidP="00F328BB">
      <w:pPr>
        <w:spacing w:before="120" w:after="120" w:line="20" w:lineRule="atLeast"/>
        <w:rPr>
          <w:rFonts w:ascii="Arial" w:hAnsi="Arial" w:cs="Arial"/>
          <w:sz w:val="20"/>
          <w:szCs w:val="20"/>
        </w:rPr>
      </w:pPr>
      <w:r>
        <w:br/>
      </w:r>
      <w:r>
        <w:rPr>
          <w:rFonts w:ascii="Arial" w:hAnsi="Arial" w:cs="Arial"/>
          <w:sz w:val="20"/>
          <w:szCs w:val="20"/>
        </w:rPr>
        <w:t>Subject to the matters set out above, and on the basis of the assurances provided, we consider that reasonable assurance can be placed on the adequacy and effectiveness of Aberdeen City Integration Joint Board’s governance arrangements for the year ended 31 March 2026. We are committed to monitoring delivery of the improvement priorities set out in this statement and to taking any further action required to strengthen governance, accountability and stewardship.</w:t>
      </w:r>
      <w:r w:rsidRPr="007B4E1E">
        <w:rPr>
          <w:rFonts w:ascii="Arial" w:hAnsi="Arial" w:cs="Arial"/>
          <w:sz w:val="20"/>
          <w:szCs w:val="20"/>
        </w:rPr>
        <w:br/>
      </w:r>
    </w:p>
    <w:p w14:paraId="7C56CB2C" w14:textId="7BCD3F08" w:rsidR="00E96223" w:rsidRDefault="00E96223" w:rsidP="0068170F">
      <w:pPr>
        <w:spacing w:after="0" w:line="240" w:lineRule="auto"/>
        <w:rPr>
          <w:rFonts w:ascii="Arial" w:hAnsi="Arial" w:cs="Arial"/>
          <w:sz w:val="20"/>
          <w:szCs w:val="20"/>
        </w:rPr>
      </w:pPr>
      <w:r w:rsidRPr="007B4E1E">
        <w:rPr>
          <w:rFonts w:ascii="Arial" w:hAnsi="Arial" w:cs="Arial"/>
          <w:sz w:val="20"/>
          <w:szCs w:val="20"/>
          <w:highlight w:val="yellow"/>
        </w:rPr>
        <w:t>Placeholder for final sign-off: confirm that this certification wording is consistent with the final 2025/26  external audit or governance disclosures before approval.</w:t>
      </w:r>
    </w:p>
    <w:p w14:paraId="3845C8E2" w14:textId="68386735" w:rsidR="00443D38" w:rsidRDefault="00443D38" w:rsidP="00A51927">
      <w:pPr>
        <w:spacing w:after="0" w:line="240" w:lineRule="auto"/>
        <w:rPr>
          <w:rFonts w:ascii="Arial" w:hAnsi="Arial" w:cs="Arial"/>
          <w:sz w:val="20"/>
          <w:szCs w:val="20"/>
        </w:rPr>
      </w:pPr>
    </w:p>
    <w:p w14:paraId="56DC45AD" w14:textId="77777777" w:rsidR="00443D38" w:rsidRDefault="00443D38" w:rsidP="00A51927">
      <w:pPr>
        <w:spacing w:after="0" w:line="240" w:lineRule="auto"/>
        <w:rPr>
          <w:rFonts w:ascii="Arial" w:hAnsi="Arial" w:cs="Arial"/>
          <w:sz w:val="20"/>
          <w:szCs w:val="20"/>
        </w:rPr>
      </w:pPr>
    </w:p>
    <w:p w14:paraId="2B5501CC" w14:textId="77777777" w:rsidR="00B5641D" w:rsidRPr="007B4E1E" w:rsidRDefault="00B5641D" w:rsidP="00A51927">
      <w:pPr>
        <w:spacing w:after="0" w:line="240" w:lineRule="auto"/>
        <w:rPr>
          <w:rFonts w:ascii="Arial" w:hAnsi="Arial" w:cs="Arial"/>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13"/>
        <w:gridCol w:w="4513"/>
      </w:tblGrid>
      <w:tr w:rsidR="0068170F" w:rsidRPr="00C9207C" w14:paraId="4623BE2C" w14:textId="77777777" w:rsidTr="00AA3E78">
        <w:trPr>
          <w:tblCellSpacing w:w="15" w:type="dxa"/>
          <w:jc w:val="center"/>
        </w:trPr>
        <w:tc>
          <w:tcPr>
            <w:tcW w:w="2475" w:type="pct"/>
            <w:vAlign w:val="center"/>
            <w:hideMark/>
          </w:tcPr>
          <w:p w14:paraId="219F2CE7" w14:textId="77777777" w:rsidR="0068170F" w:rsidRPr="0071470B" w:rsidRDefault="0068170F">
            <w:r w:rsidRPr="0071470B">
              <w:t>……………………………………...</w:t>
            </w:r>
          </w:p>
        </w:tc>
        <w:tc>
          <w:tcPr>
            <w:tcW w:w="2475" w:type="pct"/>
            <w:vAlign w:val="center"/>
            <w:hideMark/>
          </w:tcPr>
          <w:p w14:paraId="728A4ED1" w14:textId="77777777" w:rsidR="0068170F" w:rsidRPr="0071470B" w:rsidRDefault="0068170F">
            <w:r w:rsidRPr="0071470B">
              <w:t>………………………....................</w:t>
            </w:r>
          </w:p>
          <w:p w14:paraId="3EFE8AE8" w14:textId="77777777" w:rsidR="0068170F" w:rsidRPr="0071470B" w:rsidRDefault="0068170F"/>
        </w:tc>
      </w:tr>
      <w:tr w:rsidR="0068170F" w:rsidRPr="00C9207C" w14:paraId="46F8692D" w14:textId="77777777" w:rsidTr="00AA3E78">
        <w:trPr>
          <w:tblCellSpacing w:w="15" w:type="dxa"/>
          <w:jc w:val="center"/>
        </w:trPr>
        <w:tc>
          <w:tcPr>
            <w:tcW w:w="2475" w:type="pct"/>
            <w:vAlign w:val="center"/>
            <w:hideMark/>
          </w:tcPr>
          <w:p w14:paraId="64437A4B" w14:textId="77777777" w:rsidR="0068170F" w:rsidRDefault="0068170F">
            <w:r w:rsidRPr="0071470B">
              <w:t>Fiona Mitchelhill</w:t>
            </w:r>
          </w:p>
          <w:p w14:paraId="0BB7870F" w14:textId="77777777" w:rsidR="0068170F" w:rsidRPr="0071470B" w:rsidRDefault="0068170F">
            <w:r w:rsidRPr="0071470B">
              <w:t>Chief Officer</w:t>
            </w:r>
          </w:p>
          <w:p w14:paraId="1AC50EF0" w14:textId="77777777" w:rsidR="0068170F" w:rsidRPr="0071470B" w:rsidRDefault="0068170F"/>
        </w:tc>
        <w:tc>
          <w:tcPr>
            <w:tcW w:w="2475" w:type="pct"/>
            <w:vAlign w:val="center"/>
            <w:hideMark/>
          </w:tcPr>
          <w:p w14:paraId="14DAC16A" w14:textId="77777777" w:rsidR="0068170F" w:rsidRPr="0071470B" w:rsidRDefault="0068170F">
            <w:r w:rsidRPr="0071470B">
              <w:t>Hussein Patwa</w:t>
            </w:r>
          </w:p>
          <w:p w14:paraId="273ACA23" w14:textId="77777777" w:rsidR="0068170F" w:rsidRDefault="0068170F">
            <w:r w:rsidRPr="0071470B">
              <w:t>Chair</w:t>
            </w:r>
          </w:p>
          <w:p w14:paraId="15697743" w14:textId="77777777" w:rsidR="0068170F" w:rsidRPr="0071470B" w:rsidRDefault="0068170F"/>
          <w:p w14:paraId="0A10F0F4" w14:textId="77777777" w:rsidR="0068170F" w:rsidRPr="0071470B" w:rsidRDefault="0068170F"/>
        </w:tc>
      </w:tr>
    </w:tbl>
    <w:p w14:paraId="60089BCF" w14:textId="77777777" w:rsidR="00F86698" w:rsidRPr="00C9207C" w:rsidRDefault="00F86698" w:rsidP="00A51927">
      <w:pPr>
        <w:spacing w:after="0" w:line="240" w:lineRule="auto"/>
        <w:rPr>
          <w:rFonts w:ascii="Arial" w:hAnsi="Arial" w:cs="Arial"/>
          <w:b/>
          <w:sz w:val="20"/>
          <w:szCs w:val="20"/>
          <w:highlight w:val="yellow"/>
        </w:rPr>
        <w:sectPr w:rsidR="00F86698" w:rsidRPr="00C9207C" w:rsidSect="00497E40">
          <w:headerReference w:type="default" r:id="rId58"/>
          <w:footerReference w:type="default" r:id="rId59"/>
          <w:pgSz w:w="11906" w:h="16838"/>
          <w:pgMar w:top="1440" w:right="1440" w:bottom="1440" w:left="1440" w:header="708" w:footer="708" w:gutter="0"/>
          <w:cols w:space="708"/>
          <w:docGrid w:linePitch="360"/>
        </w:sectPr>
      </w:pPr>
    </w:p>
    <w:p w14:paraId="39D887DB" w14:textId="34372083" w:rsidR="00F93F25" w:rsidRPr="00C9207C" w:rsidRDefault="000B1242" w:rsidP="006D5013">
      <w:pPr>
        <w:pStyle w:val="Heading1"/>
        <w:numPr>
          <w:ilvl w:val="0"/>
          <w:numId w:val="11"/>
        </w:numPr>
        <w:jc w:val="left"/>
        <w:rPr>
          <w:rFonts w:ascii="Arial" w:hAnsi="Arial" w:cs="Arial"/>
        </w:rPr>
      </w:pPr>
      <w:bookmarkStart w:id="23" w:name="_Toc232169350"/>
      <w:r w:rsidRPr="00C9207C">
        <w:rPr>
          <w:rFonts w:ascii="Arial" w:hAnsi="Arial" w:cs="Arial"/>
        </w:rPr>
        <w:lastRenderedPageBreak/>
        <w:t>Financial Statements</w:t>
      </w:r>
      <w:bookmarkEnd w:id="23"/>
    </w:p>
    <w:p w14:paraId="27007F75" w14:textId="77777777" w:rsidR="000B1242" w:rsidRPr="00C9207C" w:rsidRDefault="000B1242" w:rsidP="00A51927">
      <w:pPr>
        <w:pStyle w:val="Heading1"/>
        <w:jc w:val="left"/>
        <w:rPr>
          <w:rFonts w:ascii="Arial" w:hAnsi="Arial" w:cs="Arial"/>
        </w:rPr>
      </w:pPr>
    </w:p>
    <w:p w14:paraId="2D4B29A4" w14:textId="451A6A38" w:rsidR="006E6B6D" w:rsidRPr="00C9207C" w:rsidRDefault="00BF7FE8" w:rsidP="00A51927">
      <w:pPr>
        <w:pStyle w:val="Heading1"/>
        <w:jc w:val="left"/>
        <w:rPr>
          <w:rFonts w:ascii="Arial" w:hAnsi="Arial" w:cs="Arial"/>
          <w:lang w:val="en-AU"/>
        </w:rPr>
      </w:pPr>
      <w:bookmarkStart w:id="24" w:name="_Toc232169351"/>
      <w:r w:rsidRPr="00C9207C">
        <w:rPr>
          <w:rFonts w:ascii="Arial" w:hAnsi="Arial" w:cs="Arial"/>
        </w:rPr>
        <w:t>4.1</w:t>
      </w:r>
      <w:r w:rsidRPr="00C9207C">
        <w:rPr>
          <w:rFonts w:ascii="Arial" w:hAnsi="Arial" w:cs="Arial"/>
        </w:rPr>
        <w:tab/>
      </w:r>
      <w:r w:rsidR="7F32C17B" w:rsidRPr="00C9207C">
        <w:rPr>
          <w:rFonts w:ascii="Arial" w:hAnsi="Arial" w:cs="Arial"/>
        </w:rPr>
        <w:t>C</w:t>
      </w:r>
      <w:r w:rsidR="4496FCF5" w:rsidRPr="00C9207C">
        <w:rPr>
          <w:rFonts w:ascii="Arial" w:hAnsi="Arial" w:cs="Arial"/>
        </w:rPr>
        <w:t>omprehensive Income and Expenditure Statement</w:t>
      </w:r>
      <w:bookmarkEnd w:id="24"/>
    </w:p>
    <w:p w14:paraId="378931E6" w14:textId="1B59A342" w:rsidR="006E6B6D" w:rsidRPr="00C9207C" w:rsidRDefault="006E6B6D" w:rsidP="00A51927">
      <w:pPr>
        <w:spacing w:after="0" w:line="240" w:lineRule="auto"/>
        <w:rPr>
          <w:rFonts w:ascii="Arial" w:eastAsia="Times New Roman" w:hAnsi="Arial" w:cs="Arial"/>
          <w:sz w:val="20"/>
          <w:szCs w:val="20"/>
          <w:lang w:val="en-AU"/>
        </w:rPr>
      </w:pPr>
    </w:p>
    <w:p w14:paraId="164F7DC4" w14:textId="7E566A9A" w:rsidR="009D1189" w:rsidRDefault="006E6B6D" w:rsidP="00A51927">
      <w:pPr>
        <w:spacing w:after="0" w:line="240" w:lineRule="auto"/>
        <w:rPr>
          <w:rFonts w:ascii="Arial" w:eastAsia="Times New Roman" w:hAnsi="Arial" w:cs="Arial"/>
          <w:sz w:val="20"/>
          <w:szCs w:val="20"/>
          <w:lang w:val="en-AU"/>
        </w:rPr>
      </w:pPr>
      <w:r w:rsidRPr="00C9207C">
        <w:rPr>
          <w:rFonts w:ascii="Arial" w:eastAsia="Times New Roman" w:hAnsi="Arial" w:cs="Arial"/>
          <w:sz w:val="20"/>
          <w:szCs w:val="20"/>
          <w:lang w:val="en-AU"/>
        </w:rPr>
        <w:t xml:space="preserve">This statement shows the cost of providing services </w:t>
      </w:r>
      <w:r w:rsidR="009B4D0F" w:rsidRPr="00C9207C">
        <w:rPr>
          <w:rFonts w:ascii="Arial" w:eastAsia="Times New Roman" w:hAnsi="Arial" w:cs="Arial"/>
          <w:sz w:val="20"/>
          <w:szCs w:val="20"/>
          <w:lang w:val="en-AU"/>
        </w:rPr>
        <w:t xml:space="preserve">for the year according to </w:t>
      </w:r>
      <w:r w:rsidRPr="00C9207C">
        <w:rPr>
          <w:rFonts w:ascii="Arial" w:eastAsia="Times New Roman" w:hAnsi="Arial" w:cs="Arial"/>
          <w:sz w:val="20"/>
          <w:szCs w:val="20"/>
          <w:lang w:val="en-AU"/>
        </w:rPr>
        <w:t>accepted accounting practices.</w:t>
      </w:r>
    </w:p>
    <w:p w14:paraId="308C0A13" w14:textId="77777777" w:rsidR="001B0AF0" w:rsidRPr="00C9207C" w:rsidRDefault="001B0AF0" w:rsidP="00A51927">
      <w:pPr>
        <w:spacing w:after="0" w:line="240" w:lineRule="auto"/>
        <w:rPr>
          <w:rFonts w:ascii="Arial" w:eastAsia="Times New Roman" w:hAnsi="Arial" w:cs="Arial"/>
          <w:sz w:val="20"/>
          <w:szCs w:val="20"/>
          <w:lang w:val="en-AU"/>
        </w:rPr>
      </w:pPr>
    </w:p>
    <w:tbl>
      <w:tblPr>
        <w:tblW w:w="14275" w:type="dxa"/>
        <w:tblLook w:val="04A0" w:firstRow="1" w:lastRow="0" w:firstColumn="1" w:lastColumn="0" w:noHBand="0" w:noVBand="1"/>
      </w:tblPr>
      <w:tblGrid>
        <w:gridCol w:w="1531"/>
        <w:gridCol w:w="1631"/>
        <w:gridCol w:w="1632"/>
        <w:gridCol w:w="4687"/>
        <w:gridCol w:w="1531"/>
        <w:gridCol w:w="1631"/>
        <w:gridCol w:w="1632"/>
      </w:tblGrid>
      <w:tr w:rsidR="0046685A" w:rsidRPr="00C9207C" w14:paraId="7322F40A" w14:textId="77777777" w:rsidTr="009D1189">
        <w:trPr>
          <w:trHeight w:val="20"/>
        </w:trPr>
        <w:tc>
          <w:tcPr>
            <w:tcW w:w="4794" w:type="dxa"/>
            <w:gridSpan w:val="3"/>
            <w:tcBorders>
              <w:top w:val="single" w:sz="4" w:space="0" w:color="auto"/>
              <w:left w:val="single" w:sz="4" w:space="0" w:color="auto"/>
              <w:bottom w:val="nil"/>
              <w:right w:val="single" w:sz="4" w:space="0" w:color="000000"/>
            </w:tcBorders>
            <w:shd w:val="clear" w:color="000000" w:fill="FFFFFF"/>
            <w:vAlign w:val="center"/>
            <w:hideMark/>
          </w:tcPr>
          <w:p w14:paraId="555FCDEE" w14:textId="77777777" w:rsidR="0046685A" w:rsidRPr="00C9207C" w:rsidRDefault="0046685A" w:rsidP="0046685A">
            <w:pPr>
              <w:spacing w:after="0" w:line="240" w:lineRule="auto"/>
              <w:jc w:val="center"/>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2024/25</w:t>
            </w:r>
          </w:p>
        </w:tc>
        <w:tc>
          <w:tcPr>
            <w:tcW w:w="4687" w:type="dxa"/>
            <w:tcBorders>
              <w:top w:val="nil"/>
              <w:left w:val="nil"/>
              <w:bottom w:val="nil"/>
              <w:right w:val="nil"/>
            </w:tcBorders>
            <w:shd w:val="clear" w:color="000000" w:fill="FFFFFF"/>
            <w:vAlign w:val="center"/>
            <w:hideMark/>
          </w:tcPr>
          <w:p w14:paraId="576C1700"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4794" w:type="dxa"/>
            <w:gridSpan w:val="3"/>
            <w:tcBorders>
              <w:top w:val="single" w:sz="4" w:space="0" w:color="auto"/>
              <w:left w:val="single" w:sz="4" w:space="0" w:color="auto"/>
              <w:bottom w:val="nil"/>
              <w:right w:val="single" w:sz="4" w:space="0" w:color="000000"/>
            </w:tcBorders>
            <w:shd w:val="clear" w:color="000000" w:fill="FFFFFF"/>
            <w:vAlign w:val="center"/>
            <w:hideMark/>
          </w:tcPr>
          <w:p w14:paraId="68BB43BF" w14:textId="77777777" w:rsidR="0046685A" w:rsidRPr="00C9207C" w:rsidRDefault="0046685A" w:rsidP="0046685A">
            <w:pPr>
              <w:spacing w:after="0" w:line="240" w:lineRule="auto"/>
              <w:jc w:val="center"/>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2025/26</w:t>
            </w:r>
          </w:p>
        </w:tc>
      </w:tr>
      <w:tr w:rsidR="0046685A" w:rsidRPr="00C9207C" w14:paraId="1E429C23" w14:textId="77777777" w:rsidTr="009D1189">
        <w:trPr>
          <w:trHeight w:val="20"/>
        </w:trPr>
        <w:tc>
          <w:tcPr>
            <w:tcW w:w="1531" w:type="dxa"/>
            <w:tcBorders>
              <w:top w:val="single" w:sz="4" w:space="0" w:color="auto"/>
              <w:left w:val="single" w:sz="4" w:space="0" w:color="auto"/>
              <w:bottom w:val="nil"/>
              <w:right w:val="nil"/>
            </w:tcBorders>
            <w:shd w:val="clear" w:color="000000" w:fill="FFFFFF"/>
            <w:vAlign w:val="center"/>
            <w:hideMark/>
          </w:tcPr>
          <w:p w14:paraId="1EF914ED"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Gross Expenditure</w:t>
            </w:r>
          </w:p>
        </w:tc>
        <w:tc>
          <w:tcPr>
            <w:tcW w:w="1631" w:type="dxa"/>
            <w:tcBorders>
              <w:top w:val="single" w:sz="4" w:space="0" w:color="auto"/>
              <w:left w:val="single" w:sz="4" w:space="0" w:color="auto"/>
              <w:bottom w:val="nil"/>
              <w:right w:val="single" w:sz="4" w:space="0" w:color="auto"/>
            </w:tcBorders>
            <w:shd w:val="clear" w:color="000000" w:fill="FFFFFF"/>
            <w:vAlign w:val="center"/>
            <w:hideMark/>
          </w:tcPr>
          <w:p w14:paraId="54A49426"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Gross Income</w:t>
            </w:r>
          </w:p>
        </w:tc>
        <w:tc>
          <w:tcPr>
            <w:tcW w:w="1631" w:type="dxa"/>
            <w:tcBorders>
              <w:top w:val="single" w:sz="4" w:space="0" w:color="auto"/>
              <w:left w:val="nil"/>
              <w:bottom w:val="nil"/>
              <w:right w:val="single" w:sz="4" w:space="0" w:color="auto"/>
            </w:tcBorders>
            <w:shd w:val="clear" w:color="000000" w:fill="FFFFFF"/>
            <w:vAlign w:val="center"/>
            <w:hideMark/>
          </w:tcPr>
          <w:p w14:paraId="48D45DA8"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Expenditure</w:t>
            </w:r>
          </w:p>
        </w:tc>
        <w:tc>
          <w:tcPr>
            <w:tcW w:w="4687" w:type="dxa"/>
            <w:tcBorders>
              <w:top w:val="single" w:sz="4" w:space="0" w:color="auto"/>
              <w:left w:val="nil"/>
              <w:bottom w:val="nil"/>
              <w:right w:val="nil"/>
            </w:tcBorders>
            <w:shd w:val="clear" w:color="000000" w:fill="FFFFFF"/>
            <w:vAlign w:val="center"/>
            <w:hideMark/>
          </w:tcPr>
          <w:p w14:paraId="1619C66F"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531" w:type="dxa"/>
            <w:tcBorders>
              <w:top w:val="single" w:sz="4" w:space="0" w:color="auto"/>
              <w:left w:val="single" w:sz="4" w:space="0" w:color="auto"/>
              <w:bottom w:val="nil"/>
              <w:right w:val="nil"/>
            </w:tcBorders>
            <w:shd w:val="clear" w:color="000000" w:fill="FFFFFF"/>
            <w:vAlign w:val="center"/>
            <w:hideMark/>
          </w:tcPr>
          <w:p w14:paraId="75DE3FFA"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Gross Expenditure</w:t>
            </w:r>
          </w:p>
        </w:tc>
        <w:tc>
          <w:tcPr>
            <w:tcW w:w="1631" w:type="dxa"/>
            <w:tcBorders>
              <w:top w:val="single" w:sz="4" w:space="0" w:color="auto"/>
              <w:left w:val="single" w:sz="4" w:space="0" w:color="auto"/>
              <w:bottom w:val="nil"/>
              <w:right w:val="single" w:sz="4" w:space="0" w:color="auto"/>
            </w:tcBorders>
            <w:shd w:val="clear" w:color="000000" w:fill="FFFFFF"/>
            <w:vAlign w:val="center"/>
            <w:hideMark/>
          </w:tcPr>
          <w:p w14:paraId="6A4947BD"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Gross Income</w:t>
            </w:r>
          </w:p>
        </w:tc>
        <w:tc>
          <w:tcPr>
            <w:tcW w:w="1631" w:type="dxa"/>
            <w:tcBorders>
              <w:top w:val="single" w:sz="4" w:space="0" w:color="auto"/>
              <w:left w:val="nil"/>
              <w:bottom w:val="nil"/>
              <w:right w:val="single" w:sz="4" w:space="0" w:color="auto"/>
            </w:tcBorders>
            <w:shd w:val="clear" w:color="000000" w:fill="FFFFFF"/>
            <w:vAlign w:val="center"/>
            <w:hideMark/>
          </w:tcPr>
          <w:p w14:paraId="1852097C"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Expenditure</w:t>
            </w:r>
          </w:p>
        </w:tc>
      </w:tr>
      <w:tr w:rsidR="0046685A" w:rsidRPr="00C9207C" w14:paraId="2048B7A5" w14:textId="77777777" w:rsidTr="009D1189">
        <w:trPr>
          <w:trHeight w:val="20"/>
        </w:trPr>
        <w:tc>
          <w:tcPr>
            <w:tcW w:w="1531" w:type="dxa"/>
            <w:tcBorders>
              <w:top w:val="nil"/>
              <w:left w:val="single" w:sz="4" w:space="0" w:color="auto"/>
              <w:bottom w:val="single" w:sz="4" w:space="0" w:color="auto"/>
              <w:right w:val="nil"/>
            </w:tcBorders>
            <w:shd w:val="clear" w:color="000000" w:fill="FFFFFF"/>
            <w:vAlign w:val="center"/>
            <w:hideMark/>
          </w:tcPr>
          <w:p w14:paraId="7C6CA621"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1631" w:type="dxa"/>
            <w:tcBorders>
              <w:top w:val="nil"/>
              <w:left w:val="single" w:sz="4" w:space="0" w:color="auto"/>
              <w:bottom w:val="single" w:sz="4" w:space="0" w:color="auto"/>
              <w:right w:val="single" w:sz="4" w:space="0" w:color="auto"/>
            </w:tcBorders>
            <w:shd w:val="clear" w:color="000000" w:fill="FFFFFF"/>
            <w:vAlign w:val="center"/>
            <w:hideMark/>
          </w:tcPr>
          <w:p w14:paraId="6F2E41C3"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1631" w:type="dxa"/>
            <w:tcBorders>
              <w:top w:val="nil"/>
              <w:left w:val="nil"/>
              <w:bottom w:val="single" w:sz="4" w:space="0" w:color="auto"/>
              <w:right w:val="single" w:sz="4" w:space="0" w:color="auto"/>
            </w:tcBorders>
            <w:shd w:val="clear" w:color="000000" w:fill="FFFFFF"/>
            <w:vAlign w:val="center"/>
            <w:hideMark/>
          </w:tcPr>
          <w:p w14:paraId="5C9DC6C1"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4687" w:type="dxa"/>
            <w:tcBorders>
              <w:top w:val="nil"/>
              <w:left w:val="nil"/>
              <w:bottom w:val="single" w:sz="4" w:space="0" w:color="auto"/>
              <w:right w:val="nil"/>
            </w:tcBorders>
            <w:shd w:val="clear" w:color="000000" w:fill="FFFFFF"/>
            <w:vAlign w:val="center"/>
            <w:hideMark/>
          </w:tcPr>
          <w:p w14:paraId="2BDED020"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531" w:type="dxa"/>
            <w:tcBorders>
              <w:top w:val="nil"/>
              <w:left w:val="single" w:sz="4" w:space="0" w:color="auto"/>
              <w:bottom w:val="single" w:sz="4" w:space="0" w:color="auto"/>
              <w:right w:val="nil"/>
            </w:tcBorders>
            <w:shd w:val="clear" w:color="000000" w:fill="FFFFFF"/>
            <w:vAlign w:val="center"/>
            <w:hideMark/>
          </w:tcPr>
          <w:p w14:paraId="1DE338B0"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1631" w:type="dxa"/>
            <w:tcBorders>
              <w:top w:val="nil"/>
              <w:left w:val="single" w:sz="4" w:space="0" w:color="auto"/>
              <w:bottom w:val="single" w:sz="4" w:space="0" w:color="auto"/>
              <w:right w:val="single" w:sz="4" w:space="0" w:color="auto"/>
            </w:tcBorders>
            <w:shd w:val="clear" w:color="000000" w:fill="FFFFFF"/>
            <w:vAlign w:val="center"/>
            <w:hideMark/>
          </w:tcPr>
          <w:p w14:paraId="31028258"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1631" w:type="dxa"/>
            <w:tcBorders>
              <w:top w:val="nil"/>
              <w:left w:val="nil"/>
              <w:bottom w:val="single" w:sz="4" w:space="0" w:color="auto"/>
              <w:right w:val="single" w:sz="4" w:space="0" w:color="auto"/>
            </w:tcBorders>
            <w:shd w:val="clear" w:color="000000" w:fill="FFFFFF"/>
            <w:vAlign w:val="center"/>
            <w:hideMark/>
          </w:tcPr>
          <w:p w14:paraId="484F2B9B"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46685A" w:rsidRPr="00C9207C" w14:paraId="2E33AB66"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20BA02B8"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1B071527"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79C33781"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4687" w:type="dxa"/>
            <w:tcBorders>
              <w:top w:val="nil"/>
              <w:left w:val="nil"/>
              <w:bottom w:val="nil"/>
              <w:right w:val="nil"/>
            </w:tcBorders>
            <w:shd w:val="clear" w:color="000000" w:fill="FFFFFF"/>
            <w:vAlign w:val="center"/>
            <w:hideMark/>
          </w:tcPr>
          <w:p w14:paraId="513554DC"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531" w:type="dxa"/>
            <w:tcBorders>
              <w:top w:val="nil"/>
              <w:left w:val="single" w:sz="4" w:space="0" w:color="auto"/>
              <w:bottom w:val="nil"/>
              <w:right w:val="nil"/>
            </w:tcBorders>
            <w:shd w:val="clear" w:color="000000" w:fill="FFFFFF"/>
            <w:vAlign w:val="center"/>
            <w:hideMark/>
          </w:tcPr>
          <w:p w14:paraId="060565A6"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18195019"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1E228ACD"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46685A" w:rsidRPr="00C9207C" w14:paraId="2953D8CC"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0F432221"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49,873,614</w:t>
            </w:r>
          </w:p>
        </w:tc>
        <w:tc>
          <w:tcPr>
            <w:tcW w:w="1631" w:type="dxa"/>
            <w:tcBorders>
              <w:top w:val="nil"/>
              <w:left w:val="single" w:sz="4" w:space="0" w:color="auto"/>
              <w:bottom w:val="nil"/>
              <w:right w:val="single" w:sz="4" w:space="0" w:color="auto"/>
            </w:tcBorders>
            <w:shd w:val="clear" w:color="000000" w:fill="FFFFFF"/>
            <w:vAlign w:val="center"/>
            <w:hideMark/>
          </w:tcPr>
          <w:p w14:paraId="1D80F6B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7784F90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49,873,614</w:t>
            </w:r>
          </w:p>
        </w:tc>
        <w:tc>
          <w:tcPr>
            <w:tcW w:w="4687" w:type="dxa"/>
            <w:tcBorders>
              <w:top w:val="nil"/>
              <w:left w:val="nil"/>
              <w:bottom w:val="nil"/>
              <w:right w:val="nil"/>
            </w:tcBorders>
            <w:shd w:val="clear" w:color="000000" w:fill="FFFFFF"/>
            <w:noWrap/>
            <w:vAlign w:val="center"/>
            <w:hideMark/>
          </w:tcPr>
          <w:p w14:paraId="4352971A"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Community Health Services</w:t>
            </w:r>
          </w:p>
        </w:tc>
        <w:tc>
          <w:tcPr>
            <w:tcW w:w="1531" w:type="dxa"/>
            <w:tcBorders>
              <w:top w:val="nil"/>
              <w:left w:val="single" w:sz="4" w:space="0" w:color="auto"/>
              <w:bottom w:val="nil"/>
              <w:right w:val="nil"/>
            </w:tcBorders>
            <w:shd w:val="clear" w:color="000000" w:fill="FFFFFF"/>
            <w:noWrap/>
            <w:vAlign w:val="center"/>
            <w:hideMark/>
          </w:tcPr>
          <w:p w14:paraId="527B893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50,679,539</w:t>
            </w:r>
          </w:p>
        </w:tc>
        <w:tc>
          <w:tcPr>
            <w:tcW w:w="1631" w:type="dxa"/>
            <w:tcBorders>
              <w:top w:val="nil"/>
              <w:left w:val="single" w:sz="4" w:space="0" w:color="auto"/>
              <w:bottom w:val="nil"/>
              <w:right w:val="single" w:sz="4" w:space="0" w:color="auto"/>
            </w:tcBorders>
            <w:shd w:val="clear" w:color="000000" w:fill="FFFFFF"/>
            <w:vAlign w:val="center"/>
            <w:hideMark/>
          </w:tcPr>
          <w:p w14:paraId="684B51AD"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C89461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50,679,539</w:t>
            </w:r>
          </w:p>
        </w:tc>
      </w:tr>
      <w:tr w:rsidR="0046685A" w:rsidRPr="00C9207C" w14:paraId="05938E92"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10B0D32B"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32,898,445</w:t>
            </w:r>
          </w:p>
        </w:tc>
        <w:tc>
          <w:tcPr>
            <w:tcW w:w="1631" w:type="dxa"/>
            <w:tcBorders>
              <w:top w:val="nil"/>
              <w:left w:val="single" w:sz="4" w:space="0" w:color="auto"/>
              <w:bottom w:val="nil"/>
              <w:right w:val="single" w:sz="4" w:space="0" w:color="auto"/>
            </w:tcBorders>
            <w:shd w:val="clear" w:color="000000" w:fill="FFFFFF"/>
            <w:vAlign w:val="center"/>
            <w:hideMark/>
          </w:tcPr>
          <w:p w14:paraId="6AA1CFE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5CB2462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32,898,445</w:t>
            </w:r>
          </w:p>
        </w:tc>
        <w:tc>
          <w:tcPr>
            <w:tcW w:w="4687" w:type="dxa"/>
            <w:tcBorders>
              <w:top w:val="nil"/>
              <w:left w:val="nil"/>
              <w:bottom w:val="nil"/>
              <w:right w:val="nil"/>
            </w:tcBorders>
            <w:shd w:val="clear" w:color="000000" w:fill="FFFFFF"/>
            <w:vAlign w:val="center"/>
            <w:hideMark/>
          </w:tcPr>
          <w:p w14:paraId="3E3A59ED"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Aberdeen City share of Hosted Services (health)</w:t>
            </w:r>
          </w:p>
        </w:tc>
        <w:tc>
          <w:tcPr>
            <w:tcW w:w="1531" w:type="dxa"/>
            <w:tcBorders>
              <w:top w:val="nil"/>
              <w:left w:val="single" w:sz="4" w:space="0" w:color="auto"/>
              <w:bottom w:val="nil"/>
              <w:right w:val="nil"/>
            </w:tcBorders>
            <w:shd w:val="clear" w:color="000000" w:fill="FFFFFF"/>
            <w:noWrap/>
            <w:vAlign w:val="center"/>
            <w:hideMark/>
          </w:tcPr>
          <w:p w14:paraId="5F98BA6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34,087,644</w:t>
            </w:r>
          </w:p>
        </w:tc>
        <w:tc>
          <w:tcPr>
            <w:tcW w:w="1631" w:type="dxa"/>
            <w:tcBorders>
              <w:top w:val="nil"/>
              <w:left w:val="single" w:sz="4" w:space="0" w:color="auto"/>
              <w:bottom w:val="nil"/>
              <w:right w:val="single" w:sz="4" w:space="0" w:color="auto"/>
            </w:tcBorders>
            <w:shd w:val="clear" w:color="000000" w:fill="FFFFFF"/>
            <w:vAlign w:val="center"/>
            <w:hideMark/>
          </w:tcPr>
          <w:p w14:paraId="0134E5E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565986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34,087,644</w:t>
            </w:r>
          </w:p>
        </w:tc>
      </w:tr>
      <w:tr w:rsidR="0046685A" w:rsidRPr="00C9207C" w14:paraId="48709D00"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08D12101"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51,688,650</w:t>
            </w:r>
          </w:p>
        </w:tc>
        <w:tc>
          <w:tcPr>
            <w:tcW w:w="1631" w:type="dxa"/>
            <w:tcBorders>
              <w:top w:val="nil"/>
              <w:left w:val="single" w:sz="4" w:space="0" w:color="auto"/>
              <w:bottom w:val="nil"/>
              <w:right w:val="single" w:sz="4" w:space="0" w:color="auto"/>
            </w:tcBorders>
            <w:shd w:val="clear" w:color="000000" w:fill="FFFFFF"/>
            <w:vAlign w:val="center"/>
            <w:hideMark/>
          </w:tcPr>
          <w:p w14:paraId="59EBCC0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45FFDA6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51,688,650</w:t>
            </w:r>
          </w:p>
        </w:tc>
        <w:tc>
          <w:tcPr>
            <w:tcW w:w="4687" w:type="dxa"/>
            <w:tcBorders>
              <w:top w:val="nil"/>
              <w:left w:val="nil"/>
              <w:bottom w:val="nil"/>
              <w:right w:val="nil"/>
            </w:tcBorders>
            <w:shd w:val="clear" w:color="000000" w:fill="FFFFFF"/>
            <w:noWrap/>
            <w:vAlign w:val="center"/>
            <w:hideMark/>
          </w:tcPr>
          <w:p w14:paraId="036A666E"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Learning Disabilities</w:t>
            </w:r>
          </w:p>
        </w:tc>
        <w:tc>
          <w:tcPr>
            <w:tcW w:w="1531" w:type="dxa"/>
            <w:tcBorders>
              <w:top w:val="nil"/>
              <w:left w:val="single" w:sz="4" w:space="0" w:color="auto"/>
              <w:bottom w:val="nil"/>
              <w:right w:val="nil"/>
            </w:tcBorders>
            <w:shd w:val="clear" w:color="000000" w:fill="FFFFFF"/>
            <w:noWrap/>
            <w:vAlign w:val="center"/>
            <w:hideMark/>
          </w:tcPr>
          <w:p w14:paraId="23E8489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54,791,104</w:t>
            </w:r>
          </w:p>
        </w:tc>
        <w:tc>
          <w:tcPr>
            <w:tcW w:w="1631" w:type="dxa"/>
            <w:tcBorders>
              <w:top w:val="nil"/>
              <w:left w:val="single" w:sz="4" w:space="0" w:color="auto"/>
              <w:bottom w:val="nil"/>
              <w:right w:val="single" w:sz="4" w:space="0" w:color="auto"/>
            </w:tcBorders>
            <w:shd w:val="clear" w:color="000000" w:fill="FFFFFF"/>
            <w:vAlign w:val="center"/>
            <w:hideMark/>
          </w:tcPr>
          <w:p w14:paraId="2136101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32141B85"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54,791,104</w:t>
            </w:r>
          </w:p>
        </w:tc>
      </w:tr>
      <w:tr w:rsidR="0046685A" w:rsidRPr="00C9207C" w14:paraId="5ADB478C"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2343E11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30,995,471</w:t>
            </w:r>
          </w:p>
        </w:tc>
        <w:tc>
          <w:tcPr>
            <w:tcW w:w="1631" w:type="dxa"/>
            <w:tcBorders>
              <w:top w:val="nil"/>
              <w:left w:val="single" w:sz="4" w:space="0" w:color="auto"/>
              <w:bottom w:val="nil"/>
              <w:right w:val="single" w:sz="4" w:space="0" w:color="auto"/>
            </w:tcBorders>
            <w:shd w:val="clear" w:color="000000" w:fill="FFFFFF"/>
            <w:vAlign w:val="center"/>
            <w:hideMark/>
          </w:tcPr>
          <w:p w14:paraId="7E2006C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DAFDF3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30,995,471</w:t>
            </w:r>
          </w:p>
        </w:tc>
        <w:tc>
          <w:tcPr>
            <w:tcW w:w="4687" w:type="dxa"/>
            <w:tcBorders>
              <w:top w:val="nil"/>
              <w:left w:val="nil"/>
              <w:bottom w:val="nil"/>
              <w:right w:val="nil"/>
            </w:tcBorders>
            <w:shd w:val="clear" w:color="000000" w:fill="FFFFFF"/>
            <w:noWrap/>
            <w:vAlign w:val="center"/>
            <w:hideMark/>
          </w:tcPr>
          <w:p w14:paraId="4F126D49"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Mental Health &amp; Addictions</w:t>
            </w:r>
          </w:p>
        </w:tc>
        <w:tc>
          <w:tcPr>
            <w:tcW w:w="1531" w:type="dxa"/>
            <w:tcBorders>
              <w:top w:val="nil"/>
              <w:left w:val="single" w:sz="4" w:space="0" w:color="auto"/>
              <w:bottom w:val="nil"/>
              <w:right w:val="nil"/>
            </w:tcBorders>
            <w:shd w:val="clear" w:color="000000" w:fill="FFFFFF"/>
            <w:noWrap/>
            <w:vAlign w:val="center"/>
            <w:hideMark/>
          </w:tcPr>
          <w:p w14:paraId="10F7677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30,490,570</w:t>
            </w:r>
          </w:p>
        </w:tc>
        <w:tc>
          <w:tcPr>
            <w:tcW w:w="1631" w:type="dxa"/>
            <w:tcBorders>
              <w:top w:val="nil"/>
              <w:left w:val="single" w:sz="4" w:space="0" w:color="auto"/>
              <w:bottom w:val="nil"/>
              <w:right w:val="single" w:sz="4" w:space="0" w:color="auto"/>
            </w:tcBorders>
            <w:shd w:val="clear" w:color="000000" w:fill="FFFFFF"/>
            <w:vAlign w:val="center"/>
            <w:hideMark/>
          </w:tcPr>
          <w:p w14:paraId="7E49AAF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B313C1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30,490,570</w:t>
            </w:r>
          </w:p>
        </w:tc>
      </w:tr>
      <w:tr w:rsidR="0046685A" w:rsidRPr="00C9207C" w14:paraId="56082905"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2954B62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110,333,861</w:t>
            </w:r>
          </w:p>
        </w:tc>
        <w:tc>
          <w:tcPr>
            <w:tcW w:w="1631" w:type="dxa"/>
            <w:tcBorders>
              <w:top w:val="nil"/>
              <w:left w:val="single" w:sz="4" w:space="0" w:color="auto"/>
              <w:bottom w:val="nil"/>
              <w:right w:val="single" w:sz="4" w:space="0" w:color="auto"/>
            </w:tcBorders>
            <w:shd w:val="clear" w:color="000000" w:fill="FFFFFF"/>
            <w:vAlign w:val="center"/>
            <w:hideMark/>
          </w:tcPr>
          <w:p w14:paraId="31DDC0E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33E2E9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110,333,861</w:t>
            </w:r>
          </w:p>
        </w:tc>
        <w:tc>
          <w:tcPr>
            <w:tcW w:w="4687" w:type="dxa"/>
            <w:tcBorders>
              <w:top w:val="nil"/>
              <w:left w:val="nil"/>
              <w:bottom w:val="nil"/>
              <w:right w:val="nil"/>
            </w:tcBorders>
            <w:shd w:val="clear" w:color="000000" w:fill="FFFFFF"/>
            <w:vAlign w:val="center"/>
            <w:hideMark/>
          </w:tcPr>
          <w:p w14:paraId="238F2EEE"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Older People &amp; Physical and Sensory Disabilities</w:t>
            </w:r>
          </w:p>
        </w:tc>
        <w:tc>
          <w:tcPr>
            <w:tcW w:w="1531" w:type="dxa"/>
            <w:tcBorders>
              <w:top w:val="nil"/>
              <w:left w:val="single" w:sz="4" w:space="0" w:color="auto"/>
              <w:bottom w:val="nil"/>
              <w:right w:val="nil"/>
            </w:tcBorders>
            <w:shd w:val="clear" w:color="000000" w:fill="FFFFFF"/>
            <w:noWrap/>
            <w:vAlign w:val="center"/>
            <w:hideMark/>
          </w:tcPr>
          <w:p w14:paraId="4708178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105,122,809</w:t>
            </w:r>
          </w:p>
        </w:tc>
        <w:tc>
          <w:tcPr>
            <w:tcW w:w="1631" w:type="dxa"/>
            <w:tcBorders>
              <w:top w:val="nil"/>
              <w:left w:val="single" w:sz="4" w:space="0" w:color="auto"/>
              <w:bottom w:val="nil"/>
              <w:right w:val="single" w:sz="4" w:space="0" w:color="auto"/>
            </w:tcBorders>
            <w:shd w:val="clear" w:color="000000" w:fill="FFFFFF"/>
            <w:vAlign w:val="center"/>
            <w:hideMark/>
          </w:tcPr>
          <w:p w14:paraId="1C7BA9A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4F283F1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105,122,809</w:t>
            </w:r>
          </w:p>
        </w:tc>
      </w:tr>
      <w:tr w:rsidR="0046685A" w:rsidRPr="00C9207C" w14:paraId="42528402"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121A875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1,523,262</w:t>
            </w:r>
          </w:p>
        </w:tc>
        <w:tc>
          <w:tcPr>
            <w:tcW w:w="1631" w:type="dxa"/>
            <w:tcBorders>
              <w:top w:val="nil"/>
              <w:left w:val="single" w:sz="4" w:space="0" w:color="auto"/>
              <w:bottom w:val="nil"/>
              <w:right w:val="single" w:sz="4" w:space="0" w:color="auto"/>
            </w:tcBorders>
            <w:shd w:val="clear" w:color="000000" w:fill="FFFFFF"/>
            <w:vAlign w:val="center"/>
            <w:hideMark/>
          </w:tcPr>
          <w:p w14:paraId="1EC735B4"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5B64021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1,523,262</w:t>
            </w:r>
          </w:p>
        </w:tc>
        <w:tc>
          <w:tcPr>
            <w:tcW w:w="4687" w:type="dxa"/>
            <w:tcBorders>
              <w:top w:val="nil"/>
              <w:left w:val="nil"/>
              <w:bottom w:val="nil"/>
              <w:right w:val="nil"/>
            </w:tcBorders>
            <w:shd w:val="clear" w:color="000000" w:fill="FFFFFF"/>
            <w:noWrap/>
            <w:vAlign w:val="center"/>
            <w:hideMark/>
          </w:tcPr>
          <w:p w14:paraId="26B14C67"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Head office/Admin</w:t>
            </w:r>
          </w:p>
        </w:tc>
        <w:tc>
          <w:tcPr>
            <w:tcW w:w="1531" w:type="dxa"/>
            <w:tcBorders>
              <w:top w:val="nil"/>
              <w:left w:val="single" w:sz="4" w:space="0" w:color="auto"/>
              <w:bottom w:val="nil"/>
              <w:right w:val="nil"/>
            </w:tcBorders>
            <w:shd w:val="clear" w:color="000000" w:fill="FFFFFF"/>
            <w:noWrap/>
            <w:vAlign w:val="center"/>
            <w:hideMark/>
          </w:tcPr>
          <w:p w14:paraId="7ACCE4A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1,465,707</w:t>
            </w:r>
          </w:p>
        </w:tc>
        <w:tc>
          <w:tcPr>
            <w:tcW w:w="1631" w:type="dxa"/>
            <w:tcBorders>
              <w:top w:val="nil"/>
              <w:left w:val="single" w:sz="4" w:space="0" w:color="auto"/>
              <w:bottom w:val="nil"/>
              <w:right w:val="single" w:sz="4" w:space="0" w:color="auto"/>
            </w:tcBorders>
            <w:shd w:val="clear" w:color="000000" w:fill="FFFFFF"/>
            <w:vAlign w:val="center"/>
            <w:hideMark/>
          </w:tcPr>
          <w:p w14:paraId="216CE7A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A00F8B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1,465,707</w:t>
            </w:r>
          </w:p>
        </w:tc>
      </w:tr>
      <w:tr w:rsidR="0046685A" w:rsidRPr="00C9207C" w14:paraId="3A76CA4E"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729F206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6,548,679</w:t>
            </w:r>
          </w:p>
        </w:tc>
        <w:tc>
          <w:tcPr>
            <w:tcW w:w="1631" w:type="dxa"/>
            <w:tcBorders>
              <w:top w:val="nil"/>
              <w:left w:val="single" w:sz="4" w:space="0" w:color="auto"/>
              <w:bottom w:val="nil"/>
              <w:right w:val="single" w:sz="4" w:space="0" w:color="auto"/>
            </w:tcBorders>
            <w:shd w:val="clear" w:color="000000" w:fill="FFFFFF"/>
            <w:vAlign w:val="center"/>
            <w:hideMark/>
          </w:tcPr>
          <w:p w14:paraId="5DAB344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C00000"/>
                <w:sz w:val="20"/>
                <w:szCs w:val="20"/>
                <w:lang w:eastAsia="en-GB"/>
              </w:rPr>
              <w:t>(6,384,627)</w:t>
            </w:r>
          </w:p>
        </w:tc>
        <w:tc>
          <w:tcPr>
            <w:tcW w:w="1631" w:type="dxa"/>
            <w:tcBorders>
              <w:top w:val="nil"/>
              <w:left w:val="nil"/>
              <w:bottom w:val="nil"/>
              <w:right w:val="single" w:sz="4" w:space="0" w:color="auto"/>
            </w:tcBorders>
            <w:shd w:val="clear" w:color="000000" w:fill="FFFFFF"/>
            <w:vAlign w:val="center"/>
            <w:hideMark/>
          </w:tcPr>
          <w:p w14:paraId="0C00B93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164,052</w:t>
            </w:r>
          </w:p>
        </w:tc>
        <w:tc>
          <w:tcPr>
            <w:tcW w:w="4687" w:type="dxa"/>
            <w:tcBorders>
              <w:top w:val="nil"/>
              <w:left w:val="nil"/>
              <w:bottom w:val="nil"/>
              <w:right w:val="nil"/>
            </w:tcBorders>
            <w:shd w:val="clear" w:color="000000" w:fill="FFFFFF"/>
            <w:noWrap/>
            <w:vAlign w:val="center"/>
            <w:hideMark/>
          </w:tcPr>
          <w:p w14:paraId="12CD7840"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Criminal Justice</w:t>
            </w:r>
          </w:p>
        </w:tc>
        <w:tc>
          <w:tcPr>
            <w:tcW w:w="1531" w:type="dxa"/>
            <w:tcBorders>
              <w:top w:val="nil"/>
              <w:left w:val="single" w:sz="4" w:space="0" w:color="auto"/>
              <w:bottom w:val="nil"/>
              <w:right w:val="nil"/>
            </w:tcBorders>
            <w:shd w:val="clear" w:color="000000" w:fill="FFFFFF"/>
            <w:vAlign w:val="center"/>
            <w:hideMark/>
          </w:tcPr>
          <w:p w14:paraId="6F8AF4DB"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7,473,638</w:t>
            </w:r>
          </w:p>
        </w:tc>
        <w:tc>
          <w:tcPr>
            <w:tcW w:w="1631" w:type="dxa"/>
            <w:tcBorders>
              <w:top w:val="nil"/>
              <w:left w:val="single" w:sz="4" w:space="0" w:color="auto"/>
              <w:bottom w:val="nil"/>
              <w:right w:val="single" w:sz="4" w:space="0" w:color="auto"/>
            </w:tcBorders>
            <w:shd w:val="clear" w:color="000000" w:fill="FFFFFF"/>
            <w:vAlign w:val="center"/>
            <w:hideMark/>
          </w:tcPr>
          <w:p w14:paraId="40E06BF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C00000"/>
                <w:sz w:val="20"/>
                <w:szCs w:val="20"/>
                <w:lang w:eastAsia="en-GB"/>
              </w:rPr>
              <w:t>(7,042,868)</w:t>
            </w:r>
          </w:p>
        </w:tc>
        <w:tc>
          <w:tcPr>
            <w:tcW w:w="1631" w:type="dxa"/>
            <w:tcBorders>
              <w:top w:val="nil"/>
              <w:left w:val="nil"/>
              <w:bottom w:val="nil"/>
              <w:right w:val="single" w:sz="4" w:space="0" w:color="auto"/>
            </w:tcBorders>
            <w:shd w:val="clear" w:color="000000" w:fill="FFFFFF"/>
            <w:vAlign w:val="center"/>
            <w:hideMark/>
          </w:tcPr>
          <w:p w14:paraId="7C99FC7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430,770</w:t>
            </w:r>
          </w:p>
        </w:tc>
      </w:tr>
      <w:tr w:rsidR="0046685A" w:rsidRPr="00C9207C" w14:paraId="5F2F6E90"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7A3BD5F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1,793,981</w:t>
            </w:r>
          </w:p>
        </w:tc>
        <w:tc>
          <w:tcPr>
            <w:tcW w:w="1631" w:type="dxa"/>
            <w:tcBorders>
              <w:top w:val="nil"/>
              <w:left w:val="single" w:sz="4" w:space="0" w:color="auto"/>
              <w:bottom w:val="nil"/>
              <w:right w:val="single" w:sz="4" w:space="0" w:color="auto"/>
            </w:tcBorders>
            <w:shd w:val="clear" w:color="000000" w:fill="FFFFFF"/>
            <w:vAlign w:val="center"/>
            <w:hideMark/>
          </w:tcPr>
          <w:p w14:paraId="648D724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166C5B9"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1,793,981</w:t>
            </w:r>
          </w:p>
        </w:tc>
        <w:tc>
          <w:tcPr>
            <w:tcW w:w="4687" w:type="dxa"/>
            <w:tcBorders>
              <w:top w:val="nil"/>
              <w:left w:val="nil"/>
              <w:bottom w:val="nil"/>
              <w:right w:val="nil"/>
            </w:tcBorders>
            <w:shd w:val="clear" w:color="000000" w:fill="FFFFFF"/>
            <w:noWrap/>
            <w:vAlign w:val="center"/>
            <w:hideMark/>
          </w:tcPr>
          <w:p w14:paraId="7EBC0433"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Housing</w:t>
            </w:r>
          </w:p>
        </w:tc>
        <w:tc>
          <w:tcPr>
            <w:tcW w:w="1531" w:type="dxa"/>
            <w:tcBorders>
              <w:top w:val="nil"/>
              <w:left w:val="single" w:sz="4" w:space="0" w:color="auto"/>
              <w:bottom w:val="nil"/>
              <w:right w:val="nil"/>
            </w:tcBorders>
            <w:shd w:val="clear" w:color="000000" w:fill="FFFFFF"/>
            <w:noWrap/>
            <w:vAlign w:val="center"/>
            <w:hideMark/>
          </w:tcPr>
          <w:p w14:paraId="0DFA090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1,770,542</w:t>
            </w:r>
          </w:p>
        </w:tc>
        <w:tc>
          <w:tcPr>
            <w:tcW w:w="1631" w:type="dxa"/>
            <w:tcBorders>
              <w:top w:val="nil"/>
              <w:left w:val="single" w:sz="4" w:space="0" w:color="auto"/>
              <w:bottom w:val="nil"/>
              <w:right w:val="single" w:sz="4" w:space="0" w:color="auto"/>
            </w:tcBorders>
            <w:shd w:val="clear" w:color="000000" w:fill="FFFFFF"/>
            <w:vAlign w:val="center"/>
            <w:hideMark/>
          </w:tcPr>
          <w:p w14:paraId="4C37EAD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1839098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1,770,542</w:t>
            </w:r>
          </w:p>
        </w:tc>
      </w:tr>
      <w:tr w:rsidR="0046685A" w:rsidRPr="00C9207C" w14:paraId="23AF0C0A"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39B16115"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47,428,983</w:t>
            </w:r>
          </w:p>
        </w:tc>
        <w:tc>
          <w:tcPr>
            <w:tcW w:w="1631" w:type="dxa"/>
            <w:tcBorders>
              <w:top w:val="nil"/>
              <w:left w:val="single" w:sz="4" w:space="0" w:color="auto"/>
              <w:bottom w:val="nil"/>
              <w:right w:val="single" w:sz="4" w:space="0" w:color="auto"/>
            </w:tcBorders>
            <w:shd w:val="clear" w:color="000000" w:fill="FFFFFF"/>
            <w:vAlign w:val="center"/>
            <w:hideMark/>
          </w:tcPr>
          <w:p w14:paraId="64E62324"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BDF04F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47,428,983</w:t>
            </w:r>
          </w:p>
        </w:tc>
        <w:tc>
          <w:tcPr>
            <w:tcW w:w="4687" w:type="dxa"/>
            <w:tcBorders>
              <w:top w:val="nil"/>
              <w:left w:val="nil"/>
              <w:bottom w:val="nil"/>
              <w:right w:val="nil"/>
            </w:tcBorders>
            <w:shd w:val="clear" w:color="000000" w:fill="FFFFFF"/>
            <w:noWrap/>
            <w:vAlign w:val="center"/>
            <w:hideMark/>
          </w:tcPr>
          <w:p w14:paraId="65CED00C"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Primary Care Prescribing</w:t>
            </w:r>
          </w:p>
        </w:tc>
        <w:tc>
          <w:tcPr>
            <w:tcW w:w="1531" w:type="dxa"/>
            <w:tcBorders>
              <w:top w:val="nil"/>
              <w:left w:val="single" w:sz="4" w:space="0" w:color="auto"/>
              <w:bottom w:val="nil"/>
              <w:right w:val="nil"/>
            </w:tcBorders>
            <w:shd w:val="clear" w:color="000000" w:fill="FFFFFF"/>
            <w:noWrap/>
            <w:vAlign w:val="center"/>
            <w:hideMark/>
          </w:tcPr>
          <w:p w14:paraId="4A10457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47,998,430</w:t>
            </w:r>
          </w:p>
        </w:tc>
        <w:tc>
          <w:tcPr>
            <w:tcW w:w="1631" w:type="dxa"/>
            <w:tcBorders>
              <w:top w:val="nil"/>
              <w:left w:val="single" w:sz="4" w:space="0" w:color="auto"/>
              <w:bottom w:val="nil"/>
              <w:right w:val="single" w:sz="4" w:space="0" w:color="auto"/>
            </w:tcBorders>
            <w:shd w:val="clear" w:color="000000" w:fill="FFFFFF"/>
            <w:vAlign w:val="center"/>
            <w:hideMark/>
          </w:tcPr>
          <w:p w14:paraId="6D4679D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43BC239D"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47,998,430</w:t>
            </w:r>
          </w:p>
        </w:tc>
      </w:tr>
      <w:tr w:rsidR="0046685A" w:rsidRPr="00C9207C" w14:paraId="02244473"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0D6D927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49,781,141</w:t>
            </w:r>
          </w:p>
        </w:tc>
        <w:tc>
          <w:tcPr>
            <w:tcW w:w="1631" w:type="dxa"/>
            <w:tcBorders>
              <w:top w:val="nil"/>
              <w:left w:val="single" w:sz="4" w:space="0" w:color="auto"/>
              <w:bottom w:val="nil"/>
              <w:right w:val="single" w:sz="4" w:space="0" w:color="auto"/>
            </w:tcBorders>
            <w:shd w:val="clear" w:color="000000" w:fill="FFFFFF"/>
            <w:vAlign w:val="center"/>
            <w:hideMark/>
          </w:tcPr>
          <w:p w14:paraId="3F99510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77C632E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49,781,141</w:t>
            </w:r>
          </w:p>
        </w:tc>
        <w:tc>
          <w:tcPr>
            <w:tcW w:w="4687" w:type="dxa"/>
            <w:tcBorders>
              <w:top w:val="nil"/>
              <w:left w:val="nil"/>
              <w:bottom w:val="nil"/>
              <w:right w:val="nil"/>
            </w:tcBorders>
            <w:shd w:val="clear" w:color="000000" w:fill="FFFFFF"/>
            <w:noWrap/>
            <w:vAlign w:val="center"/>
            <w:hideMark/>
          </w:tcPr>
          <w:p w14:paraId="099D0046"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Primary Care</w:t>
            </w:r>
          </w:p>
        </w:tc>
        <w:tc>
          <w:tcPr>
            <w:tcW w:w="1531" w:type="dxa"/>
            <w:tcBorders>
              <w:top w:val="nil"/>
              <w:left w:val="single" w:sz="4" w:space="0" w:color="auto"/>
              <w:bottom w:val="nil"/>
              <w:right w:val="nil"/>
            </w:tcBorders>
            <w:shd w:val="clear" w:color="000000" w:fill="FFFFFF"/>
            <w:noWrap/>
            <w:vAlign w:val="center"/>
            <w:hideMark/>
          </w:tcPr>
          <w:p w14:paraId="6720443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53,189,581</w:t>
            </w:r>
          </w:p>
        </w:tc>
        <w:tc>
          <w:tcPr>
            <w:tcW w:w="1631" w:type="dxa"/>
            <w:tcBorders>
              <w:top w:val="nil"/>
              <w:left w:val="single" w:sz="4" w:space="0" w:color="auto"/>
              <w:bottom w:val="nil"/>
              <w:right w:val="single" w:sz="4" w:space="0" w:color="auto"/>
            </w:tcBorders>
            <w:shd w:val="clear" w:color="000000" w:fill="FFFFFF"/>
            <w:vAlign w:val="center"/>
            <w:hideMark/>
          </w:tcPr>
          <w:p w14:paraId="5BE6A49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3A44F2D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53,189,581</w:t>
            </w:r>
          </w:p>
        </w:tc>
      </w:tr>
      <w:tr w:rsidR="0046685A" w:rsidRPr="00C9207C" w14:paraId="22F34D04"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4462A14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3,038,684</w:t>
            </w:r>
          </w:p>
        </w:tc>
        <w:tc>
          <w:tcPr>
            <w:tcW w:w="1631" w:type="dxa"/>
            <w:tcBorders>
              <w:top w:val="nil"/>
              <w:left w:val="single" w:sz="4" w:space="0" w:color="auto"/>
              <w:bottom w:val="nil"/>
              <w:right w:val="single" w:sz="4" w:space="0" w:color="auto"/>
            </w:tcBorders>
            <w:shd w:val="clear" w:color="000000" w:fill="FFFFFF"/>
            <w:vAlign w:val="center"/>
            <w:hideMark/>
          </w:tcPr>
          <w:p w14:paraId="16D309A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39260DC1"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3,038,684</w:t>
            </w:r>
          </w:p>
        </w:tc>
        <w:tc>
          <w:tcPr>
            <w:tcW w:w="4687" w:type="dxa"/>
            <w:tcBorders>
              <w:top w:val="nil"/>
              <w:left w:val="nil"/>
              <w:bottom w:val="nil"/>
              <w:right w:val="nil"/>
            </w:tcBorders>
            <w:shd w:val="clear" w:color="000000" w:fill="FFFFFF"/>
            <w:noWrap/>
            <w:vAlign w:val="center"/>
            <w:hideMark/>
          </w:tcPr>
          <w:p w14:paraId="03EA86E6"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Out of Area Treatments</w:t>
            </w:r>
          </w:p>
        </w:tc>
        <w:tc>
          <w:tcPr>
            <w:tcW w:w="1531" w:type="dxa"/>
            <w:tcBorders>
              <w:top w:val="nil"/>
              <w:left w:val="single" w:sz="4" w:space="0" w:color="auto"/>
              <w:bottom w:val="nil"/>
              <w:right w:val="nil"/>
            </w:tcBorders>
            <w:shd w:val="clear" w:color="000000" w:fill="FFFFFF"/>
            <w:noWrap/>
            <w:vAlign w:val="center"/>
            <w:hideMark/>
          </w:tcPr>
          <w:p w14:paraId="5745DA9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3,737,738</w:t>
            </w:r>
          </w:p>
        </w:tc>
        <w:tc>
          <w:tcPr>
            <w:tcW w:w="1631" w:type="dxa"/>
            <w:tcBorders>
              <w:top w:val="nil"/>
              <w:left w:val="single" w:sz="4" w:space="0" w:color="auto"/>
              <w:bottom w:val="nil"/>
              <w:right w:val="single" w:sz="4" w:space="0" w:color="auto"/>
            </w:tcBorders>
            <w:shd w:val="clear" w:color="000000" w:fill="FFFFFF"/>
            <w:vAlign w:val="center"/>
            <w:hideMark/>
          </w:tcPr>
          <w:p w14:paraId="2DE036DD"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0DA58BDD"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3,737,738</w:t>
            </w:r>
          </w:p>
        </w:tc>
      </w:tr>
      <w:tr w:rsidR="0046685A" w:rsidRPr="00C9207C" w14:paraId="72E24F71"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6ADE60F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59,238,000</w:t>
            </w:r>
          </w:p>
        </w:tc>
        <w:tc>
          <w:tcPr>
            <w:tcW w:w="1631" w:type="dxa"/>
            <w:tcBorders>
              <w:top w:val="nil"/>
              <w:left w:val="single" w:sz="4" w:space="0" w:color="auto"/>
              <w:bottom w:val="nil"/>
              <w:right w:val="single" w:sz="4" w:space="0" w:color="auto"/>
            </w:tcBorders>
            <w:shd w:val="clear" w:color="000000" w:fill="FFFFFF"/>
            <w:vAlign w:val="center"/>
            <w:hideMark/>
          </w:tcPr>
          <w:p w14:paraId="703B3E7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BD77D59"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59,238,000</w:t>
            </w:r>
          </w:p>
        </w:tc>
        <w:tc>
          <w:tcPr>
            <w:tcW w:w="4687" w:type="dxa"/>
            <w:tcBorders>
              <w:top w:val="nil"/>
              <w:left w:val="nil"/>
              <w:bottom w:val="nil"/>
              <w:right w:val="nil"/>
            </w:tcBorders>
            <w:shd w:val="clear" w:color="000000" w:fill="FFFFFF"/>
            <w:noWrap/>
            <w:vAlign w:val="center"/>
            <w:hideMark/>
          </w:tcPr>
          <w:p w14:paraId="04F08266"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Set Aside Services</w:t>
            </w:r>
          </w:p>
        </w:tc>
        <w:tc>
          <w:tcPr>
            <w:tcW w:w="1531" w:type="dxa"/>
            <w:tcBorders>
              <w:top w:val="nil"/>
              <w:left w:val="single" w:sz="4" w:space="0" w:color="auto"/>
              <w:bottom w:val="nil"/>
              <w:right w:val="nil"/>
            </w:tcBorders>
            <w:shd w:val="clear" w:color="000000" w:fill="FFFFFF"/>
            <w:noWrap/>
            <w:vAlign w:val="center"/>
            <w:hideMark/>
          </w:tcPr>
          <w:p w14:paraId="19C725F9"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62,588,000</w:t>
            </w:r>
          </w:p>
        </w:tc>
        <w:tc>
          <w:tcPr>
            <w:tcW w:w="1631" w:type="dxa"/>
            <w:tcBorders>
              <w:top w:val="nil"/>
              <w:left w:val="single" w:sz="4" w:space="0" w:color="auto"/>
              <w:bottom w:val="nil"/>
              <w:right w:val="single" w:sz="4" w:space="0" w:color="auto"/>
            </w:tcBorders>
            <w:shd w:val="clear" w:color="000000" w:fill="FFFFFF"/>
            <w:vAlign w:val="center"/>
            <w:hideMark/>
          </w:tcPr>
          <w:p w14:paraId="08088DA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4B2F5BD1"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62,588,000</w:t>
            </w:r>
          </w:p>
        </w:tc>
      </w:tr>
      <w:tr w:rsidR="0046685A" w:rsidRPr="00C9207C" w14:paraId="63C996DC" w14:textId="77777777" w:rsidTr="009D1189">
        <w:trPr>
          <w:trHeight w:val="20"/>
        </w:trPr>
        <w:tc>
          <w:tcPr>
            <w:tcW w:w="1531" w:type="dxa"/>
            <w:tcBorders>
              <w:top w:val="nil"/>
              <w:left w:val="single" w:sz="4" w:space="0" w:color="auto"/>
              <w:bottom w:val="nil"/>
              <w:right w:val="nil"/>
            </w:tcBorders>
            <w:shd w:val="clear" w:color="000000" w:fill="FFFFFF"/>
            <w:noWrap/>
            <w:vAlign w:val="center"/>
            <w:hideMark/>
          </w:tcPr>
          <w:p w14:paraId="6F0E9F2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2,523,810</w:t>
            </w:r>
          </w:p>
        </w:tc>
        <w:tc>
          <w:tcPr>
            <w:tcW w:w="1631" w:type="dxa"/>
            <w:tcBorders>
              <w:top w:val="nil"/>
              <w:left w:val="single" w:sz="4" w:space="0" w:color="auto"/>
              <w:bottom w:val="nil"/>
              <w:right w:val="single" w:sz="4" w:space="0" w:color="auto"/>
            </w:tcBorders>
            <w:shd w:val="clear" w:color="000000" w:fill="FFFFFF"/>
            <w:vAlign w:val="center"/>
            <w:hideMark/>
          </w:tcPr>
          <w:p w14:paraId="1EFD8EBD"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0059B93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2,523,810</w:t>
            </w:r>
          </w:p>
        </w:tc>
        <w:tc>
          <w:tcPr>
            <w:tcW w:w="4687" w:type="dxa"/>
            <w:tcBorders>
              <w:top w:val="nil"/>
              <w:left w:val="nil"/>
              <w:bottom w:val="nil"/>
              <w:right w:val="nil"/>
            </w:tcBorders>
            <w:shd w:val="clear" w:color="000000" w:fill="FFFFFF"/>
            <w:noWrap/>
            <w:vAlign w:val="center"/>
            <w:hideMark/>
          </w:tcPr>
          <w:p w14:paraId="0D230A36"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City Vaccinations</w:t>
            </w:r>
          </w:p>
        </w:tc>
        <w:tc>
          <w:tcPr>
            <w:tcW w:w="1531" w:type="dxa"/>
            <w:tcBorders>
              <w:top w:val="nil"/>
              <w:left w:val="single" w:sz="4" w:space="0" w:color="auto"/>
              <w:bottom w:val="nil"/>
              <w:right w:val="nil"/>
            </w:tcBorders>
            <w:shd w:val="clear" w:color="000000" w:fill="FFFFFF"/>
            <w:noWrap/>
            <w:vAlign w:val="center"/>
            <w:hideMark/>
          </w:tcPr>
          <w:p w14:paraId="144B78F0"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2,423,486</w:t>
            </w:r>
          </w:p>
        </w:tc>
        <w:tc>
          <w:tcPr>
            <w:tcW w:w="1631" w:type="dxa"/>
            <w:tcBorders>
              <w:top w:val="nil"/>
              <w:left w:val="single" w:sz="4" w:space="0" w:color="auto"/>
              <w:bottom w:val="nil"/>
              <w:right w:val="single" w:sz="4" w:space="0" w:color="auto"/>
            </w:tcBorders>
            <w:shd w:val="clear" w:color="000000" w:fill="FFFFFF"/>
            <w:vAlign w:val="center"/>
            <w:hideMark/>
          </w:tcPr>
          <w:p w14:paraId="2E6B3D5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31CD2A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2,423,486</w:t>
            </w:r>
          </w:p>
        </w:tc>
      </w:tr>
      <w:tr w:rsidR="0046685A" w:rsidRPr="00C9207C" w14:paraId="194AF01E"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47AD5DC6"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15,768,659</w:t>
            </w:r>
          </w:p>
        </w:tc>
        <w:tc>
          <w:tcPr>
            <w:tcW w:w="1631" w:type="dxa"/>
            <w:tcBorders>
              <w:top w:val="nil"/>
              <w:left w:val="single" w:sz="4" w:space="0" w:color="auto"/>
              <w:bottom w:val="nil"/>
              <w:right w:val="single" w:sz="4" w:space="0" w:color="auto"/>
            </w:tcBorders>
            <w:shd w:val="clear" w:color="000000" w:fill="FFFFFF"/>
            <w:vAlign w:val="center"/>
            <w:hideMark/>
          </w:tcPr>
          <w:p w14:paraId="60F34553"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6FB77D8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15,768,659</w:t>
            </w:r>
          </w:p>
        </w:tc>
        <w:tc>
          <w:tcPr>
            <w:tcW w:w="4687" w:type="dxa"/>
            <w:tcBorders>
              <w:top w:val="nil"/>
              <w:left w:val="nil"/>
              <w:bottom w:val="nil"/>
              <w:right w:val="nil"/>
            </w:tcBorders>
            <w:shd w:val="clear" w:color="000000" w:fill="FFFFFF"/>
            <w:noWrap/>
            <w:vAlign w:val="center"/>
            <w:hideMark/>
          </w:tcPr>
          <w:p w14:paraId="6D57B853"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Transformation</w:t>
            </w:r>
          </w:p>
        </w:tc>
        <w:tc>
          <w:tcPr>
            <w:tcW w:w="1531" w:type="dxa"/>
            <w:tcBorders>
              <w:top w:val="nil"/>
              <w:left w:val="single" w:sz="4" w:space="0" w:color="auto"/>
              <w:bottom w:val="nil"/>
              <w:right w:val="nil"/>
            </w:tcBorders>
            <w:shd w:val="clear" w:color="000000" w:fill="FFFFFF"/>
            <w:vAlign w:val="center"/>
            <w:hideMark/>
          </w:tcPr>
          <w:p w14:paraId="594733F9"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15,337,101</w:t>
            </w:r>
          </w:p>
        </w:tc>
        <w:tc>
          <w:tcPr>
            <w:tcW w:w="1631" w:type="dxa"/>
            <w:tcBorders>
              <w:top w:val="nil"/>
              <w:left w:val="single" w:sz="4" w:space="0" w:color="auto"/>
              <w:bottom w:val="nil"/>
              <w:right w:val="single" w:sz="4" w:space="0" w:color="auto"/>
            </w:tcBorders>
            <w:shd w:val="clear" w:color="000000" w:fill="FFFFFF"/>
            <w:vAlign w:val="center"/>
            <w:hideMark/>
          </w:tcPr>
          <w:p w14:paraId="1BA1BFF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nil"/>
              <w:bottom w:val="nil"/>
              <w:right w:val="single" w:sz="4" w:space="0" w:color="auto"/>
            </w:tcBorders>
            <w:shd w:val="clear" w:color="000000" w:fill="FFFFFF"/>
            <w:vAlign w:val="center"/>
            <w:hideMark/>
          </w:tcPr>
          <w:p w14:paraId="274EE8E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15,337,101</w:t>
            </w:r>
          </w:p>
        </w:tc>
      </w:tr>
      <w:tr w:rsidR="0046685A" w:rsidRPr="00C9207C" w14:paraId="18AF2F87" w14:textId="77777777" w:rsidTr="009D1189">
        <w:trPr>
          <w:trHeight w:val="20"/>
        </w:trPr>
        <w:tc>
          <w:tcPr>
            <w:tcW w:w="1531" w:type="dxa"/>
            <w:tcBorders>
              <w:top w:val="single" w:sz="4" w:space="0" w:color="auto"/>
              <w:left w:val="single" w:sz="4" w:space="0" w:color="auto"/>
              <w:bottom w:val="nil"/>
              <w:right w:val="nil"/>
            </w:tcBorders>
            <w:shd w:val="clear" w:color="000000" w:fill="FFFFFF"/>
            <w:vAlign w:val="center"/>
            <w:hideMark/>
          </w:tcPr>
          <w:p w14:paraId="6AEA79D3" w14:textId="005F6C72"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463,435,2</w:t>
            </w:r>
            <w:r w:rsidR="00B74FFE">
              <w:rPr>
                <w:rFonts w:ascii="Arial" w:eastAsia="Times New Roman" w:hAnsi="Arial" w:cs="Arial"/>
                <w:b/>
                <w:bCs/>
                <w:color w:val="000000"/>
                <w:sz w:val="20"/>
                <w:szCs w:val="20"/>
                <w:lang w:eastAsia="en-GB"/>
              </w:rPr>
              <w:t>38</w:t>
            </w:r>
          </w:p>
        </w:tc>
        <w:tc>
          <w:tcPr>
            <w:tcW w:w="1631" w:type="dxa"/>
            <w:tcBorders>
              <w:top w:val="single" w:sz="4" w:space="0" w:color="auto"/>
              <w:left w:val="single" w:sz="4" w:space="0" w:color="auto"/>
              <w:bottom w:val="nil"/>
              <w:right w:val="single" w:sz="4" w:space="0" w:color="auto"/>
            </w:tcBorders>
            <w:shd w:val="clear" w:color="000000" w:fill="FFFFFF"/>
            <w:vAlign w:val="center"/>
            <w:hideMark/>
          </w:tcPr>
          <w:p w14:paraId="40508611"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(6,384,627)</w:t>
            </w:r>
          </w:p>
        </w:tc>
        <w:tc>
          <w:tcPr>
            <w:tcW w:w="1631" w:type="dxa"/>
            <w:tcBorders>
              <w:top w:val="single" w:sz="4" w:space="0" w:color="auto"/>
              <w:left w:val="nil"/>
              <w:bottom w:val="nil"/>
              <w:right w:val="single" w:sz="4" w:space="0" w:color="auto"/>
            </w:tcBorders>
            <w:shd w:val="clear" w:color="000000" w:fill="FFFFFF"/>
            <w:vAlign w:val="center"/>
            <w:hideMark/>
          </w:tcPr>
          <w:p w14:paraId="6C342219" w14:textId="0242B1E6"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457,050,61</w:t>
            </w:r>
            <w:r w:rsidR="009946B2">
              <w:rPr>
                <w:rFonts w:ascii="Arial" w:eastAsia="Times New Roman" w:hAnsi="Arial" w:cs="Arial"/>
                <w:b/>
                <w:bCs/>
                <w:color w:val="000000"/>
                <w:sz w:val="20"/>
                <w:szCs w:val="20"/>
                <w:lang w:eastAsia="en-GB"/>
              </w:rPr>
              <w:t>1</w:t>
            </w:r>
          </w:p>
        </w:tc>
        <w:tc>
          <w:tcPr>
            <w:tcW w:w="4687" w:type="dxa"/>
            <w:tcBorders>
              <w:top w:val="single" w:sz="4" w:space="0" w:color="auto"/>
              <w:left w:val="nil"/>
              <w:bottom w:val="nil"/>
              <w:right w:val="nil"/>
            </w:tcBorders>
            <w:shd w:val="clear" w:color="000000" w:fill="FFFFFF"/>
            <w:vAlign w:val="center"/>
            <w:hideMark/>
          </w:tcPr>
          <w:p w14:paraId="270D16D0" w14:textId="77777777" w:rsidR="0046685A" w:rsidRPr="00C9207C" w:rsidRDefault="0046685A" w:rsidP="0046685A">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Cost of Services</w:t>
            </w:r>
          </w:p>
        </w:tc>
        <w:tc>
          <w:tcPr>
            <w:tcW w:w="1531" w:type="dxa"/>
            <w:tcBorders>
              <w:top w:val="single" w:sz="4" w:space="0" w:color="auto"/>
              <w:left w:val="single" w:sz="4" w:space="0" w:color="auto"/>
              <w:bottom w:val="nil"/>
              <w:right w:val="nil"/>
            </w:tcBorders>
            <w:shd w:val="clear" w:color="000000" w:fill="FFFFFF"/>
            <w:vAlign w:val="center"/>
            <w:hideMark/>
          </w:tcPr>
          <w:p w14:paraId="3C30FB9C"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471,155,889</w:t>
            </w:r>
          </w:p>
        </w:tc>
        <w:tc>
          <w:tcPr>
            <w:tcW w:w="1631" w:type="dxa"/>
            <w:tcBorders>
              <w:top w:val="single" w:sz="4" w:space="0" w:color="auto"/>
              <w:left w:val="single" w:sz="4" w:space="0" w:color="auto"/>
              <w:bottom w:val="nil"/>
              <w:right w:val="single" w:sz="4" w:space="0" w:color="auto"/>
            </w:tcBorders>
            <w:shd w:val="clear" w:color="000000" w:fill="FFFFFF"/>
            <w:vAlign w:val="center"/>
            <w:hideMark/>
          </w:tcPr>
          <w:p w14:paraId="3E31658A"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(7,042,868)</w:t>
            </w:r>
          </w:p>
        </w:tc>
        <w:tc>
          <w:tcPr>
            <w:tcW w:w="1631" w:type="dxa"/>
            <w:tcBorders>
              <w:top w:val="single" w:sz="4" w:space="0" w:color="auto"/>
              <w:left w:val="nil"/>
              <w:bottom w:val="nil"/>
              <w:right w:val="single" w:sz="4" w:space="0" w:color="auto"/>
            </w:tcBorders>
            <w:shd w:val="clear" w:color="000000" w:fill="FFFFFF"/>
            <w:vAlign w:val="center"/>
            <w:hideMark/>
          </w:tcPr>
          <w:p w14:paraId="08113F1F"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464,113,022</w:t>
            </w:r>
          </w:p>
        </w:tc>
      </w:tr>
      <w:tr w:rsidR="0046685A" w:rsidRPr="00C9207C" w14:paraId="73357D3D"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13BF086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22B29118"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3774FD3E"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4687" w:type="dxa"/>
            <w:tcBorders>
              <w:top w:val="nil"/>
              <w:left w:val="nil"/>
              <w:bottom w:val="nil"/>
              <w:right w:val="nil"/>
            </w:tcBorders>
            <w:shd w:val="clear" w:color="000000" w:fill="FFFFFF"/>
            <w:vAlign w:val="center"/>
            <w:hideMark/>
          </w:tcPr>
          <w:p w14:paraId="1E23FDDB"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531" w:type="dxa"/>
            <w:tcBorders>
              <w:top w:val="nil"/>
              <w:left w:val="single" w:sz="4" w:space="0" w:color="auto"/>
              <w:bottom w:val="nil"/>
              <w:right w:val="nil"/>
            </w:tcBorders>
            <w:shd w:val="clear" w:color="000000" w:fill="FFFFFF"/>
            <w:vAlign w:val="center"/>
            <w:hideMark/>
          </w:tcPr>
          <w:p w14:paraId="65CE753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3C741487"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4C444C7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46685A" w:rsidRPr="00C9207C" w14:paraId="71D696C8"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66128678"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single" w:sz="4" w:space="0" w:color="auto"/>
              <w:bottom w:val="nil"/>
              <w:right w:val="single" w:sz="4" w:space="0" w:color="auto"/>
            </w:tcBorders>
            <w:shd w:val="clear" w:color="000000" w:fill="FFFFFF"/>
            <w:vAlign w:val="center"/>
            <w:hideMark/>
          </w:tcPr>
          <w:p w14:paraId="6FBD866D"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(447,215,776)</w:t>
            </w:r>
          </w:p>
        </w:tc>
        <w:tc>
          <w:tcPr>
            <w:tcW w:w="1631" w:type="dxa"/>
            <w:tcBorders>
              <w:top w:val="nil"/>
              <w:left w:val="nil"/>
              <w:bottom w:val="nil"/>
              <w:right w:val="single" w:sz="4" w:space="0" w:color="auto"/>
            </w:tcBorders>
            <w:shd w:val="clear" w:color="000000" w:fill="FFFFFF"/>
            <w:vAlign w:val="center"/>
            <w:hideMark/>
          </w:tcPr>
          <w:p w14:paraId="54DB05D2"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C00000"/>
                <w:sz w:val="20"/>
                <w:szCs w:val="20"/>
                <w:lang w:eastAsia="en-GB"/>
              </w:rPr>
              <w:t>(447,215,776)</w:t>
            </w:r>
          </w:p>
        </w:tc>
        <w:tc>
          <w:tcPr>
            <w:tcW w:w="4687" w:type="dxa"/>
            <w:tcBorders>
              <w:top w:val="nil"/>
              <w:left w:val="nil"/>
              <w:bottom w:val="nil"/>
              <w:right w:val="nil"/>
            </w:tcBorders>
            <w:shd w:val="clear" w:color="000000" w:fill="FFFFFF"/>
            <w:vAlign w:val="center"/>
            <w:hideMark/>
          </w:tcPr>
          <w:p w14:paraId="717B3DCD"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Taxation and Non-Specific Grant Income (Note 1)</w:t>
            </w:r>
          </w:p>
        </w:tc>
        <w:tc>
          <w:tcPr>
            <w:tcW w:w="1531" w:type="dxa"/>
            <w:tcBorders>
              <w:top w:val="nil"/>
              <w:left w:val="single" w:sz="4" w:space="0" w:color="auto"/>
              <w:bottom w:val="nil"/>
              <w:right w:val="nil"/>
            </w:tcBorders>
            <w:shd w:val="clear" w:color="000000" w:fill="FFFFFF"/>
            <w:vAlign w:val="center"/>
            <w:hideMark/>
          </w:tcPr>
          <w:p w14:paraId="1FFECC9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1631" w:type="dxa"/>
            <w:tcBorders>
              <w:top w:val="nil"/>
              <w:left w:val="single" w:sz="4" w:space="0" w:color="auto"/>
              <w:bottom w:val="nil"/>
              <w:right w:val="single" w:sz="4" w:space="0" w:color="auto"/>
            </w:tcBorders>
            <w:shd w:val="clear" w:color="000000" w:fill="FFFFFF"/>
            <w:vAlign w:val="center"/>
            <w:hideMark/>
          </w:tcPr>
          <w:p w14:paraId="0CFCC003"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(475,344,440)</w:t>
            </w:r>
          </w:p>
        </w:tc>
        <w:tc>
          <w:tcPr>
            <w:tcW w:w="1631" w:type="dxa"/>
            <w:tcBorders>
              <w:top w:val="nil"/>
              <w:left w:val="nil"/>
              <w:bottom w:val="nil"/>
              <w:right w:val="single" w:sz="4" w:space="0" w:color="auto"/>
            </w:tcBorders>
            <w:shd w:val="clear" w:color="000000" w:fill="FFFFFF"/>
            <w:vAlign w:val="center"/>
            <w:hideMark/>
          </w:tcPr>
          <w:p w14:paraId="575EFB2B"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(475,344,440)</w:t>
            </w:r>
          </w:p>
        </w:tc>
      </w:tr>
      <w:tr w:rsidR="0046685A" w:rsidRPr="00C9207C" w14:paraId="56BEF87E" w14:textId="77777777" w:rsidTr="009D1189">
        <w:trPr>
          <w:trHeight w:val="20"/>
        </w:trPr>
        <w:tc>
          <w:tcPr>
            <w:tcW w:w="1531" w:type="dxa"/>
            <w:tcBorders>
              <w:top w:val="nil"/>
              <w:left w:val="single" w:sz="4" w:space="0" w:color="auto"/>
              <w:bottom w:val="single" w:sz="4" w:space="0" w:color="auto"/>
              <w:right w:val="nil"/>
            </w:tcBorders>
            <w:shd w:val="clear" w:color="000000" w:fill="FFFFFF"/>
            <w:vAlign w:val="center"/>
            <w:hideMark/>
          </w:tcPr>
          <w:p w14:paraId="506361A7"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single" w:sz="4" w:space="0" w:color="auto"/>
              <w:right w:val="single" w:sz="4" w:space="0" w:color="auto"/>
            </w:tcBorders>
            <w:shd w:val="clear" w:color="000000" w:fill="FFFFFF"/>
            <w:vAlign w:val="center"/>
            <w:hideMark/>
          </w:tcPr>
          <w:p w14:paraId="0FA62C32"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c>
          <w:tcPr>
            <w:tcW w:w="1631" w:type="dxa"/>
            <w:tcBorders>
              <w:top w:val="nil"/>
              <w:left w:val="nil"/>
              <w:bottom w:val="single" w:sz="4" w:space="0" w:color="auto"/>
              <w:right w:val="single" w:sz="4" w:space="0" w:color="auto"/>
            </w:tcBorders>
            <w:shd w:val="clear" w:color="000000" w:fill="FFFFFF"/>
            <w:vAlign w:val="center"/>
            <w:hideMark/>
          </w:tcPr>
          <w:p w14:paraId="74FA3C8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4687" w:type="dxa"/>
            <w:tcBorders>
              <w:top w:val="nil"/>
              <w:left w:val="nil"/>
              <w:bottom w:val="single" w:sz="4" w:space="0" w:color="auto"/>
              <w:right w:val="nil"/>
            </w:tcBorders>
            <w:shd w:val="clear" w:color="000000" w:fill="FFFFFF"/>
            <w:vAlign w:val="center"/>
            <w:hideMark/>
          </w:tcPr>
          <w:p w14:paraId="3EF1C484"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531" w:type="dxa"/>
            <w:tcBorders>
              <w:top w:val="nil"/>
              <w:left w:val="single" w:sz="4" w:space="0" w:color="auto"/>
              <w:bottom w:val="single" w:sz="4" w:space="0" w:color="auto"/>
              <w:right w:val="nil"/>
            </w:tcBorders>
            <w:shd w:val="clear" w:color="000000" w:fill="FFFFFF"/>
            <w:vAlign w:val="center"/>
            <w:hideMark/>
          </w:tcPr>
          <w:p w14:paraId="5C0CC6F4"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single" w:sz="4" w:space="0" w:color="auto"/>
              <w:right w:val="single" w:sz="4" w:space="0" w:color="auto"/>
            </w:tcBorders>
            <w:shd w:val="clear" w:color="000000" w:fill="FFFFFF"/>
            <w:vAlign w:val="center"/>
            <w:hideMark/>
          </w:tcPr>
          <w:p w14:paraId="71397806"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c>
          <w:tcPr>
            <w:tcW w:w="1631" w:type="dxa"/>
            <w:tcBorders>
              <w:top w:val="nil"/>
              <w:left w:val="nil"/>
              <w:bottom w:val="single" w:sz="4" w:space="0" w:color="auto"/>
              <w:right w:val="single" w:sz="4" w:space="0" w:color="auto"/>
            </w:tcBorders>
            <w:shd w:val="clear" w:color="000000" w:fill="FFFFFF"/>
            <w:vAlign w:val="center"/>
            <w:hideMark/>
          </w:tcPr>
          <w:p w14:paraId="44BE61E9"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r>
      <w:tr w:rsidR="0046685A" w:rsidRPr="00C9207C" w14:paraId="0A679E52"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774FD33C" w14:textId="4F4D8322"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463,435,2</w:t>
            </w:r>
            <w:r w:rsidR="009946B2">
              <w:rPr>
                <w:rFonts w:ascii="Arial" w:eastAsia="Times New Roman" w:hAnsi="Arial" w:cs="Arial"/>
                <w:b/>
                <w:bCs/>
                <w:color w:val="000000"/>
                <w:sz w:val="20"/>
                <w:szCs w:val="20"/>
                <w:lang w:eastAsia="en-GB"/>
              </w:rPr>
              <w:t>38</w:t>
            </w:r>
          </w:p>
        </w:tc>
        <w:tc>
          <w:tcPr>
            <w:tcW w:w="1631" w:type="dxa"/>
            <w:tcBorders>
              <w:top w:val="nil"/>
              <w:left w:val="single" w:sz="4" w:space="0" w:color="auto"/>
              <w:bottom w:val="nil"/>
              <w:right w:val="single" w:sz="4" w:space="0" w:color="auto"/>
            </w:tcBorders>
            <w:shd w:val="clear" w:color="000000" w:fill="FFFFFF"/>
            <w:vAlign w:val="center"/>
            <w:hideMark/>
          </w:tcPr>
          <w:p w14:paraId="4C67A05A"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(453,600,403)</w:t>
            </w:r>
          </w:p>
        </w:tc>
        <w:tc>
          <w:tcPr>
            <w:tcW w:w="1631" w:type="dxa"/>
            <w:tcBorders>
              <w:top w:val="nil"/>
              <w:left w:val="nil"/>
              <w:bottom w:val="nil"/>
              <w:right w:val="single" w:sz="4" w:space="0" w:color="auto"/>
            </w:tcBorders>
            <w:shd w:val="clear" w:color="000000" w:fill="FFFFFF"/>
            <w:vAlign w:val="center"/>
            <w:hideMark/>
          </w:tcPr>
          <w:p w14:paraId="3E7F8AC4" w14:textId="245CA356"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9,834,83</w:t>
            </w:r>
            <w:r w:rsidR="00F2219F">
              <w:rPr>
                <w:rFonts w:ascii="Arial" w:eastAsia="Times New Roman" w:hAnsi="Arial" w:cs="Arial"/>
                <w:b/>
                <w:bCs/>
                <w:color w:val="000000"/>
                <w:sz w:val="20"/>
                <w:szCs w:val="20"/>
                <w:lang w:eastAsia="en-GB"/>
              </w:rPr>
              <w:t>5</w:t>
            </w:r>
          </w:p>
        </w:tc>
        <w:tc>
          <w:tcPr>
            <w:tcW w:w="4687" w:type="dxa"/>
            <w:tcBorders>
              <w:top w:val="nil"/>
              <w:left w:val="nil"/>
              <w:bottom w:val="nil"/>
              <w:right w:val="nil"/>
            </w:tcBorders>
            <w:shd w:val="clear" w:color="000000" w:fill="FFFFFF"/>
            <w:vAlign w:val="center"/>
            <w:hideMark/>
          </w:tcPr>
          <w:p w14:paraId="3DFB5486" w14:textId="25B35C1E" w:rsidR="0046685A" w:rsidRPr="00C9207C" w:rsidRDefault="003C6DB6" w:rsidP="0046685A">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r w:rsidR="0046685A" w:rsidRPr="00C9207C">
              <w:rPr>
                <w:rFonts w:ascii="Arial" w:eastAsia="Times New Roman" w:hAnsi="Arial" w:cs="Arial"/>
                <w:b/>
                <w:bCs/>
                <w:color w:val="000000"/>
                <w:sz w:val="20"/>
                <w:szCs w:val="20"/>
                <w:lang w:eastAsia="en-GB"/>
              </w:rPr>
              <w:t>Surplus</w:t>
            </w:r>
            <w:r>
              <w:rPr>
                <w:rFonts w:ascii="Arial" w:eastAsia="Times New Roman" w:hAnsi="Arial" w:cs="Arial"/>
                <w:b/>
                <w:bCs/>
                <w:color w:val="000000"/>
                <w:sz w:val="20"/>
                <w:szCs w:val="20"/>
                <w:lang w:eastAsia="en-GB"/>
              </w:rPr>
              <w:t>)</w:t>
            </w:r>
            <w:r w:rsidR="0046685A" w:rsidRPr="00C9207C">
              <w:rPr>
                <w:rFonts w:ascii="Arial" w:eastAsia="Times New Roman" w:hAnsi="Arial" w:cs="Arial"/>
                <w:b/>
                <w:bCs/>
                <w:color w:val="000000"/>
                <w:sz w:val="20"/>
                <w:szCs w:val="20"/>
                <w:lang w:eastAsia="en-GB"/>
              </w:rPr>
              <w:t xml:space="preserve"> or Deficit on Provision of Services</w:t>
            </w:r>
          </w:p>
        </w:tc>
        <w:tc>
          <w:tcPr>
            <w:tcW w:w="1531" w:type="dxa"/>
            <w:tcBorders>
              <w:top w:val="nil"/>
              <w:left w:val="single" w:sz="4" w:space="0" w:color="auto"/>
              <w:bottom w:val="nil"/>
              <w:right w:val="nil"/>
            </w:tcBorders>
            <w:shd w:val="clear" w:color="000000" w:fill="FFFFFF"/>
            <w:vAlign w:val="center"/>
            <w:hideMark/>
          </w:tcPr>
          <w:p w14:paraId="6DE671EB"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471,155,889</w:t>
            </w:r>
          </w:p>
        </w:tc>
        <w:tc>
          <w:tcPr>
            <w:tcW w:w="1631" w:type="dxa"/>
            <w:tcBorders>
              <w:top w:val="nil"/>
              <w:left w:val="single" w:sz="4" w:space="0" w:color="auto"/>
              <w:bottom w:val="nil"/>
              <w:right w:val="single" w:sz="4" w:space="0" w:color="auto"/>
            </w:tcBorders>
            <w:shd w:val="clear" w:color="000000" w:fill="FFFFFF"/>
            <w:vAlign w:val="center"/>
            <w:hideMark/>
          </w:tcPr>
          <w:p w14:paraId="3CAD2B06"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(482,387,308)</w:t>
            </w:r>
          </w:p>
        </w:tc>
        <w:tc>
          <w:tcPr>
            <w:tcW w:w="1631" w:type="dxa"/>
            <w:tcBorders>
              <w:top w:val="nil"/>
              <w:left w:val="nil"/>
              <w:bottom w:val="nil"/>
              <w:right w:val="single" w:sz="4" w:space="0" w:color="auto"/>
            </w:tcBorders>
            <w:shd w:val="clear" w:color="000000" w:fill="FFFFFF"/>
            <w:vAlign w:val="center"/>
            <w:hideMark/>
          </w:tcPr>
          <w:p w14:paraId="5A585953"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r>
      <w:tr w:rsidR="0046685A" w:rsidRPr="00C9207C" w14:paraId="1465FDFD" w14:textId="77777777" w:rsidTr="009D1189">
        <w:trPr>
          <w:trHeight w:val="20"/>
        </w:trPr>
        <w:tc>
          <w:tcPr>
            <w:tcW w:w="1531" w:type="dxa"/>
            <w:tcBorders>
              <w:top w:val="nil"/>
              <w:left w:val="single" w:sz="4" w:space="0" w:color="auto"/>
              <w:bottom w:val="nil"/>
              <w:right w:val="nil"/>
            </w:tcBorders>
            <w:shd w:val="clear" w:color="000000" w:fill="FFFFFF"/>
            <w:vAlign w:val="center"/>
            <w:hideMark/>
          </w:tcPr>
          <w:p w14:paraId="4431691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369A2F4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5414F4BC"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4687" w:type="dxa"/>
            <w:tcBorders>
              <w:top w:val="nil"/>
              <w:left w:val="nil"/>
              <w:bottom w:val="nil"/>
              <w:right w:val="nil"/>
            </w:tcBorders>
            <w:shd w:val="clear" w:color="000000" w:fill="FFFFFF"/>
            <w:vAlign w:val="center"/>
            <w:hideMark/>
          </w:tcPr>
          <w:p w14:paraId="42FDBBBF" w14:textId="77777777" w:rsidR="0046685A" w:rsidRPr="00C9207C" w:rsidRDefault="0046685A" w:rsidP="0046685A">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531" w:type="dxa"/>
            <w:tcBorders>
              <w:top w:val="nil"/>
              <w:left w:val="single" w:sz="4" w:space="0" w:color="auto"/>
              <w:bottom w:val="nil"/>
              <w:right w:val="nil"/>
            </w:tcBorders>
            <w:shd w:val="clear" w:color="000000" w:fill="FFFFFF"/>
            <w:vAlign w:val="center"/>
            <w:hideMark/>
          </w:tcPr>
          <w:p w14:paraId="1B1853FF"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single" w:sz="4" w:space="0" w:color="auto"/>
              <w:bottom w:val="nil"/>
              <w:right w:val="single" w:sz="4" w:space="0" w:color="auto"/>
            </w:tcBorders>
            <w:shd w:val="clear" w:color="000000" w:fill="FFFFFF"/>
            <w:vAlign w:val="center"/>
            <w:hideMark/>
          </w:tcPr>
          <w:p w14:paraId="0F5B2DAA" w14:textId="77777777" w:rsidR="0046685A" w:rsidRPr="00C9207C" w:rsidRDefault="0046685A" w:rsidP="0046685A">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1631" w:type="dxa"/>
            <w:tcBorders>
              <w:top w:val="nil"/>
              <w:left w:val="nil"/>
              <w:bottom w:val="nil"/>
              <w:right w:val="single" w:sz="4" w:space="0" w:color="auto"/>
            </w:tcBorders>
            <w:shd w:val="clear" w:color="000000" w:fill="FFFFFF"/>
            <w:vAlign w:val="center"/>
            <w:hideMark/>
          </w:tcPr>
          <w:p w14:paraId="37F385EF" w14:textId="77777777" w:rsidR="0046685A" w:rsidRPr="00C9207C" w:rsidRDefault="0046685A" w:rsidP="0046685A">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 </w:t>
            </w:r>
          </w:p>
        </w:tc>
      </w:tr>
      <w:tr w:rsidR="0046685A" w:rsidRPr="00C9207C" w14:paraId="55DF4E12" w14:textId="77777777" w:rsidTr="009D1189">
        <w:trPr>
          <w:trHeight w:val="20"/>
        </w:trPr>
        <w:tc>
          <w:tcPr>
            <w:tcW w:w="1531" w:type="dxa"/>
            <w:tcBorders>
              <w:top w:val="single" w:sz="4" w:space="0" w:color="auto"/>
              <w:left w:val="single" w:sz="4" w:space="0" w:color="auto"/>
              <w:bottom w:val="single" w:sz="4" w:space="0" w:color="auto"/>
              <w:right w:val="nil"/>
            </w:tcBorders>
            <w:shd w:val="clear" w:color="000000" w:fill="FFFFFF"/>
            <w:vAlign w:val="center"/>
            <w:hideMark/>
          </w:tcPr>
          <w:p w14:paraId="27CD966C"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6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079F7"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14:paraId="3423AC35" w14:textId="5265687E"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9,834,83</w:t>
            </w:r>
            <w:r w:rsidR="00F2219F">
              <w:rPr>
                <w:rFonts w:ascii="Arial" w:eastAsia="Times New Roman" w:hAnsi="Arial" w:cs="Arial"/>
                <w:b/>
                <w:bCs/>
                <w:color w:val="000000"/>
                <w:sz w:val="20"/>
                <w:szCs w:val="20"/>
                <w:lang w:eastAsia="en-GB"/>
              </w:rPr>
              <w:t>5</w:t>
            </w:r>
          </w:p>
        </w:tc>
        <w:tc>
          <w:tcPr>
            <w:tcW w:w="4687" w:type="dxa"/>
            <w:tcBorders>
              <w:top w:val="single" w:sz="4" w:space="0" w:color="auto"/>
              <w:left w:val="nil"/>
              <w:bottom w:val="single" w:sz="4" w:space="0" w:color="auto"/>
              <w:right w:val="nil"/>
            </w:tcBorders>
            <w:shd w:val="clear" w:color="000000" w:fill="FFFFFF"/>
            <w:vAlign w:val="center"/>
            <w:hideMark/>
          </w:tcPr>
          <w:p w14:paraId="57923EED" w14:textId="77777777" w:rsidR="0046685A" w:rsidRPr="00C9207C" w:rsidRDefault="0046685A" w:rsidP="0046685A">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Total Comprehensive Income and Expenditure</w:t>
            </w:r>
          </w:p>
        </w:tc>
        <w:tc>
          <w:tcPr>
            <w:tcW w:w="1531" w:type="dxa"/>
            <w:tcBorders>
              <w:top w:val="single" w:sz="4" w:space="0" w:color="auto"/>
              <w:left w:val="single" w:sz="4" w:space="0" w:color="auto"/>
              <w:bottom w:val="single" w:sz="4" w:space="0" w:color="auto"/>
              <w:right w:val="nil"/>
            </w:tcBorders>
            <w:shd w:val="clear" w:color="000000" w:fill="FFFFFF"/>
            <w:vAlign w:val="center"/>
            <w:hideMark/>
          </w:tcPr>
          <w:p w14:paraId="2084E37D"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6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800A3" w14:textId="77777777" w:rsidR="0046685A" w:rsidRPr="00C9207C" w:rsidRDefault="0046685A" w:rsidP="0046685A">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14:paraId="24DD38F8" w14:textId="77777777" w:rsidR="0046685A" w:rsidRPr="00C9207C" w:rsidRDefault="0046685A" w:rsidP="0046685A">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r>
    </w:tbl>
    <w:p w14:paraId="2D0FB38A" w14:textId="638F2B26" w:rsidR="002A551C" w:rsidRPr="00C9207C" w:rsidRDefault="002A551C" w:rsidP="00A51927">
      <w:pPr>
        <w:spacing w:after="0" w:line="240" w:lineRule="auto"/>
        <w:rPr>
          <w:rFonts w:ascii="Arial" w:hAnsi="Arial" w:cs="Arial"/>
          <w:sz w:val="20"/>
          <w:szCs w:val="20"/>
          <w:highlight w:val="yellow"/>
          <w:lang w:val="en-AU" w:eastAsia="en-GB"/>
        </w:rPr>
        <w:sectPr w:rsidR="002A551C" w:rsidRPr="00C9207C" w:rsidSect="00B93B27">
          <w:pgSz w:w="16838" w:h="11906" w:orient="landscape"/>
          <w:pgMar w:top="1440" w:right="1440" w:bottom="1440" w:left="1440" w:header="708" w:footer="708" w:gutter="0"/>
          <w:cols w:space="708"/>
          <w:docGrid w:linePitch="360"/>
        </w:sectPr>
      </w:pPr>
    </w:p>
    <w:p w14:paraId="42706E78" w14:textId="77777777" w:rsidR="001A6A54" w:rsidRPr="00C9207C" w:rsidRDefault="001A6A54" w:rsidP="00A51927">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C9207C">
        <w:rPr>
          <w:rFonts w:ascii="Arial" w:hAnsi="Arial" w:cs="Arial"/>
          <w:sz w:val="20"/>
          <w:szCs w:val="20"/>
        </w:rPr>
        <w:lastRenderedPageBreak/>
        <w:t xml:space="preserve">There are no statutory or presentation adjustments which affect the IJB’s application of the funding received from partners. The movement in the General Fund balance is therefore solely due to the transactions shown in the Comprehensive Income and Expenditure Statement. Consequently, an Expenditure and Funding Analysis is not provided in these annual accounts. </w:t>
      </w:r>
    </w:p>
    <w:p w14:paraId="59C242CD" w14:textId="77777777" w:rsidR="00DF72DF" w:rsidRPr="00C9207C" w:rsidRDefault="00DF72DF" w:rsidP="00A51927">
      <w:pPr>
        <w:spacing w:after="0" w:line="240" w:lineRule="auto"/>
        <w:rPr>
          <w:rFonts w:ascii="Arial" w:hAnsi="Arial" w:cs="Arial"/>
          <w:i/>
          <w:color w:val="7030A0"/>
          <w:sz w:val="20"/>
          <w:szCs w:val="20"/>
          <w:highlight w:val="yellow"/>
        </w:rPr>
      </w:pPr>
    </w:p>
    <w:p w14:paraId="2E20B28A" w14:textId="1A311DC5" w:rsidR="00B54BF3" w:rsidRPr="00C9207C" w:rsidRDefault="006B07C8" w:rsidP="00A51927">
      <w:pPr>
        <w:pStyle w:val="Heading1"/>
        <w:jc w:val="left"/>
        <w:rPr>
          <w:rFonts w:ascii="Arial" w:hAnsi="Arial" w:cs="Arial"/>
          <w:lang w:val="en-AU"/>
        </w:rPr>
      </w:pPr>
      <w:bookmarkStart w:id="25" w:name="_Toc70062052"/>
      <w:bookmarkStart w:id="26" w:name="_Toc232169352"/>
      <w:r w:rsidRPr="00C9207C">
        <w:rPr>
          <w:rFonts w:ascii="Arial" w:hAnsi="Arial" w:cs="Arial"/>
        </w:rPr>
        <w:t>4.2</w:t>
      </w:r>
      <w:r w:rsidRPr="00C9207C">
        <w:rPr>
          <w:rFonts w:ascii="Arial" w:hAnsi="Arial" w:cs="Arial"/>
        </w:rPr>
        <w:tab/>
      </w:r>
      <w:r w:rsidR="48AD6BFE" w:rsidRPr="00C9207C">
        <w:rPr>
          <w:rFonts w:ascii="Arial" w:hAnsi="Arial" w:cs="Arial"/>
        </w:rPr>
        <w:t>Movement in Reserves Statement</w:t>
      </w:r>
      <w:bookmarkEnd w:id="25"/>
      <w:bookmarkEnd w:id="26"/>
    </w:p>
    <w:p w14:paraId="376E2323" w14:textId="77777777" w:rsidR="00B54BF3" w:rsidRPr="00C9207C" w:rsidRDefault="00B54BF3" w:rsidP="00A51927">
      <w:pPr>
        <w:spacing w:after="0" w:line="240" w:lineRule="auto"/>
        <w:rPr>
          <w:rFonts w:ascii="Arial" w:eastAsia="Times New Roman" w:hAnsi="Arial" w:cs="Arial"/>
          <w:sz w:val="20"/>
          <w:szCs w:val="20"/>
          <w:lang w:val="en-AU"/>
        </w:rPr>
      </w:pPr>
    </w:p>
    <w:p w14:paraId="2A148436" w14:textId="738A26E2" w:rsidR="001419E6" w:rsidRPr="00C9207C" w:rsidRDefault="001419E6" w:rsidP="00A51927">
      <w:pPr>
        <w:spacing w:after="0" w:line="240" w:lineRule="auto"/>
        <w:rPr>
          <w:rFonts w:ascii="Arial" w:eastAsia="Times New Roman" w:hAnsi="Arial" w:cs="Arial"/>
          <w:sz w:val="20"/>
          <w:szCs w:val="20"/>
          <w:lang w:val="en-AU"/>
        </w:rPr>
      </w:pPr>
      <w:r w:rsidRPr="00C9207C">
        <w:rPr>
          <w:rFonts w:ascii="Arial" w:eastAsia="Times New Roman" w:hAnsi="Arial" w:cs="Arial"/>
          <w:sz w:val="20"/>
          <w:szCs w:val="20"/>
          <w:lang w:val="en-AU"/>
        </w:rPr>
        <w:t>This statement shows the movement in the year on the IJB’s reserves. The movements which arise due to statutory adjustments which affect the General Fund balance</w:t>
      </w:r>
      <w:r w:rsidR="005A06F1" w:rsidRPr="00C9207C">
        <w:rPr>
          <w:rFonts w:ascii="Arial" w:eastAsia="Times New Roman" w:hAnsi="Arial" w:cs="Arial"/>
          <w:sz w:val="20"/>
          <w:szCs w:val="20"/>
          <w:lang w:val="en-AU"/>
        </w:rPr>
        <w:t xml:space="preserve"> are separately identified from the movements due to accounting practices</w:t>
      </w:r>
      <w:r w:rsidRPr="00C9207C">
        <w:rPr>
          <w:rFonts w:ascii="Arial" w:eastAsia="Times New Roman" w:hAnsi="Arial" w:cs="Arial"/>
          <w:sz w:val="20"/>
          <w:szCs w:val="20"/>
          <w:lang w:val="en-AU"/>
        </w:rPr>
        <w:t xml:space="preserve">. </w:t>
      </w:r>
    </w:p>
    <w:p w14:paraId="63911830" w14:textId="77777777" w:rsidR="00CC6DC1" w:rsidRPr="00C9207C" w:rsidRDefault="00CC6DC1" w:rsidP="00A51927">
      <w:pPr>
        <w:spacing w:after="0" w:line="240" w:lineRule="auto"/>
        <w:rPr>
          <w:rFonts w:ascii="Arial" w:eastAsia="Times New Roman" w:hAnsi="Arial" w:cs="Arial"/>
          <w:sz w:val="20"/>
          <w:szCs w:val="20"/>
          <w:lang w:val="en-AU"/>
        </w:rPr>
      </w:pPr>
    </w:p>
    <w:tbl>
      <w:tblPr>
        <w:tblW w:w="9598" w:type="dxa"/>
        <w:tblLook w:val="04A0" w:firstRow="1" w:lastRow="0" w:firstColumn="1" w:lastColumn="0" w:noHBand="0" w:noVBand="1"/>
      </w:tblPr>
      <w:tblGrid>
        <w:gridCol w:w="4500"/>
        <w:gridCol w:w="2549"/>
        <w:gridCol w:w="2549"/>
      </w:tblGrid>
      <w:tr w:rsidR="00B34CCD" w:rsidRPr="00C9207C" w14:paraId="6B9BB15B" w14:textId="77777777" w:rsidTr="004B59F1">
        <w:trPr>
          <w:trHeight w:val="500"/>
        </w:trPr>
        <w:tc>
          <w:tcPr>
            <w:tcW w:w="450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A6073ED"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bookmarkStart w:id="27" w:name="_Toc70062053"/>
            <w:r w:rsidRPr="00C9207C">
              <w:rPr>
                <w:rFonts w:ascii="Arial" w:eastAsia="Times New Roman" w:hAnsi="Arial" w:cs="Arial"/>
                <w:b/>
                <w:bCs/>
                <w:color w:val="000000"/>
                <w:sz w:val="20"/>
                <w:szCs w:val="20"/>
                <w:lang w:eastAsia="en-GB"/>
              </w:rPr>
              <w:t>Movements in Reserves During 2025/26</w:t>
            </w:r>
          </w:p>
        </w:tc>
        <w:tc>
          <w:tcPr>
            <w:tcW w:w="25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614C368B" w14:textId="3FDB0235"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General Fund</w:t>
            </w:r>
          </w:p>
        </w:tc>
        <w:tc>
          <w:tcPr>
            <w:tcW w:w="25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43D55E9E"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Total Reserves</w:t>
            </w:r>
          </w:p>
        </w:tc>
      </w:tr>
      <w:tr w:rsidR="00B34CCD" w:rsidRPr="00C9207C" w14:paraId="1D6ED289" w14:textId="77777777" w:rsidTr="004B59F1">
        <w:trPr>
          <w:trHeight w:val="290"/>
        </w:trPr>
        <w:tc>
          <w:tcPr>
            <w:tcW w:w="4500" w:type="dxa"/>
            <w:vMerge/>
            <w:tcBorders>
              <w:top w:val="single" w:sz="4" w:space="0" w:color="auto"/>
              <w:left w:val="single" w:sz="4" w:space="0" w:color="auto"/>
              <w:bottom w:val="nil"/>
              <w:right w:val="single" w:sz="4" w:space="0" w:color="auto"/>
            </w:tcBorders>
            <w:vAlign w:val="center"/>
            <w:hideMark/>
          </w:tcPr>
          <w:p w14:paraId="4EEFE7B8"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single" w:sz="4" w:space="0" w:color="auto"/>
              <w:left w:val="single" w:sz="4" w:space="0" w:color="auto"/>
              <w:bottom w:val="nil"/>
              <w:right w:val="single" w:sz="4" w:space="0" w:color="auto"/>
            </w:tcBorders>
            <w:vAlign w:val="center"/>
            <w:hideMark/>
          </w:tcPr>
          <w:p w14:paraId="64995AD4"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single" w:sz="4" w:space="0" w:color="auto"/>
              <w:left w:val="single" w:sz="4" w:space="0" w:color="auto"/>
              <w:bottom w:val="nil"/>
              <w:right w:val="single" w:sz="4" w:space="0" w:color="auto"/>
            </w:tcBorders>
            <w:vAlign w:val="center"/>
            <w:hideMark/>
          </w:tcPr>
          <w:p w14:paraId="6A3E60D0"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r>
      <w:tr w:rsidR="00B34CCD" w:rsidRPr="00C9207C" w14:paraId="4DCCF3BB" w14:textId="77777777" w:rsidTr="004B59F1">
        <w:trPr>
          <w:trHeight w:val="290"/>
        </w:trPr>
        <w:tc>
          <w:tcPr>
            <w:tcW w:w="4500" w:type="dxa"/>
            <w:vMerge/>
            <w:tcBorders>
              <w:top w:val="single" w:sz="4" w:space="0" w:color="auto"/>
              <w:left w:val="single" w:sz="4" w:space="0" w:color="auto"/>
              <w:bottom w:val="nil"/>
              <w:right w:val="single" w:sz="4" w:space="0" w:color="auto"/>
            </w:tcBorders>
            <w:vAlign w:val="center"/>
            <w:hideMark/>
          </w:tcPr>
          <w:p w14:paraId="3F8FA338"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single" w:sz="4" w:space="0" w:color="auto"/>
              <w:left w:val="single" w:sz="4" w:space="0" w:color="auto"/>
              <w:bottom w:val="nil"/>
              <w:right w:val="single" w:sz="4" w:space="0" w:color="auto"/>
            </w:tcBorders>
            <w:vAlign w:val="center"/>
            <w:hideMark/>
          </w:tcPr>
          <w:p w14:paraId="04755FD5"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single" w:sz="4" w:space="0" w:color="auto"/>
              <w:left w:val="single" w:sz="4" w:space="0" w:color="auto"/>
              <w:bottom w:val="nil"/>
              <w:right w:val="single" w:sz="4" w:space="0" w:color="auto"/>
            </w:tcBorders>
            <w:vAlign w:val="center"/>
            <w:hideMark/>
          </w:tcPr>
          <w:p w14:paraId="25EA229B"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r>
      <w:tr w:rsidR="00B34CCD" w:rsidRPr="00C9207C" w14:paraId="25B44A9B" w14:textId="77777777" w:rsidTr="00BE432B">
        <w:trPr>
          <w:trHeight w:val="80"/>
        </w:trPr>
        <w:tc>
          <w:tcPr>
            <w:tcW w:w="4500" w:type="dxa"/>
            <w:tcBorders>
              <w:top w:val="nil"/>
              <w:left w:val="single" w:sz="4" w:space="0" w:color="auto"/>
              <w:bottom w:val="nil"/>
              <w:right w:val="single" w:sz="4" w:space="0" w:color="auto"/>
            </w:tcBorders>
            <w:shd w:val="clear" w:color="000000" w:fill="FFFFFF"/>
            <w:vAlign w:val="center"/>
            <w:hideMark/>
          </w:tcPr>
          <w:p w14:paraId="4AAF1EE8"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nil"/>
              <w:right w:val="single" w:sz="4" w:space="0" w:color="auto"/>
            </w:tcBorders>
            <w:shd w:val="clear" w:color="000000" w:fill="FFFFFF"/>
            <w:vAlign w:val="center"/>
            <w:hideMark/>
          </w:tcPr>
          <w:p w14:paraId="3B41792E"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2549" w:type="dxa"/>
            <w:tcBorders>
              <w:top w:val="nil"/>
              <w:left w:val="single" w:sz="4" w:space="0" w:color="auto"/>
              <w:bottom w:val="nil"/>
              <w:right w:val="single" w:sz="4" w:space="0" w:color="auto"/>
            </w:tcBorders>
            <w:shd w:val="clear" w:color="000000" w:fill="FFFFFF"/>
            <w:vAlign w:val="center"/>
            <w:hideMark/>
          </w:tcPr>
          <w:p w14:paraId="59D2BDD0"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B34CCD" w:rsidRPr="00C9207C" w14:paraId="21E08261" w14:textId="77777777" w:rsidTr="004B59F1">
        <w:trPr>
          <w:trHeight w:val="290"/>
        </w:trPr>
        <w:tc>
          <w:tcPr>
            <w:tcW w:w="4500" w:type="dxa"/>
            <w:tcBorders>
              <w:top w:val="single" w:sz="4" w:space="0" w:color="auto"/>
              <w:left w:val="single" w:sz="4" w:space="0" w:color="auto"/>
              <w:bottom w:val="nil"/>
              <w:right w:val="single" w:sz="4" w:space="0" w:color="auto"/>
            </w:tcBorders>
            <w:shd w:val="clear" w:color="000000" w:fill="FFFFFF"/>
            <w:vAlign w:val="center"/>
            <w:hideMark/>
          </w:tcPr>
          <w:p w14:paraId="3BC8A267" w14:textId="20AC4384" w:rsidR="00B34CCD" w:rsidRPr="00C9207C" w:rsidRDefault="00B34CCD" w:rsidP="00D20C1D">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xml:space="preserve">Opening Balance at </w:t>
            </w:r>
            <w:r w:rsidR="001278BF">
              <w:rPr>
                <w:rFonts w:ascii="Arial" w:eastAsia="Times New Roman" w:hAnsi="Arial" w:cs="Arial"/>
                <w:b/>
                <w:bCs/>
                <w:color w:val="000000"/>
                <w:sz w:val="20"/>
                <w:szCs w:val="20"/>
                <w:lang w:eastAsia="en-GB"/>
              </w:rPr>
              <w:t>1 April</w:t>
            </w:r>
            <w:r w:rsidRPr="00C9207C">
              <w:rPr>
                <w:rFonts w:ascii="Arial" w:eastAsia="Times New Roman" w:hAnsi="Arial" w:cs="Arial"/>
                <w:b/>
                <w:bCs/>
                <w:color w:val="000000"/>
                <w:sz w:val="20"/>
                <w:szCs w:val="20"/>
                <w:lang w:eastAsia="en-GB"/>
              </w:rPr>
              <w:t xml:space="preserve"> 2025</w:t>
            </w:r>
          </w:p>
        </w:tc>
        <w:tc>
          <w:tcPr>
            <w:tcW w:w="2549" w:type="dxa"/>
            <w:tcBorders>
              <w:top w:val="single" w:sz="4" w:space="0" w:color="auto"/>
              <w:left w:val="single" w:sz="4" w:space="0" w:color="auto"/>
              <w:bottom w:val="nil"/>
              <w:right w:val="single" w:sz="4" w:space="0" w:color="auto"/>
            </w:tcBorders>
            <w:shd w:val="clear" w:color="000000" w:fill="FFFFFF"/>
            <w:vAlign w:val="center"/>
            <w:hideMark/>
          </w:tcPr>
          <w:p w14:paraId="1B0B25A8" w14:textId="35DEE3BB"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2549" w:type="dxa"/>
            <w:tcBorders>
              <w:top w:val="single" w:sz="4" w:space="0" w:color="auto"/>
              <w:left w:val="single" w:sz="4" w:space="0" w:color="auto"/>
              <w:bottom w:val="nil"/>
              <w:right w:val="single" w:sz="4" w:space="0" w:color="auto"/>
            </w:tcBorders>
            <w:shd w:val="clear" w:color="000000" w:fill="FFFFFF"/>
            <w:vAlign w:val="center"/>
            <w:hideMark/>
          </w:tcPr>
          <w:p w14:paraId="15B06883" w14:textId="3F2DCD31"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B34CCD" w:rsidRPr="00C9207C" w14:paraId="215A5A77" w14:textId="77777777" w:rsidTr="004B59F1">
        <w:trPr>
          <w:trHeight w:val="290"/>
        </w:trPr>
        <w:tc>
          <w:tcPr>
            <w:tcW w:w="4500" w:type="dxa"/>
            <w:tcBorders>
              <w:top w:val="nil"/>
              <w:left w:val="single" w:sz="4" w:space="0" w:color="auto"/>
              <w:bottom w:val="nil"/>
              <w:right w:val="single" w:sz="4" w:space="0" w:color="auto"/>
            </w:tcBorders>
            <w:shd w:val="clear" w:color="000000" w:fill="FFFFFF"/>
            <w:vAlign w:val="center"/>
            <w:hideMark/>
          </w:tcPr>
          <w:p w14:paraId="3CF69164"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nil"/>
              <w:right w:val="single" w:sz="4" w:space="0" w:color="auto"/>
            </w:tcBorders>
            <w:shd w:val="clear" w:color="000000" w:fill="FFFFFF"/>
            <w:vAlign w:val="center"/>
            <w:hideMark/>
          </w:tcPr>
          <w:p w14:paraId="5A346E1C" w14:textId="77777777" w:rsidR="00B34CCD" w:rsidRPr="00C9207C" w:rsidRDefault="00B34CCD" w:rsidP="00D20C1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nil"/>
              <w:right w:val="single" w:sz="4" w:space="0" w:color="auto"/>
            </w:tcBorders>
            <w:shd w:val="clear" w:color="000000" w:fill="FFFFFF"/>
            <w:vAlign w:val="center"/>
            <w:hideMark/>
          </w:tcPr>
          <w:p w14:paraId="28711EA3" w14:textId="77777777" w:rsidR="00B34CCD" w:rsidRPr="00C9207C" w:rsidRDefault="00B34CCD" w:rsidP="00D20C1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B34CCD" w:rsidRPr="00C9207C" w14:paraId="08B84D5B" w14:textId="77777777" w:rsidTr="004B59F1">
        <w:trPr>
          <w:trHeight w:val="290"/>
        </w:trPr>
        <w:tc>
          <w:tcPr>
            <w:tcW w:w="4500" w:type="dxa"/>
            <w:tcBorders>
              <w:top w:val="nil"/>
              <w:left w:val="single" w:sz="4" w:space="0" w:color="auto"/>
              <w:bottom w:val="nil"/>
              <w:right w:val="single" w:sz="4" w:space="0" w:color="auto"/>
            </w:tcBorders>
            <w:shd w:val="clear" w:color="000000" w:fill="FFFFFF"/>
            <w:vAlign w:val="center"/>
            <w:hideMark/>
          </w:tcPr>
          <w:p w14:paraId="224D4B1E"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Total Comprehensive Income and Expenditure</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0A47871B" w14:textId="77777777" w:rsidR="00B34CCD" w:rsidRPr="00C9207C" w:rsidRDefault="00B34CCD" w:rsidP="00D20C1D">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(11,231,419)</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7516DC0A" w14:textId="77777777" w:rsidR="00B34CCD" w:rsidRPr="00C9207C" w:rsidRDefault="00B34CCD" w:rsidP="00D20C1D">
            <w:pPr>
              <w:spacing w:after="0" w:line="240" w:lineRule="auto"/>
              <w:jc w:val="right"/>
              <w:rPr>
                <w:rFonts w:ascii="Arial" w:eastAsia="Times New Roman" w:hAnsi="Arial" w:cs="Arial"/>
                <w:color w:val="C00000"/>
                <w:sz w:val="20"/>
                <w:szCs w:val="20"/>
                <w:lang w:eastAsia="en-GB"/>
              </w:rPr>
            </w:pPr>
            <w:r w:rsidRPr="00C9207C">
              <w:rPr>
                <w:rFonts w:ascii="Arial" w:eastAsia="Times New Roman" w:hAnsi="Arial" w:cs="Arial"/>
                <w:color w:val="C00000"/>
                <w:sz w:val="20"/>
                <w:szCs w:val="20"/>
                <w:lang w:eastAsia="en-GB"/>
              </w:rPr>
              <w:t>(11,231,419)</w:t>
            </w:r>
          </w:p>
        </w:tc>
      </w:tr>
      <w:tr w:rsidR="00B34CCD" w:rsidRPr="00C9207C" w14:paraId="18A4A614" w14:textId="77777777" w:rsidTr="004B59F1">
        <w:trPr>
          <w:trHeight w:val="290"/>
        </w:trPr>
        <w:tc>
          <w:tcPr>
            <w:tcW w:w="450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17C56F4"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Adjustments between accounting basis and funding basis under regulations(*)</w:t>
            </w:r>
          </w:p>
        </w:tc>
        <w:tc>
          <w:tcPr>
            <w:tcW w:w="254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A209FA4" w14:textId="045EDFCE" w:rsidR="00B34CCD" w:rsidRPr="00C9207C" w:rsidRDefault="00B34CCD" w:rsidP="00D20C1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254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099179E" w14:textId="4B967149" w:rsidR="00B34CCD" w:rsidRPr="00C9207C" w:rsidRDefault="00B34CCD" w:rsidP="00D20C1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B34CCD" w:rsidRPr="00C9207C" w14:paraId="47AD95A3" w14:textId="77777777" w:rsidTr="004B59F1">
        <w:trPr>
          <w:trHeight w:val="300"/>
        </w:trPr>
        <w:tc>
          <w:tcPr>
            <w:tcW w:w="4500" w:type="dxa"/>
            <w:vMerge/>
            <w:tcBorders>
              <w:top w:val="nil"/>
              <w:left w:val="single" w:sz="4" w:space="0" w:color="auto"/>
              <w:bottom w:val="single" w:sz="8" w:space="0" w:color="000000"/>
              <w:right w:val="single" w:sz="4" w:space="0" w:color="auto"/>
            </w:tcBorders>
            <w:vAlign w:val="center"/>
            <w:hideMark/>
          </w:tcPr>
          <w:p w14:paraId="7F841292" w14:textId="77777777" w:rsidR="00B34CCD" w:rsidRPr="00C9207C" w:rsidRDefault="00B34CCD" w:rsidP="00D20C1D">
            <w:pPr>
              <w:spacing w:after="0" w:line="240" w:lineRule="auto"/>
              <w:rPr>
                <w:rFonts w:ascii="Arial" w:eastAsia="Times New Roman" w:hAnsi="Arial" w:cs="Arial"/>
                <w:color w:val="000000"/>
                <w:sz w:val="20"/>
                <w:szCs w:val="20"/>
                <w:lang w:eastAsia="en-GB"/>
              </w:rPr>
            </w:pPr>
          </w:p>
        </w:tc>
        <w:tc>
          <w:tcPr>
            <w:tcW w:w="2549" w:type="dxa"/>
            <w:vMerge/>
            <w:tcBorders>
              <w:top w:val="nil"/>
              <w:left w:val="single" w:sz="4" w:space="0" w:color="auto"/>
              <w:bottom w:val="single" w:sz="8" w:space="0" w:color="000000"/>
              <w:right w:val="single" w:sz="4" w:space="0" w:color="auto"/>
            </w:tcBorders>
            <w:vAlign w:val="center"/>
            <w:hideMark/>
          </w:tcPr>
          <w:p w14:paraId="08C96BEB" w14:textId="77777777" w:rsidR="00B34CCD" w:rsidRPr="00C9207C" w:rsidRDefault="00B34CCD" w:rsidP="00D20C1D">
            <w:pPr>
              <w:spacing w:after="0" w:line="240" w:lineRule="auto"/>
              <w:rPr>
                <w:rFonts w:ascii="Arial" w:eastAsia="Times New Roman" w:hAnsi="Arial" w:cs="Arial"/>
                <w:color w:val="000000"/>
                <w:sz w:val="20"/>
                <w:szCs w:val="20"/>
                <w:lang w:eastAsia="en-GB"/>
              </w:rPr>
            </w:pPr>
          </w:p>
        </w:tc>
        <w:tc>
          <w:tcPr>
            <w:tcW w:w="2549" w:type="dxa"/>
            <w:vMerge/>
            <w:tcBorders>
              <w:top w:val="nil"/>
              <w:left w:val="single" w:sz="4" w:space="0" w:color="auto"/>
              <w:bottom w:val="single" w:sz="8" w:space="0" w:color="000000"/>
              <w:right w:val="single" w:sz="4" w:space="0" w:color="auto"/>
            </w:tcBorders>
            <w:vAlign w:val="center"/>
            <w:hideMark/>
          </w:tcPr>
          <w:p w14:paraId="323DDA08" w14:textId="77777777" w:rsidR="00B34CCD" w:rsidRPr="00C9207C" w:rsidRDefault="00B34CCD" w:rsidP="00D20C1D">
            <w:pPr>
              <w:spacing w:after="0" w:line="240" w:lineRule="auto"/>
              <w:rPr>
                <w:rFonts w:ascii="Arial" w:eastAsia="Times New Roman" w:hAnsi="Arial" w:cs="Arial"/>
                <w:color w:val="000000"/>
                <w:sz w:val="20"/>
                <w:szCs w:val="20"/>
                <w:lang w:eastAsia="en-GB"/>
              </w:rPr>
            </w:pPr>
          </w:p>
        </w:tc>
      </w:tr>
      <w:tr w:rsidR="00B34CCD" w:rsidRPr="00C9207C" w14:paraId="0D059A9A" w14:textId="77777777" w:rsidTr="008A7A73">
        <w:trPr>
          <w:trHeight w:val="290"/>
        </w:trPr>
        <w:tc>
          <w:tcPr>
            <w:tcW w:w="4500" w:type="dxa"/>
            <w:tcBorders>
              <w:top w:val="nil"/>
              <w:left w:val="single" w:sz="4" w:space="0" w:color="auto"/>
              <w:bottom w:val="single" w:sz="4" w:space="0" w:color="auto"/>
              <w:right w:val="single" w:sz="4" w:space="0" w:color="auto"/>
            </w:tcBorders>
            <w:shd w:val="clear" w:color="000000" w:fill="FFFFFF"/>
            <w:vAlign w:val="center"/>
            <w:hideMark/>
          </w:tcPr>
          <w:p w14:paraId="695260A2" w14:textId="019D37C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C00000"/>
                <w:sz w:val="20"/>
                <w:szCs w:val="20"/>
                <w:lang w:eastAsia="en-GB"/>
              </w:rPr>
              <w:t>(Increase)</w:t>
            </w:r>
            <w:r w:rsidRPr="00C9207C">
              <w:rPr>
                <w:rFonts w:ascii="Arial" w:eastAsia="Times New Roman" w:hAnsi="Arial" w:cs="Arial"/>
                <w:color w:val="000000"/>
                <w:sz w:val="20"/>
                <w:szCs w:val="20"/>
                <w:lang w:eastAsia="en-GB"/>
              </w:rPr>
              <w:t xml:space="preserve"> or </w:t>
            </w:r>
            <w:r w:rsidR="00500095" w:rsidRPr="00C9207C">
              <w:rPr>
                <w:rFonts w:ascii="Arial" w:eastAsia="Times New Roman" w:hAnsi="Arial" w:cs="Arial"/>
                <w:color w:val="000000"/>
                <w:sz w:val="20"/>
                <w:szCs w:val="20"/>
                <w:lang w:eastAsia="en-GB"/>
              </w:rPr>
              <w:t>decrease</w:t>
            </w:r>
            <w:r w:rsidRPr="00C9207C">
              <w:rPr>
                <w:rFonts w:ascii="Arial" w:eastAsia="Times New Roman" w:hAnsi="Arial" w:cs="Arial"/>
                <w:color w:val="000000"/>
                <w:sz w:val="20"/>
                <w:szCs w:val="20"/>
                <w:lang w:eastAsia="en-GB"/>
              </w:rPr>
              <w:t xml:space="preserve"> in 2025/26</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18521F90" w14:textId="77777777" w:rsidR="00B34CCD" w:rsidRPr="00C9207C" w:rsidRDefault="00B34CCD" w:rsidP="00D20C1D">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2191A2B1" w14:textId="77777777" w:rsidR="00B34CCD" w:rsidRPr="00C9207C" w:rsidRDefault="00B34CCD" w:rsidP="00D20C1D">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r>
      <w:tr w:rsidR="00B34CCD" w:rsidRPr="00C9207C" w14:paraId="01B050DA" w14:textId="77777777" w:rsidTr="00BE432B">
        <w:trPr>
          <w:trHeight w:val="300"/>
        </w:trPr>
        <w:tc>
          <w:tcPr>
            <w:tcW w:w="4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9D6F8"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Closing Balance at 31 March 2026</w:t>
            </w:r>
          </w:p>
        </w:tc>
        <w:tc>
          <w:tcPr>
            <w:tcW w:w="25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8D4F7" w14:textId="77777777" w:rsidR="00B34CCD" w:rsidRPr="00C9207C" w:rsidRDefault="00B34CCD" w:rsidP="00D20C1D">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c>
          <w:tcPr>
            <w:tcW w:w="25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EDEA5" w14:textId="77777777" w:rsidR="00B34CCD" w:rsidRPr="00C9207C" w:rsidRDefault="00B34CCD" w:rsidP="00D20C1D">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(11,231,419)</w:t>
            </w:r>
          </w:p>
        </w:tc>
      </w:tr>
      <w:tr w:rsidR="00B34CCD" w:rsidRPr="00C9207C" w14:paraId="59E56F3E" w14:textId="77777777" w:rsidTr="00BE432B">
        <w:trPr>
          <w:trHeight w:val="290"/>
        </w:trPr>
        <w:tc>
          <w:tcPr>
            <w:tcW w:w="4500" w:type="dxa"/>
            <w:vMerge w:val="restart"/>
            <w:tcBorders>
              <w:top w:val="single" w:sz="4" w:space="0" w:color="auto"/>
              <w:left w:val="single" w:sz="4" w:space="0" w:color="auto"/>
              <w:bottom w:val="nil"/>
              <w:right w:val="single" w:sz="4" w:space="0" w:color="auto"/>
            </w:tcBorders>
            <w:shd w:val="clear" w:color="000000" w:fill="FFFFFF"/>
            <w:vAlign w:val="center"/>
            <w:hideMark/>
          </w:tcPr>
          <w:p w14:paraId="1DDDBD9C"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Movements in Reserves During 2024/25</w:t>
            </w:r>
          </w:p>
        </w:tc>
        <w:tc>
          <w:tcPr>
            <w:tcW w:w="25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5EBFD57F" w14:textId="7B8E6A62"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General Fund</w:t>
            </w:r>
          </w:p>
        </w:tc>
        <w:tc>
          <w:tcPr>
            <w:tcW w:w="2549" w:type="dxa"/>
            <w:vMerge w:val="restart"/>
            <w:tcBorders>
              <w:top w:val="single" w:sz="4" w:space="0" w:color="auto"/>
              <w:left w:val="single" w:sz="4" w:space="0" w:color="auto"/>
              <w:bottom w:val="nil"/>
              <w:right w:val="single" w:sz="4" w:space="0" w:color="auto"/>
            </w:tcBorders>
            <w:shd w:val="clear" w:color="000000" w:fill="FFFFFF"/>
            <w:vAlign w:val="center"/>
            <w:hideMark/>
          </w:tcPr>
          <w:p w14:paraId="006E6273"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Total Reserves</w:t>
            </w:r>
          </w:p>
        </w:tc>
      </w:tr>
      <w:tr w:rsidR="00B34CCD" w:rsidRPr="00C9207C" w14:paraId="4E2980A8" w14:textId="77777777" w:rsidTr="004B59F1">
        <w:trPr>
          <w:trHeight w:val="290"/>
        </w:trPr>
        <w:tc>
          <w:tcPr>
            <w:tcW w:w="4500" w:type="dxa"/>
            <w:vMerge/>
            <w:tcBorders>
              <w:top w:val="nil"/>
              <w:left w:val="single" w:sz="4" w:space="0" w:color="auto"/>
              <w:bottom w:val="nil"/>
              <w:right w:val="single" w:sz="4" w:space="0" w:color="auto"/>
            </w:tcBorders>
            <w:vAlign w:val="center"/>
            <w:hideMark/>
          </w:tcPr>
          <w:p w14:paraId="51E97B25"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nil"/>
              <w:left w:val="single" w:sz="4" w:space="0" w:color="auto"/>
              <w:bottom w:val="nil"/>
              <w:right w:val="single" w:sz="4" w:space="0" w:color="auto"/>
            </w:tcBorders>
            <w:vAlign w:val="center"/>
            <w:hideMark/>
          </w:tcPr>
          <w:p w14:paraId="052625E4"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nil"/>
              <w:left w:val="single" w:sz="4" w:space="0" w:color="auto"/>
              <w:bottom w:val="nil"/>
              <w:right w:val="single" w:sz="4" w:space="0" w:color="auto"/>
            </w:tcBorders>
            <w:vAlign w:val="center"/>
            <w:hideMark/>
          </w:tcPr>
          <w:p w14:paraId="23886170"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r>
      <w:tr w:rsidR="00B34CCD" w:rsidRPr="00C9207C" w14:paraId="6E693832" w14:textId="77777777" w:rsidTr="004B59F1">
        <w:trPr>
          <w:trHeight w:val="290"/>
        </w:trPr>
        <w:tc>
          <w:tcPr>
            <w:tcW w:w="4500" w:type="dxa"/>
            <w:vMerge/>
            <w:tcBorders>
              <w:top w:val="nil"/>
              <w:left w:val="single" w:sz="4" w:space="0" w:color="auto"/>
              <w:bottom w:val="nil"/>
              <w:right w:val="single" w:sz="4" w:space="0" w:color="auto"/>
            </w:tcBorders>
            <w:vAlign w:val="center"/>
            <w:hideMark/>
          </w:tcPr>
          <w:p w14:paraId="29398932"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nil"/>
              <w:left w:val="single" w:sz="4" w:space="0" w:color="auto"/>
              <w:bottom w:val="nil"/>
              <w:right w:val="single" w:sz="4" w:space="0" w:color="auto"/>
            </w:tcBorders>
            <w:vAlign w:val="center"/>
            <w:hideMark/>
          </w:tcPr>
          <w:p w14:paraId="1F5106AD"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c>
          <w:tcPr>
            <w:tcW w:w="2549" w:type="dxa"/>
            <w:vMerge/>
            <w:tcBorders>
              <w:top w:val="nil"/>
              <w:left w:val="single" w:sz="4" w:space="0" w:color="auto"/>
              <w:bottom w:val="nil"/>
              <w:right w:val="single" w:sz="4" w:space="0" w:color="auto"/>
            </w:tcBorders>
            <w:vAlign w:val="center"/>
            <w:hideMark/>
          </w:tcPr>
          <w:p w14:paraId="0279E794" w14:textId="77777777" w:rsidR="00B34CCD" w:rsidRPr="00C9207C" w:rsidRDefault="00B34CCD" w:rsidP="00D20C1D">
            <w:pPr>
              <w:spacing w:after="0" w:line="240" w:lineRule="auto"/>
              <w:rPr>
                <w:rFonts w:ascii="Arial" w:eastAsia="Times New Roman" w:hAnsi="Arial" w:cs="Arial"/>
                <w:b/>
                <w:bCs/>
                <w:color w:val="000000"/>
                <w:sz w:val="20"/>
                <w:szCs w:val="20"/>
                <w:lang w:eastAsia="en-GB"/>
              </w:rPr>
            </w:pPr>
          </w:p>
        </w:tc>
      </w:tr>
      <w:tr w:rsidR="00B34CCD" w:rsidRPr="00C9207C" w14:paraId="5B9EA0A8" w14:textId="77777777" w:rsidTr="00BE432B">
        <w:trPr>
          <w:trHeight w:val="290"/>
        </w:trPr>
        <w:tc>
          <w:tcPr>
            <w:tcW w:w="4500" w:type="dxa"/>
            <w:tcBorders>
              <w:top w:val="nil"/>
              <w:left w:val="single" w:sz="4" w:space="0" w:color="auto"/>
              <w:bottom w:val="single" w:sz="4" w:space="0" w:color="auto"/>
              <w:right w:val="single" w:sz="4" w:space="0" w:color="auto"/>
            </w:tcBorders>
            <w:shd w:val="clear" w:color="000000" w:fill="FFFFFF"/>
            <w:vAlign w:val="center"/>
            <w:hideMark/>
          </w:tcPr>
          <w:p w14:paraId="559DC68E"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20D7211C"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781DFBBF" w14:textId="77777777" w:rsidR="00B34CCD" w:rsidRPr="00C9207C" w:rsidRDefault="00B34CCD" w:rsidP="00D20C1D">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B34CCD" w:rsidRPr="00C9207C" w14:paraId="4684F536" w14:textId="77777777" w:rsidTr="00BE432B">
        <w:trPr>
          <w:trHeight w:val="290"/>
        </w:trPr>
        <w:tc>
          <w:tcPr>
            <w:tcW w:w="4500" w:type="dxa"/>
            <w:tcBorders>
              <w:top w:val="single" w:sz="4" w:space="0" w:color="auto"/>
              <w:left w:val="single" w:sz="4" w:space="0" w:color="auto"/>
              <w:bottom w:val="nil"/>
              <w:right w:val="single" w:sz="4" w:space="0" w:color="auto"/>
            </w:tcBorders>
            <w:shd w:val="clear" w:color="000000" w:fill="FFFFFF"/>
            <w:vAlign w:val="center"/>
            <w:hideMark/>
          </w:tcPr>
          <w:p w14:paraId="6F862CA3"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single" w:sz="4" w:space="0" w:color="auto"/>
              <w:left w:val="single" w:sz="4" w:space="0" w:color="auto"/>
              <w:bottom w:val="nil"/>
              <w:right w:val="single" w:sz="4" w:space="0" w:color="auto"/>
            </w:tcBorders>
            <w:shd w:val="clear" w:color="000000" w:fill="FFFFFF"/>
            <w:vAlign w:val="center"/>
            <w:hideMark/>
          </w:tcPr>
          <w:p w14:paraId="096B60BB"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single" w:sz="4" w:space="0" w:color="auto"/>
              <w:left w:val="single" w:sz="4" w:space="0" w:color="auto"/>
              <w:bottom w:val="nil"/>
              <w:right w:val="single" w:sz="4" w:space="0" w:color="auto"/>
            </w:tcBorders>
            <w:shd w:val="clear" w:color="000000" w:fill="FFFFFF"/>
            <w:vAlign w:val="center"/>
            <w:hideMark/>
          </w:tcPr>
          <w:p w14:paraId="776A8E9E" w14:textId="77777777" w:rsidR="00B34CCD" w:rsidRPr="00C9207C" w:rsidRDefault="00B34CCD" w:rsidP="00D20C1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B34CCD" w:rsidRPr="00C9207C" w14:paraId="56C7D4CB" w14:textId="77777777" w:rsidTr="004B59F1">
        <w:trPr>
          <w:trHeight w:val="290"/>
        </w:trPr>
        <w:tc>
          <w:tcPr>
            <w:tcW w:w="4500" w:type="dxa"/>
            <w:tcBorders>
              <w:top w:val="nil"/>
              <w:left w:val="single" w:sz="4" w:space="0" w:color="auto"/>
              <w:bottom w:val="nil"/>
              <w:right w:val="single" w:sz="4" w:space="0" w:color="auto"/>
            </w:tcBorders>
            <w:shd w:val="clear" w:color="000000" w:fill="FFFFFF"/>
            <w:vAlign w:val="center"/>
            <w:hideMark/>
          </w:tcPr>
          <w:p w14:paraId="75BFE531" w14:textId="385FC1BE" w:rsidR="00B34CCD" w:rsidRPr="00C9207C" w:rsidRDefault="00B34CCD" w:rsidP="0018370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xml:space="preserve">Opening Balance at </w:t>
            </w:r>
            <w:r w:rsidR="001278BF">
              <w:rPr>
                <w:rFonts w:ascii="Arial" w:eastAsia="Times New Roman" w:hAnsi="Arial" w:cs="Arial"/>
                <w:b/>
                <w:bCs/>
                <w:color w:val="000000"/>
                <w:sz w:val="20"/>
                <w:szCs w:val="20"/>
                <w:lang w:eastAsia="en-GB"/>
              </w:rPr>
              <w:t>1 April</w:t>
            </w:r>
            <w:r w:rsidRPr="00C9207C">
              <w:rPr>
                <w:rFonts w:ascii="Arial" w:eastAsia="Times New Roman" w:hAnsi="Arial" w:cs="Arial"/>
                <w:b/>
                <w:bCs/>
                <w:color w:val="000000"/>
                <w:sz w:val="20"/>
                <w:szCs w:val="20"/>
                <w:lang w:eastAsia="en-GB"/>
              </w:rPr>
              <w:t xml:space="preserve"> 2024</w:t>
            </w:r>
          </w:p>
        </w:tc>
        <w:tc>
          <w:tcPr>
            <w:tcW w:w="2549" w:type="dxa"/>
            <w:tcBorders>
              <w:top w:val="nil"/>
              <w:left w:val="single" w:sz="4" w:space="0" w:color="auto"/>
              <w:bottom w:val="nil"/>
              <w:right w:val="single" w:sz="4" w:space="0" w:color="auto"/>
            </w:tcBorders>
            <w:shd w:val="clear" w:color="000000" w:fill="FFFFFF"/>
            <w:vAlign w:val="center"/>
            <w:hideMark/>
          </w:tcPr>
          <w:p w14:paraId="5DC87B11" w14:textId="7D156629" w:rsidR="00B34CCD" w:rsidRPr="00C9207C" w:rsidRDefault="00B34CCD" w:rsidP="00183700">
            <w:pPr>
              <w:spacing w:after="0" w:line="240" w:lineRule="auto"/>
              <w:jc w:val="right"/>
              <w:rPr>
                <w:rFonts w:ascii="Arial" w:eastAsia="Times New Roman" w:hAnsi="Arial" w:cs="Arial"/>
                <w:b/>
                <w:bCs/>
                <w:color w:val="C00000"/>
                <w:sz w:val="20"/>
                <w:szCs w:val="20"/>
                <w:lang w:eastAsia="en-GB"/>
              </w:rPr>
            </w:pPr>
            <w:r w:rsidRPr="00C9207C">
              <w:rPr>
                <w:rFonts w:ascii="Arial" w:eastAsia="Times New Roman" w:hAnsi="Arial" w:cs="Arial"/>
                <w:b/>
                <w:bCs/>
                <w:color w:val="C00000"/>
                <w:sz w:val="20"/>
                <w:szCs w:val="20"/>
                <w:lang w:eastAsia="en-GB"/>
              </w:rPr>
              <w:t>(9,834,835)</w:t>
            </w:r>
          </w:p>
        </w:tc>
        <w:tc>
          <w:tcPr>
            <w:tcW w:w="2549" w:type="dxa"/>
            <w:tcBorders>
              <w:top w:val="nil"/>
              <w:left w:val="single" w:sz="4" w:space="0" w:color="auto"/>
              <w:bottom w:val="nil"/>
              <w:right w:val="single" w:sz="4" w:space="0" w:color="auto"/>
            </w:tcBorders>
            <w:shd w:val="clear" w:color="000000" w:fill="FFFFFF"/>
            <w:vAlign w:val="center"/>
            <w:hideMark/>
          </w:tcPr>
          <w:p w14:paraId="6F261529" w14:textId="128079AF" w:rsidR="00B34CCD" w:rsidRPr="00C9207C" w:rsidRDefault="00B34CCD" w:rsidP="0018370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C00000"/>
                <w:sz w:val="20"/>
                <w:szCs w:val="20"/>
                <w:lang w:eastAsia="en-GB"/>
              </w:rPr>
              <w:t>(9,834,835)</w:t>
            </w:r>
          </w:p>
        </w:tc>
      </w:tr>
      <w:tr w:rsidR="00B34CCD" w:rsidRPr="00C9207C" w14:paraId="74AB7C94" w14:textId="77777777" w:rsidTr="004B59F1">
        <w:trPr>
          <w:trHeight w:val="290"/>
        </w:trPr>
        <w:tc>
          <w:tcPr>
            <w:tcW w:w="4500" w:type="dxa"/>
            <w:tcBorders>
              <w:top w:val="nil"/>
              <w:left w:val="single" w:sz="4" w:space="0" w:color="auto"/>
              <w:bottom w:val="nil"/>
              <w:right w:val="single" w:sz="4" w:space="0" w:color="auto"/>
            </w:tcBorders>
            <w:shd w:val="clear" w:color="000000" w:fill="FFFFFF"/>
            <w:vAlign w:val="center"/>
            <w:hideMark/>
          </w:tcPr>
          <w:p w14:paraId="4B3B6515" w14:textId="77777777" w:rsidR="00B34CCD" w:rsidRPr="00C9207C" w:rsidRDefault="00B34CCD" w:rsidP="0018370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nil"/>
              <w:right w:val="single" w:sz="4" w:space="0" w:color="auto"/>
            </w:tcBorders>
            <w:shd w:val="clear" w:color="000000" w:fill="FFFFFF"/>
            <w:vAlign w:val="center"/>
            <w:hideMark/>
          </w:tcPr>
          <w:p w14:paraId="40A1C1B4" w14:textId="77777777" w:rsidR="00B34CCD" w:rsidRPr="00C9207C" w:rsidRDefault="00B34CCD" w:rsidP="0018370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2549" w:type="dxa"/>
            <w:tcBorders>
              <w:top w:val="nil"/>
              <w:left w:val="single" w:sz="4" w:space="0" w:color="auto"/>
              <w:bottom w:val="nil"/>
              <w:right w:val="single" w:sz="4" w:space="0" w:color="auto"/>
            </w:tcBorders>
            <w:shd w:val="clear" w:color="000000" w:fill="FFFFFF"/>
            <w:vAlign w:val="center"/>
            <w:hideMark/>
          </w:tcPr>
          <w:p w14:paraId="1890DF86" w14:textId="77777777" w:rsidR="00B34CCD" w:rsidRPr="00C9207C" w:rsidRDefault="00B34CCD" w:rsidP="0018370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B34CCD" w:rsidRPr="00C9207C" w14:paraId="37612F7D" w14:textId="77777777" w:rsidTr="004B59F1">
        <w:trPr>
          <w:trHeight w:val="290"/>
        </w:trPr>
        <w:tc>
          <w:tcPr>
            <w:tcW w:w="4500" w:type="dxa"/>
            <w:tcBorders>
              <w:top w:val="nil"/>
              <w:left w:val="single" w:sz="4" w:space="0" w:color="auto"/>
              <w:bottom w:val="single" w:sz="4" w:space="0" w:color="auto"/>
              <w:right w:val="single" w:sz="4" w:space="0" w:color="auto"/>
            </w:tcBorders>
            <w:shd w:val="clear" w:color="000000" w:fill="FFFFFF"/>
            <w:vAlign w:val="center"/>
            <w:hideMark/>
          </w:tcPr>
          <w:p w14:paraId="71D72788" w14:textId="77777777" w:rsidR="00B34CCD" w:rsidRPr="00C9207C" w:rsidRDefault="00B34CCD" w:rsidP="0018370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Total Comprehensive Income and Expenditure</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661490A7" w14:textId="77777777" w:rsidR="00B34CCD" w:rsidRPr="00C9207C" w:rsidRDefault="00B34CCD" w:rsidP="0018370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9,834,835</w:t>
            </w:r>
          </w:p>
        </w:tc>
        <w:tc>
          <w:tcPr>
            <w:tcW w:w="2549" w:type="dxa"/>
            <w:tcBorders>
              <w:top w:val="nil"/>
              <w:left w:val="single" w:sz="4" w:space="0" w:color="auto"/>
              <w:bottom w:val="single" w:sz="4" w:space="0" w:color="auto"/>
              <w:right w:val="single" w:sz="4" w:space="0" w:color="auto"/>
            </w:tcBorders>
            <w:shd w:val="clear" w:color="000000" w:fill="FFFFFF"/>
            <w:vAlign w:val="center"/>
            <w:hideMark/>
          </w:tcPr>
          <w:p w14:paraId="3DFE476F" w14:textId="77777777" w:rsidR="00B34CCD" w:rsidRPr="00C9207C" w:rsidRDefault="00B34CCD" w:rsidP="0018370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9,834,835</w:t>
            </w:r>
          </w:p>
        </w:tc>
      </w:tr>
      <w:tr w:rsidR="00B34CCD" w:rsidRPr="00C9207C" w14:paraId="2C7EF89E" w14:textId="77777777" w:rsidTr="004B59F1">
        <w:trPr>
          <w:trHeight w:val="290"/>
        </w:trPr>
        <w:tc>
          <w:tcPr>
            <w:tcW w:w="4500" w:type="dxa"/>
            <w:tcBorders>
              <w:top w:val="single" w:sz="4" w:space="0" w:color="auto"/>
              <w:left w:val="single" w:sz="4" w:space="0" w:color="auto"/>
              <w:right w:val="single" w:sz="4" w:space="0" w:color="auto"/>
            </w:tcBorders>
            <w:shd w:val="clear" w:color="000000" w:fill="FFFFFF"/>
            <w:vAlign w:val="center"/>
            <w:hideMark/>
          </w:tcPr>
          <w:p w14:paraId="26679C30" w14:textId="2A06A47D" w:rsidR="00B34CCD" w:rsidRPr="00C9207C" w:rsidRDefault="00B34CCD" w:rsidP="0018370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C00000"/>
                <w:sz w:val="20"/>
                <w:szCs w:val="20"/>
                <w:lang w:eastAsia="en-GB"/>
              </w:rPr>
              <w:t>(Increase)</w:t>
            </w:r>
            <w:r w:rsidRPr="00C9207C">
              <w:rPr>
                <w:rFonts w:ascii="Arial" w:eastAsia="Times New Roman" w:hAnsi="Arial" w:cs="Arial"/>
                <w:color w:val="000000"/>
                <w:sz w:val="20"/>
                <w:szCs w:val="20"/>
                <w:lang w:eastAsia="en-GB"/>
              </w:rPr>
              <w:t xml:space="preserve"> or </w:t>
            </w:r>
            <w:r w:rsidR="00500095" w:rsidRPr="00C9207C">
              <w:rPr>
                <w:rFonts w:ascii="Arial" w:eastAsia="Times New Roman" w:hAnsi="Arial" w:cs="Arial"/>
                <w:color w:val="000000"/>
                <w:sz w:val="20"/>
                <w:szCs w:val="20"/>
                <w:lang w:eastAsia="en-GB"/>
              </w:rPr>
              <w:t>decrease</w:t>
            </w:r>
            <w:r w:rsidRPr="00C9207C">
              <w:rPr>
                <w:rFonts w:ascii="Arial" w:eastAsia="Times New Roman" w:hAnsi="Arial" w:cs="Arial"/>
                <w:color w:val="000000"/>
                <w:sz w:val="20"/>
                <w:szCs w:val="20"/>
                <w:lang w:eastAsia="en-GB"/>
              </w:rPr>
              <w:t xml:space="preserve"> in 2024/25</w:t>
            </w:r>
          </w:p>
        </w:tc>
        <w:tc>
          <w:tcPr>
            <w:tcW w:w="2549" w:type="dxa"/>
            <w:tcBorders>
              <w:top w:val="single" w:sz="4" w:space="0" w:color="auto"/>
              <w:left w:val="single" w:sz="4" w:space="0" w:color="auto"/>
              <w:right w:val="single" w:sz="4" w:space="0" w:color="auto"/>
            </w:tcBorders>
            <w:shd w:val="clear" w:color="000000" w:fill="FFFFFF"/>
            <w:vAlign w:val="center"/>
            <w:hideMark/>
          </w:tcPr>
          <w:p w14:paraId="6FDFA5BE" w14:textId="77777777" w:rsidR="00B34CCD" w:rsidRPr="00C9207C" w:rsidRDefault="00B34CCD" w:rsidP="0018370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9,834,835</w:t>
            </w:r>
          </w:p>
        </w:tc>
        <w:tc>
          <w:tcPr>
            <w:tcW w:w="2549" w:type="dxa"/>
            <w:tcBorders>
              <w:top w:val="single" w:sz="4" w:space="0" w:color="auto"/>
              <w:left w:val="single" w:sz="4" w:space="0" w:color="auto"/>
              <w:right w:val="single" w:sz="4" w:space="0" w:color="auto"/>
            </w:tcBorders>
            <w:shd w:val="clear" w:color="000000" w:fill="FFFFFF"/>
            <w:vAlign w:val="center"/>
            <w:hideMark/>
          </w:tcPr>
          <w:p w14:paraId="71E64EB9" w14:textId="77777777" w:rsidR="00B34CCD" w:rsidRPr="00C9207C" w:rsidRDefault="00B34CCD" w:rsidP="0018370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9,834,835</w:t>
            </w:r>
          </w:p>
        </w:tc>
      </w:tr>
      <w:tr w:rsidR="00B34CCD" w:rsidRPr="00C9207C" w14:paraId="5E0AD34E" w14:textId="77777777" w:rsidTr="004B59F1">
        <w:trPr>
          <w:trHeight w:val="290"/>
        </w:trPr>
        <w:tc>
          <w:tcPr>
            <w:tcW w:w="4500" w:type="dxa"/>
            <w:tcBorders>
              <w:left w:val="single" w:sz="4" w:space="0" w:color="auto"/>
              <w:bottom w:val="single" w:sz="4" w:space="0" w:color="auto"/>
              <w:right w:val="single" w:sz="4" w:space="0" w:color="auto"/>
            </w:tcBorders>
            <w:shd w:val="clear" w:color="000000" w:fill="FFFFFF"/>
            <w:vAlign w:val="center"/>
          </w:tcPr>
          <w:p w14:paraId="616CE8B1" w14:textId="77777777" w:rsidR="00B34CCD" w:rsidRPr="00C9207C" w:rsidRDefault="00B34CCD" w:rsidP="00183700">
            <w:pPr>
              <w:spacing w:after="0" w:line="240" w:lineRule="auto"/>
              <w:rPr>
                <w:rFonts w:ascii="Arial" w:eastAsia="Times New Roman" w:hAnsi="Arial" w:cs="Arial"/>
                <w:color w:val="C00000"/>
                <w:sz w:val="20"/>
                <w:szCs w:val="20"/>
                <w:lang w:eastAsia="en-GB"/>
              </w:rPr>
            </w:pPr>
          </w:p>
        </w:tc>
        <w:tc>
          <w:tcPr>
            <w:tcW w:w="2549" w:type="dxa"/>
            <w:tcBorders>
              <w:left w:val="single" w:sz="4" w:space="0" w:color="auto"/>
              <w:bottom w:val="single" w:sz="4" w:space="0" w:color="auto"/>
              <w:right w:val="single" w:sz="4" w:space="0" w:color="auto"/>
            </w:tcBorders>
            <w:shd w:val="clear" w:color="000000" w:fill="FFFFFF"/>
            <w:vAlign w:val="center"/>
          </w:tcPr>
          <w:p w14:paraId="2A27ADB0" w14:textId="77777777" w:rsidR="00B34CCD" w:rsidRPr="00C9207C" w:rsidRDefault="00B34CCD" w:rsidP="00183700">
            <w:pPr>
              <w:spacing w:after="0" w:line="240" w:lineRule="auto"/>
              <w:jc w:val="right"/>
              <w:rPr>
                <w:rFonts w:ascii="Arial" w:eastAsia="Times New Roman" w:hAnsi="Arial" w:cs="Arial"/>
                <w:b/>
                <w:bCs/>
                <w:color w:val="000000"/>
                <w:sz w:val="20"/>
                <w:szCs w:val="20"/>
                <w:lang w:eastAsia="en-GB"/>
              </w:rPr>
            </w:pPr>
          </w:p>
        </w:tc>
        <w:tc>
          <w:tcPr>
            <w:tcW w:w="2549" w:type="dxa"/>
            <w:tcBorders>
              <w:left w:val="single" w:sz="4" w:space="0" w:color="auto"/>
              <w:bottom w:val="single" w:sz="4" w:space="0" w:color="auto"/>
              <w:right w:val="single" w:sz="4" w:space="0" w:color="auto"/>
            </w:tcBorders>
            <w:shd w:val="clear" w:color="000000" w:fill="FFFFFF"/>
            <w:vAlign w:val="center"/>
          </w:tcPr>
          <w:p w14:paraId="4F3EF52E" w14:textId="77777777" w:rsidR="00B34CCD" w:rsidRPr="00C9207C" w:rsidRDefault="00B34CCD" w:rsidP="00183700">
            <w:pPr>
              <w:spacing w:after="0" w:line="240" w:lineRule="auto"/>
              <w:jc w:val="right"/>
              <w:rPr>
                <w:rFonts w:ascii="Arial" w:eastAsia="Times New Roman" w:hAnsi="Arial" w:cs="Arial"/>
                <w:b/>
                <w:bCs/>
                <w:color w:val="000000"/>
                <w:sz w:val="20"/>
                <w:szCs w:val="20"/>
                <w:lang w:eastAsia="en-GB"/>
              </w:rPr>
            </w:pPr>
          </w:p>
        </w:tc>
      </w:tr>
      <w:tr w:rsidR="00B34CCD" w:rsidRPr="00C9207C" w14:paraId="608C264A" w14:textId="77777777" w:rsidTr="004B59F1">
        <w:trPr>
          <w:trHeight w:val="300"/>
        </w:trPr>
        <w:tc>
          <w:tcPr>
            <w:tcW w:w="4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48431" w14:textId="6DD83A15" w:rsidR="00B34CCD" w:rsidRPr="00C9207C" w:rsidRDefault="00B34CCD" w:rsidP="00AE61CD">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b/>
                <w:bCs/>
                <w:color w:val="000000"/>
                <w:sz w:val="20"/>
                <w:szCs w:val="20"/>
                <w:lang w:eastAsia="en-GB"/>
              </w:rPr>
              <w:t>Closing Balance at 31 March 2025</w:t>
            </w:r>
          </w:p>
        </w:tc>
        <w:tc>
          <w:tcPr>
            <w:tcW w:w="25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00786" w14:textId="7DA6D21E" w:rsidR="00B34CCD" w:rsidRPr="00C9207C" w:rsidRDefault="00B34CCD" w:rsidP="00AE61C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254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D4A3E" w14:textId="0A08483A" w:rsidR="00B34CCD" w:rsidRPr="00C9207C" w:rsidRDefault="00B34CCD" w:rsidP="00AE61CD">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bl>
    <w:p w14:paraId="2B968DBF" w14:textId="166A9C92" w:rsidR="00587B9E" w:rsidRPr="00C9207C" w:rsidRDefault="00587B9E" w:rsidP="00A51927">
      <w:pPr>
        <w:rPr>
          <w:rFonts w:ascii="Arial" w:hAnsi="Arial" w:cs="Arial"/>
          <w:sz w:val="20"/>
          <w:szCs w:val="20"/>
          <w:highlight w:val="yellow"/>
        </w:rPr>
      </w:pPr>
    </w:p>
    <w:p w14:paraId="5F290D11" w14:textId="25655053" w:rsidR="00E42CEC" w:rsidRDefault="00E42CEC">
      <w:pPr>
        <w:spacing w:after="0" w:line="240" w:lineRule="auto"/>
        <w:rPr>
          <w:rFonts w:ascii="Arial" w:hAnsi="Arial" w:cs="Arial"/>
          <w:sz w:val="20"/>
          <w:szCs w:val="20"/>
          <w:highlight w:val="yellow"/>
        </w:rPr>
      </w:pPr>
      <w:r>
        <w:rPr>
          <w:rFonts w:ascii="Arial" w:hAnsi="Arial" w:cs="Arial"/>
          <w:sz w:val="20"/>
          <w:szCs w:val="20"/>
          <w:highlight w:val="yellow"/>
        </w:rPr>
        <w:br w:type="page"/>
      </w:r>
    </w:p>
    <w:p w14:paraId="24CE862E" w14:textId="3C4DFE4B" w:rsidR="00F10220" w:rsidRPr="00C9207C" w:rsidRDefault="006B07C8" w:rsidP="00A51927">
      <w:pPr>
        <w:pStyle w:val="Heading1"/>
        <w:jc w:val="left"/>
        <w:rPr>
          <w:rFonts w:ascii="Arial" w:hAnsi="Arial" w:cs="Arial"/>
          <w:lang w:val="en-AU"/>
        </w:rPr>
      </w:pPr>
      <w:bookmarkStart w:id="28" w:name="_Toc232169353"/>
      <w:r w:rsidRPr="00C9207C">
        <w:rPr>
          <w:rFonts w:ascii="Arial" w:hAnsi="Arial" w:cs="Arial"/>
        </w:rPr>
        <w:lastRenderedPageBreak/>
        <w:t>4.3</w:t>
      </w:r>
      <w:r w:rsidRPr="00C9207C">
        <w:rPr>
          <w:rFonts w:ascii="Arial" w:hAnsi="Arial" w:cs="Arial"/>
        </w:rPr>
        <w:tab/>
      </w:r>
      <w:r w:rsidR="53310001" w:rsidRPr="00C9207C">
        <w:rPr>
          <w:rFonts w:ascii="Arial" w:hAnsi="Arial" w:cs="Arial"/>
        </w:rPr>
        <w:t>Balance Sheet</w:t>
      </w:r>
      <w:bookmarkEnd w:id="27"/>
      <w:bookmarkEnd w:id="28"/>
    </w:p>
    <w:p w14:paraId="21FE6582" w14:textId="77777777" w:rsidR="00F10220" w:rsidRPr="00C9207C" w:rsidRDefault="00F10220" w:rsidP="00A51927">
      <w:pPr>
        <w:spacing w:after="0" w:line="240" w:lineRule="auto"/>
        <w:rPr>
          <w:rFonts w:ascii="Arial" w:eastAsia="Times New Roman" w:hAnsi="Arial" w:cs="Arial"/>
          <w:sz w:val="20"/>
          <w:szCs w:val="20"/>
          <w:lang w:val="en-AU"/>
        </w:rPr>
      </w:pPr>
    </w:p>
    <w:p w14:paraId="1B845769" w14:textId="652F21CF" w:rsidR="007F73F0" w:rsidRPr="00C9207C" w:rsidRDefault="00F10220" w:rsidP="00A51927">
      <w:pPr>
        <w:spacing w:after="0" w:line="240" w:lineRule="auto"/>
        <w:rPr>
          <w:rFonts w:ascii="Arial" w:eastAsia="Times New Roman" w:hAnsi="Arial" w:cs="Arial"/>
          <w:sz w:val="20"/>
          <w:szCs w:val="20"/>
          <w:lang w:val="en-AU"/>
        </w:rPr>
      </w:pPr>
      <w:r w:rsidRPr="00C9207C">
        <w:rPr>
          <w:rFonts w:ascii="Arial" w:eastAsia="Times New Roman" w:hAnsi="Arial" w:cs="Arial"/>
          <w:sz w:val="20"/>
          <w:szCs w:val="20"/>
          <w:lang w:val="en-AU"/>
        </w:rPr>
        <w:t xml:space="preserve">The Balance Sheet </w:t>
      </w:r>
      <w:r w:rsidR="009B4D0F" w:rsidRPr="00C9207C">
        <w:rPr>
          <w:rFonts w:ascii="Arial" w:eastAsia="Times New Roman" w:hAnsi="Arial" w:cs="Arial"/>
          <w:sz w:val="20"/>
          <w:szCs w:val="20"/>
          <w:lang w:val="en-AU"/>
        </w:rPr>
        <w:t xml:space="preserve">shows </w:t>
      </w:r>
      <w:r w:rsidR="003D4173" w:rsidRPr="00C9207C">
        <w:rPr>
          <w:rFonts w:ascii="Arial" w:eastAsia="Times New Roman" w:hAnsi="Arial" w:cs="Arial"/>
          <w:sz w:val="20"/>
          <w:szCs w:val="20"/>
          <w:lang w:val="en-AU"/>
        </w:rPr>
        <w:t xml:space="preserve">the value of the IJB’s assets and liabilities as at the balance sheet date. The net assets of the IJB (assets less liabilities) are matched by the reserves held by the IJB. </w:t>
      </w:r>
    </w:p>
    <w:p w14:paraId="2047671D" w14:textId="77777777" w:rsidR="00CC6DC1" w:rsidRPr="00C9207C" w:rsidRDefault="00CC6DC1" w:rsidP="00A51927">
      <w:pPr>
        <w:spacing w:after="0" w:line="240" w:lineRule="auto"/>
        <w:rPr>
          <w:rFonts w:ascii="Arial" w:eastAsia="Times New Roman" w:hAnsi="Arial" w:cs="Arial"/>
          <w:sz w:val="20"/>
          <w:szCs w:val="20"/>
          <w:highlight w:val="yellow"/>
          <w:lang w:val="en-AU"/>
        </w:rPr>
      </w:pPr>
    </w:p>
    <w:tbl>
      <w:tblPr>
        <w:tblW w:w="8860" w:type="dxa"/>
        <w:tblInd w:w="308" w:type="dxa"/>
        <w:tblLook w:val="04A0" w:firstRow="1" w:lastRow="0" w:firstColumn="1" w:lastColumn="0" w:noHBand="0" w:noVBand="1"/>
      </w:tblPr>
      <w:tblGrid>
        <w:gridCol w:w="2303"/>
        <w:gridCol w:w="3211"/>
        <w:gridCol w:w="1091"/>
        <w:gridCol w:w="1979"/>
        <w:gridCol w:w="276"/>
      </w:tblGrid>
      <w:tr w:rsidR="00851740" w:rsidRPr="00C9207C" w14:paraId="2952B75C" w14:textId="77777777" w:rsidTr="009A05BD">
        <w:trPr>
          <w:gridAfter w:val="1"/>
          <w:wAfter w:w="276" w:type="dxa"/>
          <w:trHeight w:val="251"/>
        </w:trPr>
        <w:tc>
          <w:tcPr>
            <w:tcW w:w="2303" w:type="dxa"/>
            <w:tcBorders>
              <w:top w:val="single" w:sz="4" w:space="0" w:color="auto"/>
              <w:left w:val="single" w:sz="4" w:space="0" w:color="auto"/>
              <w:bottom w:val="nil"/>
              <w:right w:val="single" w:sz="4" w:space="0" w:color="auto"/>
            </w:tcBorders>
            <w:vAlign w:val="center"/>
            <w:hideMark/>
          </w:tcPr>
          <w:p w14:paraId="5C854BF9" w14:textId="10E241DA"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w:t>
            </w:r>
            <w:r w:rsidR="00ED24B5" w:rsidRPr="00C9207C">
              <w:rPr>
                <w:rFonts w:ascii="Arial" w:eastAsia="Times New Roman" w:hAnsi="Arial" w:cs="Arial"/>
                <w:b/>
                <w:bCs/>
                <w:color w:val="000000"/>
                <w:sz w:val="20"/>
                <w:szCs w:val="20"/>
                <w:lang w:eastAsia="en-GB"/>
              </w:rPr>
              <w:t xml:space="preserve"> 2025</w:t>
            </w:r>
          </w:p>
        </w:tc>
        <w:tc>
          <w:tcPr>
            <w:tcW w:w="3211" w:type="dxa"/>
            <w:vMerge w:val="restart"/>
            <w:tcBorders>
              <w:top w:val="single" w:sz="4" w:space="0" w:color="auto"/>
              <w:left w:val="single" w:sz="4" w:space="0" w:color="auto"/>
              <w:bottom w:val="nil"/>
              <w:right w:val="single" w:sz="4" w:space="0" w:color="auto"/>
            </w:tcBorders>
            <w:vAlign w:val="center"/>
            <w:hideMark/>
          </w:tcPr>
          <w:p w14:paraId="00C075BD" w14:textId="77777777"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p>
        </w:tc>
        <w:tc>
          <w:tcPr>
            <w:tcW w:w="1091" w:type="dxa"/>
            <w:vMerge w:val="restart"/>
            <w:tcBorders>
              <w:top w:val="single" w:sz="4" w:space="0" w:color="auto"/>
              <w:left w:val="single" w:sz="4" w:space="0" w:color="auto"/>
              <w:bottom w:val="nil"/>
              <w:right w:val="single" w:sz="4" w:space="0" w:color="auto"/>
            </w:tcBorders>
            <w:vAlign w:val="center"/>
            <w:hideMark/>
          </w:tcPr>
          <w:p w14:paraId="727184CF" w14:textId="77777777" w:rsidR="00851740" w:rsidRPr="00C9207C" w:rsidRDefault="00851740" w:rsidP="009D13F0">
            <w:pPr>
              <w:spacing w:after="0" w:line="240" w:lineRule="auto"/>
              <w:jc w:val="center"/>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Notes</w:t>
            </w:r>
          </w:p>
        </w:tc>
        <w:tc>
          <w:tcPr>
            <w:tcW w:w="1979" w:type="dxa"/>
            <w:tcBorders>
              <w:top w:val="single" w:sz="4" w:space="0" w:color="auto"/>
              <w:left w:val="single" w:sz="4" w:space="0" w:color="auto"/>
              <w:bottom w:val="nil"/>
              <w:right w:val="single" w:sz="4" w:space="0" w:color="auto"/>
            </w:tcBorders>
            <w:vAlign w:val="center"/>
            <w:hideMark/>
          </w:tcPr>
          <w:p w14:paraId="0800FF67" w14:textId="7B3323F9"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w:t>
            </w:r>
            <w:r w:rsidR="00ED24B5" w:rsidRPr="00C9207C">
              <w:rPr>
                <w:rFonts w:ascii="Arial" w:eastAsia="Times New Roman" w:hAnsi="Arial" w:cs="Arial"/>
                <w:b/>
                <w:bCs/>
                <w:color w:val="000000"/>
                <w:sz w:val="20"/>
                <w:szCs w:val="20"/>
                <w:lang w:eastAsia="en-GB"/>
              </w:rPr>
              <w:t xml:space="preserve"> 2026</w:t>
            </w:r>
          </w:p>
        </w:tc>
      </w:tr>
      <w:tr w:rsidR="00851740" w:rsidRPr="00C9207C" w14:paraId="317E61E7"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65510CF3" w14:textId="53051213"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p>
        </w:tc>
        <w:tc>
          <w:tcPr>
            <w:tcW w:w="3211" w:type="dxa"/>
            <w:vMerge/>
            <w:tcBorders>
              <w:top w:val="nil"/>
              <w:left w:val="single" w:sz="4" w:space="0" w:color="auto"/>
              <w:bottom w:val="nil"/>
              <w:right w:val="single" w:sz="4" w:space="0" w:color="auto"/>
            </w:tcBorders>
            <w:vAlign w:val="center"/>
            <w:hideMark/>
          </w:tcPr>
          <w:p w14:paraId="716ABFE2"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p>
        </w:tc>
        <w:tc>
          <w:tcPr>
            <w:tcW w:w="1091" w:type="dxa"/>
            <w:vMerge/>
            <w:tcBorders>
              <w:top w:val="nil"/>
              <w:left w:val="single" w:sz="4" w:space="0" w:color="auto"/>
              <w:bottom w:val="nil"/>
              <w:right w:val="single" w:sz="4" w:space="0" w:color="auto"/>
            </w:tcBorders>
            <w:vAlign w:val="center"/>
            <w:hideMark/>
          </w:tcPr>
          <w:p w14:paraId="275039BD"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nil"/>
              <w:left w:val="single" w:sz="4" w:space="0" w:color="auto"/>
              <w:bottom w:val="nil"/>
              <w:right w:val="single" w:sz="4" w:space="0" w:color="auto"/>
            </w:tcBorders>
            <w:vAlign w:val="center"/>
            <w:hideMark/>
          </w:tcPr>
          <w:p w14:paraId="4BC3CC38" w14:textId="217EC614"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p>
        </w:tc>
      </w:tr>
      <w:tr w:rsidR="00851740" w:rsidRPr="00C9207C" w14:paraId="55A6E1E1" w14:textId="77777777" w:rsidTr="009A05BD">
        <w:trPr>
          <w:gridAfter w:val="1"/>
          <w:wAfter w:w="276" w:type="dxa"/>
          <w:trHeight w:val="251"/>
        </w:trPr>
        <w:tc>
          <w:tcPr>
            <w:tcW w:w="2303" w:type="dxa"/>
            <w:tcBorders>
              <w:top w:val="nil"/>
              <w:left w:val="single" w:sz="4" w:space="0" w:color="auto"/>
              <w:bottom w:val="single" w:sz="4" w:space="0" w:color="auto"/>
              <w:right w:val="single" w:sz="4" w:space="0" w:color="auto"/>
            </w:tcBorders>
            <w:vAlign w:val="center"/>
            <w:hideMark/>
          </w:tcPr>
          <w:p w14:paraId="587EA16D"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3211" w:type="dxa"/>
            <w:tcBorders>
              <w:top w:val="nil"/>
              <w:left w:val="single" w:sz="4" w:space="0" w:color="auto"/>
              <w:bottom w:val="single" w:sz="4" w:space="0" w:color="auto"/>
              <w:right w:val="single" w:sz="4" w:space="0" w:color="auto"/>
            </w:tcBorders>
            <w:vAlign w:val="center"/>
            <w:hideMark/>
          </w:tcPr>
          <w:p w14:paraId="0D03A985"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nil"/>
              <w:left w:val="single" w:sz="4" w:space="0" w:color="auto"/>
              <w:bottom w:val="single" w:sz="4" w:space="0" w:color="auto"/>
              <w:right w:val="single" w:sz="4" w:space="0" w:color="auto"/>
            </w:tcBorders>
            <w:vAlign w:val="center"/>
            <w:hideMark/>
          </w:tcPr>
          <w:p w14:paraId="608AFB67" w14:textId="77777777" w:rsidR="00851740" w:rsidRPr="00C9207C" w:rsidRDefault="00851740" w:rsidP="00851740">
            <w:pPr>
              <w:spacing w:after="0" w:line="240" w:lineRule="auto"/>
              <w:jc w:val="right"/>
              <w:rPr>
                <w:rFonts w:ascii="Arial" w:eastAsia="Times New Roman" w:hAnsi="Arial" w:cs="Arial"/>
                <w:sz w:val="20"/>
                <w:szCs w:val="20"/>
                <w:lang w:eastAsia="en-GB"/>
              </w:rPr>
            </w:pPr>
          </w:p>
        </w:tc>
        <w:tc>
          <w:tcPr>
            <w:tcW w:w="1979" w:type="dxa"/>
            <w:tcBorders>
              <w:top w:val="nil"/>
              <w:left w:val="single" w:sz="4" w:space="0" w:color="auto"/>
              <w:bottom w:val="single" w:sz="4" w:space="0" w:color="auto"/>
              <w:right w:val="single" w:sz="4" w:space="0" w:color="auto"/>
            </w:tcBorders>
            <w:vAlign w:val="center"/>
            <w:hideMark/>
          </w:tcPr>
          <w:p w14:paraId="4EDB7F13"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51740" w:rsidRPr="00C9207C" w14:paraId="71E81EA3" w14:textId="77777777" w:rsidTr="009A05BD">
        <w:trPr>
          <w:gridAfter w:val="1"/>
          <w:wAfter w:w="276" w:type="dxa"/>
          <w:trHeight w:val="251"/>
        </w:trPr>
        <w:tc>
          <w:tcPr>
            <w:tcW w:w="2303" w:type="dxa"/>
            <w:tcBorders>
              <w:top w:val="single" w:sz="4" w:space="0" w:color="auto"/>
              <w:left w:val="single" w:sz="4" w:space="0" w:color="auto"/>
              <w:bottom w:val="nil"/>
              <w:right w:val="single" w:sz="4" w:space="0" w:color="auto"/>
            </w:tcBorders>
            <w:vAlign w:val="center"/>
            <w:hideMark/>
          </w:tcPr>
          <w:p w14:paraId="7E3456BE"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single" w:sz="4" w:space="0" w:color="auto"/>
              <w:left w:val="single" w:sz="4" w:space="0" w:color="auto"/>
              <w:bottom w:val="nil"/>
              <w:right w:val="single" w:sz="4" w:space="0" w:color="auto"/>
            </w:tcBorders>
            <w:vAlign w:val="center"/>
            <w:hideMark/>
          </w:tcPr>
          <w:p w14:paraId="38F0A757" w14:textId="77777777" w:rsidR="00851740" w:rsidRPr="00C9207C" w:rsidRDefault="00851740" w:rsidP="00851740">
            <w:pPr>
              <w:spacing w:after="0" w:line="240" w:lineRule="auto"/>
              <w:rPr>
                <w:rFonts w:ascii="Arial" w:eastAsia="Times New Roman" w:hAnsi="Arial" w:cs="Arial"/>
                <w:color w:val="000000"/>
                <w:sz w:val="20"/>
                <w:szCs w:val="20"/>
                <w:lang w:eastAsia="en-GB"/>
              </w:rPr>
            </w:pPr>
          </w:p>
        </w:tc>
        <w:tc>
          <w:tcPr>
            <w:tcW w:w="1091" w:type="dxa"/>
            <w:tcBorders>
              <w:top w:val="single" w:sz="4" w:space="0" w:color="auto"/>
              <w:left w:val="single" w:sz="4" w:space="0" w:color="auto"/>
              <w:bottom w:val="nil"/>
              <w:right w:val="single" w:sz="4" w:space="0" w:color="auto"/>
            </w:tcBorders>
            <w:vAlign w:val="center"/>
            <w:hideMark/>
          </w:tcPr>
          <w:p w14:paraId="0350993D" w14:textId="77777777" w:rsidR="00851740" w:rsidRPr="00C9207C" w:rsidRDefault="00851740" w:rsidP="00851740">
            <w:pPr>
              <w:spacing w:after="0" w:line="240" w:lineRule="auto"/>
              <w:rPr>
                <w:rFonts w:ascii="Arial" w:eastAsia="Times New Roman" w:hAnsi="Arial" w:cs="Arial"/>
                <w:sz w:val="20"/>
                <w:szCs w:val="20"/>
                <w:lang w:eastAsia="en-GB"/>
              </w:rPr>
            </w:pPr>
          </w:p>
        </w:tc>
        <w:tc>
          <w:tcPr>
            <w:tcW w:w="1979" w:type="dxa"/>
            <w:tcBorders>
              <w:top w:val="single" w:sz="4" w:space="0" w:color="auto"/>
              <w:left w:val="single" w:sz="4" w:space="0" w:color="auto"/>
              <w:bottom w:val="nil"/>
              <w:right w:val="single" w:sz="4" w:space="0" w:color="auto"/>
            </w:tcBorders>
            <w:vAlign w:val="center"/>
            <w:hideMark/>
          </w:tcPr>
          <w:p w14:paraId="46136A77"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13C75010" w14:textId="77777777" w:rsidTr="009A05BD">
        <w:trPr>
          <w:gridAfter w:val="1"/>
          <w:wAfter w:w="276" w:type="dxa"/>
          <w:trHeight w:val="260"/>
        </w:trPr>
        <w:tc>
          <w:tcPr>
            <w:tcW w:w="2303" w:type="dxa"/>
            <w:tcBorders>
              <w:top w:val="nil"/>
              <w:left w:val="single" w:sz="4" w:space="0" w:color="auto"/>
              <w:bottom w:val="single" w:sz="8" w:space="0" w:color="auto"/>
              <w:right w:val="single" w:sz="4" w:space="0" w:color="auto"/>
            </w:tcBorders>
            <w:vAlign w:val="center"/>
            <w:hideMark/>
          </w:tcPr>
          <w:p w14:paraId="70EC4807"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18,368,031</w:t>
            </w:r>
          </w:p>
        </w:tc>
        <w:tc>
          <w:tcPr>
            <w:tcW w:w="3211" w:type="dxa"/>
            <w:tcBorders>
              <w:top w:val="nil"/>
              <w:left w:val="single" w:sz="4" w:space="0" w:color="auto"/>
              <w:bottom w:val="nil"/>
              <w:right w:val="single" w:sz="4" w:space="0" w:color="auto"/>
            </w:tcBorders>
            <w:vAlign w:val="center"/>
            <w:hideMark/>
          </w:tcPr>
          <w:p w14:paraId="33941547"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Short term Debtors</w:t>
            </w:r>
          </w:p>
        </w:tc>
        <w:tc>
          <w:tcPr>
            <w:tcW w:w="1091" w:type="dxa"/>
            <w:tcBorders>
              <w:top w:val="nil"/>
              <w:left w:val="single" w:sz="4" w:space="0" w:color="auto"/>
              <w:bottom w:val="nil"/>
              <w:right w:val="single" w:sz="4" w:space="0" w:color="auto"/>
            </w:tcBorders>
            <w:vAlign w:val="center"/>
            <w:hideMark/>
          </w:tcPr>
          <w:p w14:paraId="53010B73" w14:textId="77777777" w:rsidR="00851740" w:rsidRPr="009D13F0" w:rsidRDefault="00851740" w:rsidP="00851740">
            <w:pPr>
              <w:spacing w:after="0" w:line="240" w:lineRule="auto"/>
              <w:jc w:val="center"/>
              <w:rPr>
                <w:rFonts w:ascii="Arial" w:eastAsia="Times New Roman" w:hAnsi="Arial" w:cs="Arial"/>
                <w:b/>
                <w:bCs/>
                <w:color w:val="000000"/>
                <w:sz w:val="20"/>
                <w:szCs w:val="20"/>
                <w:lang w:eastAsia="en-GB"/>
              </w:rPr>
            </w:pPr>
            <w:r w:rsidRPr="009D13F0">
              <w:rPr>
                <w:rFonts w:ascii="Arial" w:eastAsia="Times New Roman" w:hAnsi="Arial" w:cs="Arial"/>
                <w:b/>
                <w:bCs/>
                <w:color w:val="000000"/>
                <w:sz w:val="20"/>
                <w:szCs w:val="20"/>
                <w:lang w:eastAsia="en-GB"/>
              </w:rPr>
              <w:t>(8)</w:t>
            </w:r>
          </w:p>
        </w:tc>
        <w:tc>
          <w:tcPr>
            <w:tcW w:w="1979" w:type="dxa"/>
            <w:tcBorders>
              <w:top w:val="nil"/>
              <w:left w:val="single" w:sz="4" w:space="0" w:color="auto"/>
              <w:bottom w:val="single" w:sz="8" w:space="0" w:color="auto"/>
              <w:right w:val="single" w:sz="4" w:space="0" w:color="auto"/>
            </w:tcBorders>
            <w:vAlign w:val="center"/>
            <w:hideMark/>
          </w:tcPr>
          <w:p w14:paraId="6A211FA1"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11,231,419</w:t>
            </w:r>
          </w:p>
        </w:tc>
      </w:tr>
      <w:tr w:rsidR="00851740" w:rsidRPr="00C9207C" w14:paraId="34CEC262"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605730DB" w14:textId="77777777"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18,368,031</w:t>
            </w:r>
          </w:p>
        </w:tc>
        <w:tc>
          <w:tcPr>
            <w:tcW w:w="3211" w:type="dxa"/>
            <w:tcBorders>
              <w:top w:val="nil"/>
              <w:left w:val="single" w:sz="4" w:space="0" w:color="auto"/>
              <w:bottom w:val="nil"/>
              <w:right w:val="single" w:sz="4" w:space="0" w:color="auto"/>
            </w:tcBorders>
            <w:vAlign w:val="center"/>
            <w:hideMark/>
          </w:tcPr>
          <w:p w14:paraId="0BFA207F"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Current Assets</w:t>
            </w:r>
          </w:p>
        </w:tc>
        <w:tc>
          <w:tcPr>
            <w:tcW w:w="1091" w:type="dxa"/>
            <w:tcBorders>
              <w:top w:val="nil"/>
              <w:left w:val="single" w:sz="4" w:space="0" w:color="auto"/>
              <w:bottom w:val="nil"/>
              <w:right w:val="single" w:sz="4" w:space="0" w:color="auto"/>
            </w:tcBorders>
            <w:vAlign w:val="center"/>
            <w:hideMark/>
          </w:tcPr>
          <w:p w14:paraId="15BD60EF" w14:textId="77777777" w:rsidR="00851740" w:rsidRPr="009D13F0"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nil"/>
              <w:left w:val="single" w:sz="4" w:space="0" w:color="auto"/>
              <w:bottom w:val="nil"/>
              <w:right w:val="single" w:sz="4" w:space="0" w:color="auto"/>
            </w:tcBorders>
            <w:vAlign w:val="center"/>
            <w:hideMark/>
          </w:tcPr>
          <w:p w14:paraId="1D3C7E87" w14:textId="77777777"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11,231,419</w:t>
            </w:r>
          </w:p>
        </w:tc>
      </w:tr>
      <w:tr w:rsidR="00851740" w:rsidRPr="00C9207C" w14:paraId="3323ED9C"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7B03EC0F"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nil"/>
              <w:left w:val="single" w:sz="4" w:space="0" w:color="auto"/>
              <w:bottom w:val="nil"/>
              <w:right w:val="single" w:sz="4" w:space="0" w:color="auto"/>
            </w:tcBorders>
            <w:vAlign w:val="center"/>
            <w:hideMark/>
          </w:tcPr>
          <w:p w14:paraId="60840012"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nil"/>
              <w:left w:val="single" w:sz="4" w:space="0" w:color="auto"/>
              <w:bottom w:val="nil"/>
              <w:right w:val="single" w:sz="4" w:space="0" w:color="auto"/>
            </w:tcBorders>
            <w:vAlign w:val="center"/>
            <w:hideMark/>
          </w:tcPr>
          <w:p w14:paraId="43039FDC" w14:textId="77777777" w:rsidR="00851740" w:rsidRPr="009D13F0" w:rsidRDefault="00851740" w:rsidP="00851740">
            <w:pPr>
              <w:spacing w:after="0" w:line="240" w:lineRule="auto"/>
              <w:rPr>
                <w:rFonts w:ascii="Arial" w:eastAsia="Times New Roman" w:hAnsi="Arial" w:cs="Arial"/>
                <w:b/>
                <w:bCs/>
                <w:sz w:val="20"/>
                <w:szCs w:val="20"/>
                <w:lang w:eastAsia="en-GB"/>
              </w:rPr>
            </w:pPr>
          </w:p>
        </w:tc>
        <w:tc>
          <w:tcPr>
            <w:tcW w:w="1979" w:type="dxa"/>
            <w:tcBorders>
              <w:top w:val="nil"/>
              <w:left w:val="single" w:sz="4" w:space="0" w:color="auto"/>
              <w:bottom w:val="nil"/>
              <w:right w:val="single" w:sz="4" w:space="0" w:color="auto"/>
            </w:tcBorders>
            <w:vAlign w:val="center"/>
            <w:hideMark/>
          </w:tcPr>
          <w:p w14:paraId="7D189548"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6D9917BC" w14:textId="77777777" w:rsidTr="009A05BD">
        <w:trPr>
          <w:gridAfter w:val="1"/>
          <w:wAfter w:w="276" w:type="dxa"/>
          <w:trHeight w:val="260"/>
        </w:trPr>
        <w:tc>
          <w:tcPr>
            <w:tcW w:w="2303" w:type="dxa"/>
            <w:tcBorders>
              <w:top w:val="nil"/>
              <w:left w:val="single" w:sz="4" w:space="0" w:color="auto"/>
              <w:bottom w:val="nil"/>
              <w:right w:val="single" w:sz="4" w:space="0" w:color="auto"/>
            </w:tcBorders>
            <w:vAlign w:val="center"/>
            <w:hideMark/>
          </w:tcPr>
          <w:p w14:paraId="045F364B" w14:textId="77777777" w:rsidR="00851740" w:rsidRPr="00913FCE" w:rsidRDefault="00851740" w:rsidP="00851740">
            <w:pPr>
              <w:spacing w:after="0" w:line="240" w:lineRule="auto"/>
              <w:jc w:val="right"/>
              <w:rPr>
                <w:rFonts w:ascii="Arial" w:eastAsia="Times New Roman" w:hAnsi="Arial" w:cs="Arial"/>
                <w:color w:val="C00000"/>
                <w:sz w:val="20"/>
                <w:szCs w:val="20"/>
                <w:lang w:eastAsia="en-GB"/>
              </w:rPr>
            </w:pPr>
            <w:r w:rsidRPr="00913FCE">
              <w:rPr>
                <w:rFonts w:ascii="Arial" w:eastAsia="Times New Roman" w:hAnsi="Arial" w:cs="Arial"/>
                <w:color w:val="C00000"/>
                <w:sz w:val="20"/>
                <w:szCs w:val="20"/>
                <w:lang w:eastAsia="en-GB"/>
              </w:rPr>
              <w:t>(18,368,031)</w:t>
            </w:r>
          </w:p>
        </w:tc>
        <w:tc>
          <w:tcPr>
            <w:tcW w:w="3211" w:type="dxa"/>
            <w:tcBorders>
              <w:top w:val="nil"/>
              <w:left w:val="single" w:sz="4" w:space="0" w:color="auto"/>
              <w:bottom w:val="nil"/>
              <w:right w:val="single" w:sz="4" w:space="0" w:color="auto"/>
            </w:tcBorders>
            <w:vAlign w:val="center"/>
            <w:hideMark/>
          </w:tcPr>
          <w:p w14:paraId="53B28CB3"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Short-term Creditors</w:t>
            </w:r>
          </w:p>
        </w:tc>
        <w:tc>
          <w:tcPr>
            <w:tcW w:w="1091" w:type="dxa"/>
            <w:tcBorders>
              <w:top w:val="nil"/>
              <w:left w:val="single" w:sz="4" w:space="0" w:color="auto"/>
              <w:bottom w:val="nil"/>
              <w:right w:val="single" w:sz="4" w:space="0" w:color="auto"/>
            </w:tcBorders>
            <w:vAlign w:val="center"/>
            <w:hideMark/>
          </w:tcPr>
          <w:p w14:paraId="03CC8460" w14:textId="77777777" w:rsidR="00851740" w:rsidRPr="009D13F0" w:rsidRDefault="00851740" w:rsidP="00851740">
            <w:pPr>
              <w:spacing w:after="0" w:line="240" w:lineRule="auto"/>
              <w:jc w:val="center"/>
              <w:rPr>
                <w:rFonts w:ascii="Arial" w:eastAsia="Times New Roman" w:hAnsi="Arial" w:cs="Arial"/>
                <w:b/>
                <w:bCs/>
                <w:color w:val="000000"/>
                <w:sz w:val="20"/>
                <w:szCs w:val="20"/>
                <w:lang w:eastAsia="en-GB"/>
              </w:rPr>
            </w:pPr>
            <w:r w:rsidRPr="009D13F0">
              <w:rPr>
                <w:rFonts w:ascii="Arial" w:eastAsia="Times New Roman" w:hAnsi="Arial" w:cs="Arial"/>
                <w:b/>
                <w:bCs/>
                <w:color w:val="000000"/>
                <w:sz w:val="20"/>
                <w:szCs w:val="20"/>
                <w:lang w:eastAsia="en-GB"/>
              </w:rPr>
              <w:t>(9)</w:t>
            </w:r>
          </w:p>
        </w:tc>
        <w:tc>
          <w:tcPr>
            <w:tcW w:w="1979" w:type="dxa"/>
            <w:tcBorders>
              <w:top w:val="nil"/>
              <w:left w:val="single" w:sz="4" w:space="0" w:color="auto"/>
              <w:bottom w:val="nil"/>
              <w:right w:val="single" w:sz="4" w:space="0" w:color="auto"/>
            </w:tcBorders>
            <w:vAlign w:val="center"/>
            <w:hideMark/>
          </w:tcPr>
          <w:p w14:paraId="57FF0614" w14:textId="4D4531FA" w:rsidR="00851740" w:rsidRPr="00C9207C" w:rsidRDefault="00912333"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51740" w:rsidRPr="00C9207C" w14:paraId="2D47623C" w14:textId="77777777" w:rsidTr="009A05BD">
        <w:trPr>
          <w:gridAfter w:val="1"/>
          <w:wAfter w:w="276" w:type="dxa"/>
          <w:trHeight w:val="251"/>
        </w:trPr>
        <w:tc>
          <w:tcPr>
            <w:tcW w:w="2303" w:type="dxa"/>
            <w:tcBorders>
              <w:top w:val="single" w:sz="8" w:space="0" w:color="auto"/>
              <w:left w:val="single" w:sz="4" w:space="0" w:color="auto"/>
              <w:bottom w:val="nil"/>
              <w:right w:val="single" w:sz="4" w:space="0" w:color="auto"/>
            </w:tcBorders>
            <w:vAlign w:val="center"/>
            <w:hideMark/>
          </w:tcPr>
          <w:p w14:paraId="25308BC6" w14:textId="77777777" w:rsidR="00851740" w:rsidRPr="00913FCE" w:rsidRDefault="00851740" w:rsidP="00851740">
            <w:pPr>
              <w:spacing w:after="0" w:line="240" w:lineRule="auto"/>
              <w:jc w:val="right"/>
              <w:rPr>
                <w:rFonts w:ascii="Arial" w:eastAsia="Times New Roman" w:hAnsi="Arial" w:cs="Arial"/>
                <w:color w:val="C00000"/>
                <w:sz w:val="20"/>
                <w:szCs w:val="20"/>
                <w:lang w:eastAsia="en-GB"/>
              </w:rPr>
            </w:pPr>
            <w:r w:rsidRPr="00913FCE">
              <w:rPr>
                <w:rFonts w:ascii="Arial" w:eastAsia="Times New Roman" w:hAnsi="Arial" w:cs="Arial"/>
                <w:color w:val="C00000"/>
                <w:sz w:val="20"/>
                <w:szCs w:val="20"/>
                <w:lang w:eastAsia="en-GB"/>
              </w:rPr>
              <w:t>(18,368,031)</w:t>
            </w:r>
          </w:p>
        </w:tc>
        <w:tc>
          <w:tcPr>
            <w:tcW w:w="3211" w:type="dxa"/>
            <w:tcBorders>
              <w:top w:val="nil"/>
              <w:left w:val="single" w:sz="4" w:space="0" w:color="auto"/>
              <w:bottom w:val="nil"/>
              <w:right w:val="single" w:sz="4" w:space="0" w:color="auto"/>
            </w:tcBorders>
            <w:vAlign w:val="center"/>
            <w:hideMark/>
          </w:tcPr>
          <w:p w14:paraId="526EE3CD"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Current Liabilities</w:t>
            </w:r>
          </w:p>
        </w:tc>
        <w:tc>
          <w:tcPr>
            <w:tcW w:w="1091" w:type="dxa"/>
            <w:tcBorders>
              <w:top w:val="nil"/>
              <w:left w:val="single" w:sz="4" w:space="0" w:color="auto"/>
              <w:bottom w:val="nil"/>
              <w:right w:val="single" w:sz="4" w:space="0" w:color="auto"/>
            </w:tcBorders>
            <w:vAlign w:val="center"/>
            <w:hideMark/>
          </w:tcPr>
          <w:p w14:paraId="03260425" w14:textId="77777777" w:rsidR="00851740" w:rsidRPr="009D13F0"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single" w:sz="8" w:space="0" w:color="auto"/>
              <w:left w:val="single" w:sz="4" w:space="0" w:color="auto"/>
              <w:bottom w:val="nil"/>
              <w:right w:val="single" w:sz="4" w:space="0" w:color="auto"/>
            </w:tcBorders>
            <w:vAlign w:val="center"/>
            <w:hideMark/>
          </w:tcPr>
          <w:p w14:paraId="6479BCA8" w14:textId="7646843F" w:rsidR="00851740" w:rsidRPr="00C9207C" w:rsidRDefault="00226E57"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51740" w:rsidRPr="00C9207C" w14:paraId="08974B8F"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2690632D"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nil"/>
              <w:left w:val="single" w:sz="4" w:space="0" w:color="auto"/>
              <w:bottom w:val="nil"/>
              <w:right w:val="single" w:sz="4" w:space="0" w:color="auto"/>
            </w:tcBorders>
            <w:vAlign w:val="center"/>
            <w:hideMark/>
          </w:tcPr>
          <w:p w14:paraId="0C3984DA"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nil"/>
              <w:left w:val="single" w:sz="4" w:space="0" w:color="auto"/>
              <w:bottom w:val="nil"/>
              <w:right w:val="single" w:sz="4" w:space="0" w:color="auto"/>
            </w:tcBorders>
            <w:vAlign w:val="center"/>
            <w:hideMark/>
          </w:tcPr>
          <w:p w14:paraId="15AA47F6" w14:textId="77777777" w:rsidR="00851740" w:rsidRPr="009D13F0" w:rsidRDefault="00851740" w:rsidP="00851740">
            <w:pPr>
              <w:spacing w:after="0" w:line="240" w:lineRule="auto"/>
              <w:rPr>
                <w:rFonts w:ascii="Arial" w:eastAsia="Times New Roman" w:hAnsi="Arial" w:cs="Arial"/>
                <w:b/>
                <w:bCs/>
                <w:sz w:val="20"/>
                <w:szCs w:val="20"/>
                <w:lang w:eastAsia="en-GB"/>
              </w:rPr>
            </w:pPr>
          </w:p>
        </w:tc>
        <w:tc>
          <w:tcPr>
            <w:tcW w:w="1979" w:type="dxa"/>
            <w:tcBorders>
              <w:top w:val="nil"/>
              <w:left w:val="single" w:sz="4" w:space="0" w:color="auto"/>
              <w:bottom w:val="nil"/>
              <w:right w:val="single" w:sz="4" w:space="0" w:color="auto"/>
            </w:tcBorders>
            <w:vAlign w:val="center"/>
            <w:hideMark/>
          </w:tcPr>
          <w:p w14:paraId="409754A6"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24AD5176" w14:textId="77777777" w:rsidTr="009A05BD">
        <w:trPr>
          <w:gridAfter w:val="1"/>
          <w:wAfter w:w="276" w:type="dxa"/>
          <w:trHeight w:val="260"/>
        </w:trPr>
        <w:tc>
          <w:tcPr>
            <w:tcW w:w="2303" w:type="dxa"/>
            <w:tcBorders>
              <w:top w:val="nil"/>
              <w:left w:val="single" w:sz="4" w:space="0" w:color="auto"/>
              <w:bottom w:val="nil"/>
              <w:right w:val="single" w:sz="4" w:space="0" w:color="auto"/>
            </w:tcBorders>
            <w:vAlign w:val="center"/>
            <w:hideMark/>
          </w:tcPr>
          <w:p w14:paraId="2F3A6BF7" w14:textId="786F5A03" w:rsidR="00851740" w:rsidRPr="00C9207C" w:rsidRDefault="00912333"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3211" w:type="dxa"/>
            <w:tcBorders>
              <w:top w:val="nil"/>
              <w:left w:val="single" w:sz="4" w:space="0" w:color="auto"/>
              <w:bottom w:val="nil"/>
              <w:right w:val="single" w:sz="4" w:space="0" w:color="auto"/>
            </w:tcBorders>
            <w:vAlign w:val="center"/>
            <w:hideMark/>
          </w:tcPr>
          <w:p w14:paraId="6F4CB35A"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Provisions</w:t>
            </w:r>
          </w:p>
        </w:tc>
        <w:tc>
          <w:tcPr>
            <w:tcW w:w="1091" w:type="dxa"/>
            <w:tcBorders>
              <w:top w:val="nil"/>
              <w:left w:val="single" w:sz="4" w:space="0" w:color="auto"/>
              <w:bottom w:val="nil"/>
              <w:right w:val="single" w:sz="4" w:space="0" w:color="auto"/>
            </w:tcBorders>
            <w:vAlign w:val="center"/>
            <w:hideMark/>
          </w:tcPr>
          <w:p w14:paraId="6C896E9E" w14:textId="77777777" w:rsidR="00851740" w:rsidRPr="009D13F0"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nil"/>
              <w:left w:val="single" w:sz="4" w:space="0" w:color="auto"/>
              <w:bottom w:val="nil"/>
              <w:right w:val="single" w:sz="4" w:space="0" w:color="auto"/>
            </w:tcBorders>
            <w:vAlign w:val="center"/>
            <w:hideMark/>
          </w:tcPr>
          <w:p w14:paraId="6F658507" w14:textId="3116A65C" w:rsidR="00851740" w:rsidRPr="00C9207C" w:rsidRDefault="00226E57"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51740" w:rsidRPr="00C9207C" w14:paraId="7EA3FD8A" w14:textId="77777777" w:rsidTr="009A05BD">
        <w:trPr>
          <w:gridAfter w:val="1"/>
          <w:wAfter w:w="276" w:type="dxa"/>
          <w:trHeight w:val="251"/>
        </w:trPr>
        <w:tc>
          <w:tcPr>
            <w:tcW w:w="2303" w:type="dxa"/>
            <w:tcBorders>
              <w:top w:val="single" w:sz="8" w:space="0" w:color="auto"/>
              <w:left w:val="single" w:sz="4" w:space="0" w:color="auto"/>
              <w:bottom w:val="nil"/>
              <w:right w:val="single" w:sz="4" w:space="0" w:color="auto"/>
            </w:tcBorders>
            <w:vAlign w:val="center"/>
            <w:hideMark/>
          </w:tcPr>
          <w:p w14:paraId="281ACF58" w14:textId="511F1200" w:rsidR="00851740" w:rsidRPr="00C9207C" w:rsidRDefault="00226E57"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3211" w:type="dxa"/>
            <w:tcBorders>
              <w:top w:val="nil"/>
              <w:left w:val="single" w:sz="4" w:space="0" w:color="auto"/>
              <w:bottom w:val="nil"/>
              <w:right w:val="single" w:sz="4" w:space="0" w:color="auto"/>
            </w:tcBorders>
            <w:vAlign w:val="center"/>
            <w:hideMark/>
          </w:tcPr>
          <w:p w14:paraId="279134A4"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Long-term Liabilities</w:t>
            </w:r>
          </w:p>
        </w:tc>
        <w:tc>
          <w:tcPr>
            <w:tcW w:w="1091" w:type="dxa"/>
            <w:tcBorders>
              <w:top w:val="nil"/>
              <w:left w:val="single" w:sz="4" w:space="0" w:color="auto"/>
              <w:bottom w:val="nil"/>
              <w:right w:val="single" w:sz="4" w:space="0" w:color="auto"/>
            </w:tcBorders>
            <w:vAlign w:val="center"/>
            <w:hideMark/>
          </w:tcPr>
          <w:p w14:paraId="089D50F9" w14:textId="77777777" w:rsidR="00851740" w:rsidRPr="009D13F0"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single" w:sz="8" w:space="0" w:color="auto"/>
              <w:left w:val="single" w:sz="4" w:space="0" w:color="auto"/>
              <w:bottom w:val="nil"/>
              <w:right w:val="single" w:sz="4" w:space="0" w:color="auto"/>
            </w:tcBorders>
            <w:vAlign w:val="center"/>
            <w:hideMark/>
          </w:tcPr>
          <w:p w14:paraId="16380852" w14:textId="04DC4E0F" w:rsidR="00851740" w:rsidRPr="00C9207C" w:rsidRDefault="00226E57"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51740" w:rsidRPr="00C9207C" w14:paraId="25F8DCF1" w14:textId="77777777" w:rsidTr="009A05BD">
        <w:trPr>
          <w:gridAfter w:val="1"/>
          <w:wAfter w:w="276" w:type="dxa"/>
          <w:trHeight w:val="260"/>
        </w:trPr>
        <w:tc>
          <w:tcPr>
            <w:tcW w:w="2303" w:type="dxa"/>
            <w:tcBorders>
              <w:top w:val="nil"/>
              <w:left w:val="single" w:sz="4" w:space="0" w:color="auto"/>
              <w:bottom w:val="single" w:sz="8" w:space="0" w:color="auto"/>
              <w:right w:val="single" w:sz="4" w:space="0" w:color="auto"/>
            </w:tcBorders>
            <w:vAlign w:val="center"/>
            <w:hideMark/>
          </w:tcPr>
          <w:p w14:paraId="74428978"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nil"/>
              <w:left w:val="single" w:sz="4" w:space="0" w:color="auto"/>
              <w:bottom w:val="single" w:sz="4" w:space="0" w:color="auto"/>
              <w:right w:val="single" w:sz="4" w:space="0" w:color="auto"/>
            </w:tcBorders>
            <w:vAlign w:val="center"/>
            <w:hideMark/>
          </w:tcPr>
          <w:p w14:paraId="37A0C7FD"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nil"/>
              <w:left w:val="single" w:sz="4" w:space="0" w:color="auto"/>
              <w:bottom w:val="single" w:sz="4" w:space="0" w:color="auto"/>
              <w:right w:val="single" w:sz="4" w:space="0" w:color="auto"/>
            </w:tcBorders>
            <w:vAlign w:val="center"/>
            <w:hideMark/>
          </w:tcPr>
          <w:p w14:paraId="2E251771" w14:textId="77777777" w:rsidR="00851740" w:rsidRPr="009D13F0" w:rsidRDefault="00851740" w:rsidP="00851740">
            <w:pPr>
              <w:spacing w:after="0" w:line="240" w:lineRule="auto"/>
              <w:rPr>
                <w:rFonts w:ascii="Arial" w:eastAsia="Times New Roman" w:hAnsi="Arial" w:cs="Arial"/>
                <w:b/>
                <w:bCs/>
                <w:sz w:val="20"/>
                <w:szCs w:val="20"/>
                <w:lang w:eastAsia="en-GB"/>
              </w:rPr>
            </w:pPr>
          </w:p>
        </w:tc>
        <w:tc>
          <w:tcPr>
            <w:tcW w:w="1979" w:type="dxa"/>
            <w:tcBorders>
              <w:top w:val="nil"/>
              <w:left w:val="single" w:sz="4" w:space="0" w:color="auto"/>
              <w:bottom w:val="single" w:sz="8" w:space="0" w:color="auto"/>
              <w:right w:val="single" w:sz="4" w:space="0" w:color="auto"/>
            </w:tcBorders>
            <w:vAlign w:val="center"/>
            <w:hideMark/>
          </w:tcPr>
          <w:p w14:paraId="60011E6B"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35A7BDFA" w14:textId="77777777" w:rsidTr="009A05BD">
        <w:trPr>
          <w:gridAfter w:val="1"/>
          <w:wAfter w:w="276" w:type="dxa"/>
          <w:trHeight w:val="260"/>
        </w:trPr>
        <w:tc>
          <w:tcPr>
            <w:tcW w:w="2303" w:type="dxa"/>
            <w:tcBorders>
              <w:top w:val="nil"/>
              <w:left w:val="single" w:sz="4" w:space="0" w:color="auto"/>
              <w:bottom w:val="single" w:sz="8" w:space="0" w:color="auto"/>
              <w:right w:val="single" w:sz="4" w:space="0" w:color="auto"/>
            </w:tcBorders>
            <w:vAlign w:val="center"/>
            <w:hideMark/>
          </w:tcPr>
          <w:p w14:paraId="5740DCDF" w14:textId="67F652AE" w:rsidR="00851740" w:rsidRPr="00C9207C" w:rsidRDefault="00226E57"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3211" w:type="dxa"/>
            <w:tcBorders>
              <w:top w:val="single" w:sz="4" w:space="0" w:color="auto"/>
              <w:left w:val="single" w:sz="4" w:space="0" w:color="auto"/>
              <w:bottom w:val="single" w:sz="4" w:space="0" w:color="auto"/>
              <w:right w:val="single" w:sz="4" w:space="0" w:color="auto"/>
            </w:tcBorders>
            <w:vAlign w:val="center"/>
            <w:hideMark/>
          </w:tcPr>
          <w:p w14:paraId="6E663040"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Assets</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155EDE6" w14:textId="77777777" w:rsidR="00851740" w:rsidRPr="009D13F0" w:rsidRDefault="00851740" w:rsidP="00851740">
            <w:pPr>
              <w:spacing w:after="0" w:line="240" w:lineRule="auto"/>
              <w:rPr>
                <w:rFonts w:ascii="Arial" w:eastAsia="Times New Roman" w:hAnsi="Arial" w:cs="Arial"/>
                <w:b/>
                <w:bCs/>
                <w:color w:val="000000"/>
                <w:sz w:val="20"/>
                <w:szCs w:val="20"/>
                <w:lang w:eastAsia="en-GB"/>
              </w:rPr>
            </w:pPr>
          </w:p>
        </w:tc>
        <w:tc>
          <w:tcPr>
            <w:tcW w:w="1979" w:type="dxa"/>
            <w:tcBorders>
              <w:top w:val="nil"/>
              <w:left w:val="single" w:sz="4" w:space="0" w:color="auto"/>
              <w:bottom w:val="single" w:sz="8" w:space="0" w:color="auto"/>
              <w:right w:val="single" w:sz="4" w:space="0" w:color="auto"/>
            </w:tcBorders>
            <w:vAlign w:val="center"/>
            <w:hideMark/>
          </w:tcPr>
          <w:p w14:paraId="38948B10" w14:textId="77777777"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11,231,419</w:t>
            </w:r>
          </w:p>
        </w:tc>
      </w:tr>
      <w:tr w:rsidR="00851740" w:rsidRPr="00C9207C" w14:paraId="2A969F53"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7F2FFF80"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single" w:sz="4" w:space="0" w:color="auto"/>
              <w:left w:val="single" w:sz="4" w:space="0" w:color="auto"/>
              <w:bottom w:val="nil"/>
              <w:right w:val="single" w:sz="4" w:space="0" w:color="auto"/>
            </w:tcBorders>
            <w:vAlign w:val="center"/>
            <w:hideMark/>
          </w:tcPr>
          <w:p w14:paraId="6F69CFFA"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single" w:sz="4" w:space="0" w:color="auto"/>
              <w:left w:val="single" w:sz="4" w:space="0" w:color="auto"/>
              <w:bottom w:val="nil"/>
              <w:right w:val="single" w:sz="4" w:space="0" w:color="auto"/>
            </w:tcBorders>
            <w:vAlign w:val="center"/>
            <w:hideMark/>
          </w:tcPr>
          <w:p w14:paraId="495C9B09" w14:textId="77777777" w:rsidR="00851740" w:rsidRPr="009D13F0" w:rsidRDefault="00851740" w:rsidP="00851740">
            <w:pPr>
              <w:spacing w:after="0" w:line="240" w:lineRule="auto"/>
              <w:rPr>
                <w:rFonts w:ascii="Arial" w:eastAsia="Times New Roman" w:hAnsi="Arial" w:cs="Arial"/>
                <w:b/>
                <w:bCs/>
                <w:sz w:val="20"/>
                <w:szCs w:val="20"/>
                <w:lang w:eastAsia="en-GB"/>
              </w:rPr>
            </w:pPr>
          </w:p>
        </w:tc>
        <w:tc>
          <w:tcPr>
            <w:tcW w:w="1979" w:type="dxa"/>
            <w:tcBorders>
              <w:top w:val="nil"/>
              <w:left w:val="single" w:sz="4" w:space="0" w:color="auto"/>
              <w:bottom w:val="nil"/>
              <w:right w:val="single" w:sz="4" w:space="0" w:color="auto"/>
            </w:tcBorders>
            <w:vAlign w:val="center"/>
            <w:hideMark/>
          </w:tcPr>
          <w:p w14:paraId="00B493CC"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383FCD60" w14:textId="77777777" w:rsidTr="009A05BD">
        <w:trPr>
          <w:gridAfter w:val="1"/>
          <w:wAfter w:w="276" w:type="dxa"/>
          <w:trHeight w:val="251"/>
        </w:trPr>
        <w:tc>
          <w:tcPr>
            <w:tcW w:w="2303" w:type="dxa"/>
            <w:tcBorders>
              <w:top w:val="nil"/>
              <w:left w:val="single" w:sz="4" w:space="0" w:color="auto"/>
              <w:bottom w:val="nil"/>
              <w:right w:val="single" w:sz="4" w:space="0" w:color="auto"/>
            </w:tcBorders>
            <w:vAlign w:val="center"/>
            <w:hideMark/>
          </w:tcPr>
          <w:p w14:paraId="6F6AFF0E"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c>
          <w:tcPr>
            <w:tcW w:w="3211" w:type="dxa"/>
            <w:tcBorders>
              <w:top w:val="nil"/>
              <w:left w:val="single" w:sz="4" w:space="0" w:color="auto"/>
              <w:bottom w:val="nil"/>
              <w:right w:val="single" w:sz="4" w:space="0" w:color="auto"/>
            </w:tcBorders>
            <w:vAlign w:val="center"/>
            <w:hideMark/>
          </w:tcPr>
          <w:p w14:paraId="76C7A180"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c>
          <w:tcPr>
            <w:tcW w:w="1091" w:type="dxa"/>
            <w:tcBorders>
              <w:top w:val="nil"/>
              <w:left w:val="single" w:sz="4" w:space="0" w:color="auto"/>
              <w:bottom w:val="nil"/>
              <w:right w:val="single" w:sz="4" w:space="0" w:color="auto"/>
            </w:tcBorders>
            <w:vAlign w:val="center"/>
            <w:hideMark/>
          </w:tcPr>
          <w:p w14:paraId="638B92D3" w14:textId="77777777" w:rsidR="00851740" w:rsidRPr="009D13F0" w:rsidRDefault="00851740" w:rsidP="00851740">
            <w:pPr>
              <w:spacing w:after="0" w:line="240" w:lineRule="auto"/>
              <w:rPr>
                <w:rFonts w:ascii="Arial" w:eastAsia="Times New Roman" w:hAnsi="Arial" w:cs="Arial"/>
                <w:b/>
                <w:bCs/>
                <w:sz w:val="20"/>
                <w:szCs w:val="20"/>
                <w:lang w:eastAsia="en-GB"/>
              </w:rPr>
            </w:pPr>
          </w:p>
        </w:tc>
        <w:tc>
          <w:tcPr>
            <w:tcW w:w="1979" w:type="dxa"/>
            <w:tcBorders>
              <w:top w:val="nil"/>
              <w:left w:val="single" w:sz="4" w:space="0" w:color="auto"/>
              <w:bottom w:val="nil"/>
              <w:right w:val="single" w:sz="4" w:space="0" w:color="auto"/>
            </w:tcBorders>
            <w:vAlign w:val="center"/>
            <w:hideMark/>
          </w:tcPr>
          <w:p w14:paraId="7C8C9512"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w:t>
            </w:r>
          </w:p>
        </w:tc>
      </w:tr>
      <w:tr w:rsidR="00851740" w:rsidRPr="00C9207C" w14:paraId="7FD673F6" w14:textId="77777777" w:rsidTr="009A05BD">
        <w:trPr>
          <w:gridAfter w:val="1"/>
          <w:wAfter w:w="276" w:type="dxa"/>
          <w:trHeight w:val="482"/>
        </w:trPr>
        <w:tc>
          <w:tcPr>
            <w:tcW w:w="2303" w:type="dxa"/>
            <w:tcBorders>
              <w:top w:val="nil"/>
              <w:left w:val="single" w:sz="4" w:space="0" w:color="auto"/>
              <w:bottom w:val="nil"/>
              <w:right w:val="single" w:sz="4" w:space="0" w:color="auto"/>
            </w:tcBorders>
            <w:vAlign w:val="center"/>
            <w:hideMark/>
          </w:tcPr>
          <w:p w14:paraId="02B69CD8" w14:textId="587B477B" w:rsidR="00851740" w:rsidRPr="00C9207C" w:rsidRDefault="00587909"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3211" w:type="dxa"/>
            <w:tcBorders>
              <w:top w:val="nil"/>
              <w:left w:val="single" w:sz="4" w:space="0" w:color="auto"/>
              <w:bottom w:val="nil"/>
              <w:right w:val="single" w:sz="4" w:space="0" w:color="auto"/>
            </w:tcBorders>
            <w:vAlign w:val="center"/>
            <w:hideMark/>
          </w:tcPr>
          <w:p w14:paraId="32ABAA17"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Usable Reserve: General Fund</w:t>
            </w:r>
          </w:p>
        </w:tc>
        <w:tc>
          <w:tcPr>
            <w:tcW w:w="1091" w:type="dxa"/>
            <w:tcBorders>
              <w:top w:val="nil"/>
              <w:left w:val="single" w:sz="4" w:space="0" w:color="auto"/>
              <w:bottom w:val="nil"/>
              <w:right w:val="single" w:sz="4" w:space="0" w:color="auto"/>
            </w:tcBorders>
            <w:vAlign w:val="center"/>
            <w:hideMark/>
          </w:tcPr>
          <w:p w14:paraId="7EA900DB" w14:textId="77777777" w:rsidR="00851740" w:rsidRPr="009D13F0" w:rsidRDefault="00851740" w:rsidP="009A05BD">
            <w:pPr>
              <w:spacing w:after="0" w:line="240" w:lineRule="auto"/>
              <w:jc w:val="center"/>
              <w:rPr>
                <w:rFonts w:ascii="Arial" w:eastAsia="Times New Roman" w:hAnsi="Arial" w:cs="Arial"/>
                <w:b/>
                <w:bCs/>
                <w:color w:val="000000"/>
                <w:sz w:val="20"/>
                <w:szCs w:val="20"/>
                <w:lang w:eastAsia="en-GB"/>
              </w:rPr>
            </w:pPr>
            <w:r w:rsidRPr="009D13F0">
              <w:rPr>
                <w:rFonts w:ascii="Arial" w:eastAsia="Times New Roman" w:hAnsi="Arial" w:cs="Arial"/>
                <w:b/>
                <w:bCs/>
                <w:color w:val="000000"/>
                <w:sz w:val="20"/>
                <w:szCs w:val="20"/>
                <w:lang w:eastAsia="en-GB"/>
              </w:rPr>
              <w:t>(10)</w:t>
            </w:r>
          </w:p>
        </w:tc>
        <w:tc>
          <w:tcPr>
            <w:tcW w:w="1979" w:type="dxa"/>
            <w:tcBorders>
              <w:top w:val="nil"/>
              <w:left w:val="single" w:sz="4" w:space="0" w:color="auto"/>
              <w:bottom w:val="nil"/>
              <w:right w:val="single" w:sz="4" w:space="0" w:color="auto"/>
            </w:tcBorders>
            <w:vAlign w:val="center"/>
            <w:hideMark/>
          </w:tcPr>
          <w:p w14:paraId="3492D3DC" w14:textId="77777777" w:rsidR="00851740" w:rsidRPr="00913FCE" w:rsidRDefault="00851740" w:rsidP="00851740">
            <w:pPr>
              <w:spacing w:after="0" w:line="240" w:lineRule="auto"/>
              <w:jc w:val="right"/>
              <w:rPr>
                <w:rFonts w:ascii="Arial" w:eastAsia="Times New Roman" w:hAnsi="Arial" w:cs="Arial"/>
                <w:color w:val="C00000"/>
                <w:sz w:val="20"/>
                <w:szCs w:val="20"/>
                <w:lang w:eastAsia="en-GB"/>
              </w:rPr>
            </w:pPr>
            <w:r w:rsidRPr="00913FCE">
              <w:rPr>
                <w:rFonts w:ascii="Arial" w:eastAsia="Times New Roman" w:hAnsi="Arial" w:cs="Arial"/>
                <w:color w:val="C00000"/>
                <w:sz w:val="20"/>
                <w:szCs w:val="20"/>
                <w:lang w:eastAsia="en-GB"/>
              </w:rPr>
              <w:t>(11,231,419)</w:t>
            </w:r>
          </w:p>
        </w:tc>
      </w:tr>
      <w:tr w:rsidR="00851740" w:rsidRPr="00C9207C" w14:paraId="3C2ADBED" w14:textId="77777777" w:rsidTr="009A05BD">
        <w:trPr>
          <w:gridAfter w:val="1"/>
          <w:wAfter w:w="276" w:type="dxa"/>
          <w:trHeight w:val="269"/>
        </w:trPr>
        <w:tc>
          <w:tcPr>
            <w:tcW w:w="2303" w:type="dxa"/>
            <w:vMerge w:val="restart"/>
            <w:tcBorders>
              <w:top w:val="nil"/>
              <w:left w:val="single" w:sz="4" w:space="0" w:color="auto"/>
              <w:bottom w:val="single" w:sz="8" w:space="0" w:color="000000"/>
              <w:right w:val="single" w:sz="4" w:space="0" w:color="auto"/>
            </w:tcBorders>
            <w:vAlign w:val="center"/>
            <w:hideMark/>
          </w:tcPr>
          <w:p w14:paraId="612BAAC9" w14:textId="11C531F0" w:rsidR="00851740" w:rsidRPr="00C9207C" w:rsidRDefault="00587909" w:rsidP="00851740">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3211" w:type="dxa"/>
            <w:vMerge w:val="restart"/>
            <w:tcBorders>
              <w:top w:val="nil"/>
              <w:left w:val="single" w:sz="4" w:space="0" w:color="auto"/>
              <w:bottom w:val="nil"/>
              <w:right w:val="single" w:sz="4" w:space="0" w:color="auto"/>
            </w:tcBorders>
            <w:vAlign w:val="center"/>
            <w:hideMark/>
          </w:tcPr>
          <w:p w14:paraId="6343DC20" w14:textId="77777777" w:rsidR="00851740" w:rsidRPr="00C9207C" w:rsidRDefault="00851740" w:rsidP="00851740">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Unusable Reserve:</w:t>
            </w:r>
          </w:p>
        </w:tc>
        <w:tc>
          <w:tcPr>
            <w:tcW w:w="1091" w:type="dxa"/>
            <w:vMerge w:val="restart"/>
            <w:tcBorders>
              <w:top w:val="nil"/>
              <w:left w:val="single" w:sz="4" w:space="0" w:color="auto"/>
              <w:bottom w:val="nil"/>
              <w:right w:val="single" w:sz="4" w:space="0" w:color="auto"/>
            </w:tcBorders>
            <w:vAlign w:val="center"/>
            <w:hideMark/>
          </w:tcPr>
          <w:p w14:paraId="3D60A22C" w14:textId="77777777" w:rsidR="00851740" w:rsidRPr="00C9207C" w:rsidRDefault="00851740" w:rsidP="00851740">
            <w:pPr>
              <w:spacing w:after="0" w:line="240" w:lineRule="auto"/>
              <w:rPr>
                <w:rFonts w:ascii="Arial" w:eastAsia="Times New Roman" w:hAnsi="Arial" w:cs="Arial"/>
                <w:color w:val="000000"/>
                <w:sz w:val="20"/>
                <w:szCs w:val="20"/>
                <w:lang w:eastAsia="en-GB"/>
              </w:rPr>
            </w:pPr>
          </w:p>
        </w:tc>
        <w:tc>
          <w:tcPr>
            <w:tcW w:w="1979" w:type="dxa"/>
            <w:vMerge w:val="restart"/>
            <w:tcBorders>
              <w:top w:val="nil"/>
              <w:left w:val="single" w:sz="4" w:space="0" w:color="auto"/>
              <w:bottom w:val="single" w:sz="8" w:space="0" w:color="000000"/>
              <w:right w:val="single" w:sz="4" w:space="0" w:color="auto"/>
            </w:tcBorders>
            <w:vAlign w:val="center"/>
            <w:hideMark/>
          </w:tcPr>
          <w:p w14:paraId="3F3A5710" w14:textId="074F221E" w:rsidR="00851740" w:rsidRPr="00913FCE" w:rsidRDefault="00587909" w:rsidP="00851740">
            <w:pPr>
              <w:spacing w:after="0" w:line="240" w:lineRule="auto"/>
              <w:jc w:val="right"/>
              <w:rPr>
                <w:rFonts w:ascii="Arial" w:eastAsia="Times New Roman" w:hAnsi="Arial" w:cs="Arial"/>
                <w:color w:val="C00000"/>
                <w:sz w:val="20"/>
                <w:szCs w:val="20"/>
                <w:lang w:eastAsia="en-GB"/>
              </w:rPr>
            </w:pPr>
            <w:r w:rsidRPr="00913FCE">
              <w:rPr>
                <w:rFonts w:ascii="Arial" w:eastAsia="Times New Roman" w:hAnsi="Arial" w:cs="Arial"/>
                <w:color w:val="C00000"/>
                <w:sz w:val="20"/>
                <w:szCs w:val="20"/>
                <w:lang w:eastAsia="en-GB"/>
              </w:rPr>
              <w:t>-</w:t>
            </w:r>
          </w:p>
        </w:tc>
      </w:tr>
      <w:tr w:rsidR="00851740" w:rsidRPr="00C9207C" w14:paraId="25143F13" w14:textId="77777777" w:rsidTr="009A05BD">
        <w:trPr>
          <w:trHeight w:val="260"/>
        </w:trPr>
        <w:tc>
          <w:tcPr>
            <w:tcW w:w="2303" w:type="dxa"/>
            <w:vMerge/>
            <w:tcBorders>
              <w:top w:val="nil"/>
              <w:left w:val="single" w:sz="4" w:space="0" w:color="auto"/>
              <w:bottom w:val="single" w:sz="8" w:space="0" w:color="000000"/>
              <w:right w:val="single" w:sz="4" w:space="0" w:color="auto"/>
            </w:tcBorders>
            <w:vAlign w:val="center"/>
            <w:hideMark/>
          </w:tcPr>
          <w:p w14:paraId="5343E824" w14:textId="77777777" w:rsidR="00851740" w:rsidRPr="00C9207C" w:rsidRDefault="00851740" w:rsidP="00851740">
            <w:pPr>
              <w:spacing w:after="0" w:line="240" w:lineRule="auto"/>
              <w:rPr>
                <w:rFonts w:ascii="Arial" w:eastAsia="Times New Roman" w:hAnsi="Arial" w:cs="Arial"/>
                <w:color w:val="000000"/>
                <w:sz w:val="20"/>
                <w:szCs w:val="20"/>
                <w:lang w:eastAsia="en-GB"/>
              </w:rPr>
            </w:pPr>
          </w:p>
        </w:tc>
        <w:tc>
          <w:tcPr>
            <w:tcW w:w="3211" w:type="dxa"/>
            <w:vMerge/>
            <w:tcBorders>
              <w:top w:val="nil"/>
              <w:left w:val="single" w:sz="4" w:space="0" w:color="auto"/>
              <w:bottom w:val="single" w:sz="4" w:space="0" w:color="auto"/>
              <w:right w:val="single" w:sz="4" w:space="0" w:color="auto"/>
            </w:tcBorders>
            <w:vAlign w:val="center"/>
            <w:hideMark/>
          </w:tcPr>
          <w:p w14:paraId="6F2D8D22" w14:textId="77777777" w:rsidR="00851740" w:rsidRPr="00C9207C" w:rsidRDefault="00851740" w:rsidP="00851740">
            <w:pPr>
              <w:spacing w:after="0" w:line="240" w:lineRule="auto"/>
              <w:rPr>
                <w:rFonts w:ascii="Arial" w:eastAsia="Times New Roman" w:hAnsi="Arial" w:cs="Arial"/>
                <w:color w:val="000000"/>
                <w:sz w:val="20"/>
                <w:szCs w:val="20"/>
                <w:lang w:eastAsia="en-GB"/>
              </w:rPr>
            </w:pPr>
          </w:p>
        </w:tc>
        <w:tc>
          <w:tcPr>
            <w:tcW w:w="1091" w:type="dxa"/>
            <w:vMerge/>
            <w:tcBorders>
              <w:top w:val="nil"/>
              <w:left w:val="single" w:sz="4" w:space="0" w:color="auto"/>
              <w:bottom w:val="single" w:sz="4" w:space="0" w:color="auto"/>
              <w:right w:val="single" w:sz="4" w:space="0" w:color="auto"/>
            </w:tcBorders>
            <w:vAlign w:val="center"/>
            <w:hideMark/>
          </w:tcPr>
          <w:p w14:paraId="418C4C4F" w14:textId="77777777" w:rsidR="00851740" w:rsidRPr="00C9207C" w:rsidRDefault="00851740" w:rsidP="00851740">
            <w:pPr>
              <w:spacing w:after="0" w:line="240" w:lineRule="auto"/>
              <w:rPr>
                <w:rFonts w:ascii="Arial" w:eastAsia="Times New Roman" w:hAnsi="Arial" w:cs="Arial"/>
                <w:color w:val="000000"/>
                <w:sz w:val="20"/>
                <w:szCs w:val="20"/>
                <w:lang w:eastAsia="en-GB"/>
              </w:rPr>
            </w:pPr>
          </w:p>
        </w:tc>
        <w:tc>
          <w:tcPr>
            <w:tcW w:w="1979" w:type="dxa"/>
            <w:vMerge/>
            <w:tcBorders>
              <w:top w:val="nil"/>
              <w:left w:val="single" w:sz="4" w:space="0" w:color="auto"/>
              <w:bottom w:val="single" w:sz="8" w:space="0" w:color="000000"/>
              <w:right w:val="single" w:sz="4" w:space="0" w:color="auto"/>
            </w:tcBorders>
            <w:vAlign w:val="center"/>
            <w:hideMark/>
          </w:tcPr>
          <w:p w14:paraId="3E584F63" w14:textId="77777777" w:rsidR="00851740" w:rsidRPr="00913FCE" w:rsidRDefault="00851740" w:rsidP="00851740">
            <w:pPr>
              <w:spacing w:after="0" w:line="240" w:lineRule="auto"/>
              <w:rPr>
                <w:rFonts w:ascii="Arial" w:eastAsia="Times New Roman" w:hAnsi="Arial" w:cs="Arial"/>
                <w:color w:val="C00000"/>
                <w:sz w:val="20"/>
                <w:szCs w:val="20"/>
                <w:lang w:eastAsia="en-GB"/>
              </w:rPr>
            </w:pPr>
          </w:p>
        </w:tc>
        <w:tc>
          <w:tcPr>
            <w:tcW w:w="276" w:type="dxa"/>
            <w:tcBorders>
              <w:top w:val="nil"/>
              <w:left w:val="nil"/>
              <w:bottom w:val="nil"/>
              <w:right w:val="nil"/>
            </w:tcBorders>
            <w:noWrap/>
            <w:vAlign w:val="center"/>
            <w:hideMark/>
          </w:tcPr>
          <w:p w14:paraId="5CEA56E4" w14:textId="77777777" w:rsidR="00851740" w:rsidRPr="00C9207C" w:rsidRDefault="00851740" w:rsidP="00851740">
            <w:pPr>
              <w:spacing w:after="0" w:line="240" w:lineRule="auto"/>
              <w:jc w:val="right"/>
              <w:rPr>
                <w:rFonts w:ascii="Arial" w:eastAsia="Times New Roman" w:hAnsi="Arial" w:cs="Arial"/>
                <w:color w:val="000000"/>
                <w:sz w:val="20"/>
                <w:szCs w:val="20"/>
                <w:lang w:eastAsia="en-GB"/>
              </w:rPr>
            </w:pPr>
          </w:p>
        </w:tc>
      </w:tr>
      <w:tr w:rsidR="00851740" w:rsidRPr="00C9207C" w14:paraId="13EB7389" w14:textId="77777777" w:rsidTr="009A05BD">
        <w:trPr>
          <w:trHeight w:val="251"/>
        </w:trPr>
        <w:tc>
          <w:tcPr>
            <w:tcW w:w="2303" w:type="dxa"/>
            <w:tcBorders>
              <w:top w:val="nil"/>
              <w:left w:val="single" w:sz="4" w:space="0" w:color="auto"/>
              <w:bottom w:val="single" w:sz="4" w:space="0" w:color="auto"/>
              <w:right w:val="single" w:sz="4" w:space="0" w:color="auto"/>
            </w:tcBorders>
            <w:vAlign w:val="center"/>
            <w:hideMark/>
          </w:tcPr>
          <w:p w14:paraId="14C47201" w14:textId="0C891D90" w:rsidR="00851740" w:rsidRPr="00C9207C" w:rsidRDefault="00E67B8B"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3211" w:type="dxa"/>
            <w:tcBorders>
              <w:top w:val="single" w:sz="4" w:space="0" w:color="auto"/>
              <w:left w:val="single" w:sz="4" w:space="0" w:color="auto"/>
              <w:bottom w:val="single" w:sz="4" w:space="0" w:color="auto"/>
              <w:right w:val="single" w:sz="4" w:space="0" w:color="auto"/>
            </w:tcBorders>
            <w:vAlign w:val="center"/>
            <w:hideMark/>
          </w:tcPr>
          <w:p w14:paraId="4F564962" w14:textId="77777777" w:rsidR="00851740" w:rsidRPr="00C9207C" w:rsidRDefault="00851740" w:rsidP="00851740">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Total Reserves</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C4A1735" w14:textId="77777777" w:rsidR="00851740" w:rsidRPr="00C9207C" w:rsidRDefault="00851740" w:rsidP="00851740">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 </w:t>
            </w:r>
          </w:p>
        </w:tc>
        <w:tc>
          <w:tcPr>
            <w:tcW w:w="1979" w:type="dxa"/>
            <w:tcBorders>
              <w:top w:val="nil"/>
              <w:left w:val="single" w:sz="4" w:space="0" w:color="auto"/>
              <w:bottom w:val="single" w:sz="4" w:space="0" w:color="auto"/>
              <w:right w:val="single" w:sz="4" w:space="0" w:color="auto"/>
            </w:tcBorders>
            <w:vAlign w:val="center"/>
            <w:hideMark/>
          </w:tcPr>
          <w:p w14:paraId="01692798" w14:textId="77777777" w:rsidR="00851740" w:rsidRPr="00913FCE" w:rsidRDefault="00851740" w:rsidP="00851740">
            <w:pPr>
              <w:spacing w:after="0" w:line="240" w:lineRule="auto"/>
              <w:jc w:val="right"/>
              <w:rPr>
                <w:rFonts w:ascii="Arial" w:eastAsia="Times New Roman" w:hAnsi="Arial" w:cs="Arial"/>
                <w:b/>
                <w:bCs/>
                <w:color w:val="C00000"/>
                <w:sz w:val="20"/>
                <w:szCs w:val="20"/>
                <w:lang w:eastAsia="en-GB"/>
              </w:rPr>
            </w:pPr>
            <w:r w:rsidRPr="00913FCE">
              <w:rPr>
                <w:rFonts w:ascii="Arial" w:eastAsia="Times New Roman" w:hAnsi="Arial" w:cs="Arial"/>
                <w:b/>
                <w:bCs/>
                <w:color w:val="C00000"/>
                <w:sz w:val="20"/>
                <w:szCs w:val="20"/>
                <w:lang w:eastAsia="en-GB"/>
              </w:rPr>
              <w:t>(11,231,419)</w:t>
            </w:r>
          </w:p>
        </w:tc>
        <w:tc>
          <w:tcPr>
            <w:tcW w:w="276" w:type="dxa"/>
            <w:vAlign w:val="center"/>
            <w:hideMark/>
          </w:tcPr>
          <w:p w14:paraId="3A20B5CE" w14:textId="77777777" w:rsidR="00851740" w:rsidRPr="00C9207C" w:rsidRDefault="00851740" w:rsidP="00851740">
            <w:pPr>
              <w:spacing w:after="0" w:line="240" w:lineRule="auto"/>
              <w:rPr>
                <w:rFonts w:ascii="Arial" w:eastAsia="Times New Roman" w:hAnsi="Arial" w:cs="Arial"/>
                <w:sz w:val="20"/>
                <w:szCs w:val="20"/>
                <w:lang w:eastAsia="en-GB"/>
              </w:rPr>
            </w:pPr>
          </w:p>
        </w:tc>
      </w:tr>
    </w:tbl>
    <w:p w14:paraId="63172736" w14:textId="77777777" w:rsidR="007F73F0" w:rsidRPr="00C9207C" w:rsidRDefault="007F73F0" w:rsidP="00A51927">
      <w:pPr>
        <w:spacing w:after="0" w:line="240" w:lineRule="auto"/>
        <w:rPr>
          <w:rFonts w:ascii="Arial" w:eastAsia="Times New Roman" w:hAnsi="Arial" w:cs="Arial"/>
          <w:i/>
          <w:sz w:val="20"/>
          <w:szCs w:val="20"/>
          <w:highlight w:val="yellow"/>
          <w:lang w:val="en-AU"/>
        </w:rPr>
      </w:pPr>
    </w:p>
    <w:p w14:paraId="2012B5F9" w14:textId="77777777" w:rsidR="006E71E8" w:rsidRPr="00C9207C" w:rsidRDefault="006E71E8" w:rsidP="00A51927">
      <w:pPr>
        <w:spacing w:after="0" w:line="240" w:lineRule="auto"/>
        <w:rPr>
          <w:rFonts w:ascii="Arial" w:eastAsia="Times New Roman" w:hAnsi="Arial" w:cs="Arial"/>
          <w:i/>
          <w:sz w:val="20"/>
          <w:szCs w:val="20"/>
          <w:highlight w:val="yellow"/>
          <w:lang w:val="en-AU"/>
        </w:rPr>
      </w:pPr>
    </w:p>
    <w:p w14:paraId="2F08F1F3" w14:textId="75468BCA" w:rsidR="00AB284F" w:rsidRPr="007B5923" w:rsidRDefault="29312B54" w:rsidP="00A51927">
      <w:pPr>
        <w:spacing w:after="0" w:line="240" w:lineRule="auto"/>
        <w:rPr>
          <w:rFonts w:ascii="Arial" w:eastAsia="Times New Roman" w:hAnsi="Arial" w:cs="Arial"/>
          <w:sz w:val="20"/>
          <w:szCs w:val="20"/>
          <w:lang w:val="en-AU"/>
        </w:rPr>
      </w:pPr>
      <w:r w:rsidRPr="007B5923">
        <w:rPr>
          <w:rFonts w:ascii="Arial" w:eastAsia="Times New Roman" w:hAnsi="Arial" w:cs="Arial"/>
          <w:sz w:val="20"/>
          <w:szCs w:val="20"/>
          <w:lang w:val="en-AU"/>
        </w:rPr>
        <w:t xml:space="preserve">The </w:t>
      </w:r>
      <w:r w:rsidR="0EF045B5" w:rsidRPr="007B5923">
        <w:rPr>
          <w:rFonts w:ascii="Arial" w:eastAsia="Times New Roman" w:hAnsi="Arial" w:cs="Arial"/>
          <w:sz w:val="20"/>
          <w:szCs w:val="20"/>
          <w:lang w:val="en-AU"/>
        </w:rPr>
        <w:t>un</w:t>
      </w:r>
      <w:r w:rsidR="7BADF7CC" w:rsidRPr="007B5923">
        <w:rPr>
          <w:rFonts w:ascii="Arial" w:eastAsia="Times New Roman" w:hAnsi="Arial" w:cs="Arial"/>
          <w:sz w:val="20"/>
          <w:szCs w:val="20"/>
          <w:lang w:val="en-AU"/>
        </w:rPr>
        <w:t xml:space="preserve">audited accounts were issued </w:t>
      </w:r>
      <w:r w:rsidR="64EC1934" w:rsidRPr="007B5923">
        <w:rPr>
          <w:rFonts w:ascii="Arial" w:eastAsia="Times New Roman" w:hAnsi="Arial" w:cs="Arial"/>
          <w:sz w:val="20"/>
          <w:szCs w:val="20"/>
          <w:lang w:val="en-AU"/>
        </w:rPr>
        <w:t xml:space="preserve">on </w:t>
      </w:r>
      <w:r w:rsidR="00D737AF" w:rsidRPr="00D737AF">
        <w:rPr>
          <w:rFonts w:ascii="Arial" w:eastAsia="Times New Roman" w:hAnsi="Arial" w:cs="Arial"/>
          <w:sz w:val="20"/>
          <w:szCs w:val="20"/>
          <w:highlight w:val="yellow"/>
          <w:lang w:val="en-AU"/>
        </w:rPr>
        <w:t>22</w:t>
      </w:r>
      <w:r w:rsidR="007B5923" w:rsidRPr="007B5923">
        <w:rPr>
          <w:rFonts w:ascii="Arial" w:eastAsia="Times New Roman" w:hAnsi="Arial" w:cs="Arial"/>
          <w:sz w:val="20"/>
          <w:szCs w:val="20"/>
          <w:lang w:val="en-AU"/>
        </w:rPr>
        <w:t xml:space="preserve"> June 2026</w:t>
      </w:r>
      <w:r w:rsidR="00F328BB">
        <w:rPr>
          <w:rFonts w:ascii="Arial" w:eastAsia="Times New Roman" w:hAnsi="Arial" w:cs="Arial"/>
          <w:sz w:val="20"/>
          <w:szCs w:val="20"/>
          <w:lang w:val="en-AU"/>
        </w:rPr>
        <w:t>,</w:t>
      </w:r>
      <w:r w:rsidR="0E7FE59D" w:rsidRPr="007B5923">
        <w:rPr>
          <w:rFonts w:ascii="Arial" w:eastAsia="Times New Roman" w:hAnsi="Arial" w:cs="Arial"/>
          <w:sz w:val="20"/>
          <w:szCs w:val="20"/>
          <w:lang w:val="en-AU"/>
        </w:rPr>
        <w:t xml:space="preserve"> and the audited accounts were authorised for issue on </w:t>
      </w:r>
      <w:r w:rsidR="007B5923" w:rsidRPr="007B5923">
        <w:rPr>
          <w:rFonts w:ascii="Arial" w:eastAsia="Times New Roman" w:hAnsi="Arial" w:cs="Arial"/>
          <w:sz w:val="20"/>
          <w:szCs w:val="20"/>
          <w:lang w:val="en-AU"/>
        </w:rPr>
        <w:t>30 September 2026</w:t>
      </w:r>
      <w:r w:rsidR="0EF045B5" w:rsidRPr="007B5923">
        <w:rPr>
          <w:rFonts w:ascii="Arial" w:eastAsia="Times New Roman" w:hAnsi="Arial" w:cs="Arial"/>
          <w:sz w:val="20"/>
          <w:szCs w:val="20"/>
          <w:lang w:val="en-AU"/>
        </w:rPr>
        <w:t>.</w:t>
      </w:r>
      <w:r w:rsidR="7BADF7CC" w:rsidRPr="007B5923">
        <w:rPr>
          <w:rFonts w:ascii="Arial" w:eastAsia="Times New Roman" w:hAnsi="Arial" w:cs="Arial"/>
          <w:sz w:val="20"/>
          <w:szCs w:val="20"/>
          <w:lang w:val="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2"/>
        <w:gridCol w:w="2358"/>
      </w:tblGrid>
      <w:tr w:rsidR="00DE7E3D" w:rsidRPr="00C9207C" w14:paraId="580E43A1" w14:textId="77777777" w:rsidTr="00AF5980">
        <w:tc>
          <w:tcPr>
            <w:tcW w:w="3686" w:type="dxa"/>
          </w:tcPr>
          <w:p w14:paraId="3CA14D39" w14:textId="0B283450" w:rsidR="00FB1060" w:rsidRPr="00C9207C" w:rsidRDefault="00FB1060" w:rsidP="00A51927">
            <w:pPr>
              <w:spacing w:after="0" w:line="240" w:lineRule="auto"/>
              <w:rPr>
                <w:rFonts w:ascii="Arial" w:eastAsia="Times New Roman" w:hAnsi="Arial" w:cs="Arial"/>
                <w:b/>
                <w:noProof/>
                <w:sz w:val="20"/>
                <w:szCs w:val="20"/>
                <w:lang w:val="en-AU"/>
              </w:rPr>
            </w:pPr>
          </w:p>
          <w:p w14:paraId="206B9E82" w14:textId="20B69D44" w:rsidR="005B303D" w:rsidRPr="00C9207C" w:rsidRDefault="005B303D" w:rsidP="00A51927">
            <w:pPr>
              <w:spacing w:after="0" w:line="240" w:lineRule="auto"/>
              <w:rPr>
                <w:rFonts w:ascii="Arial" w:eastAsia="Times New Roman" w:hAnsi="Arial" w:cs="Arial"/>
                <w:b/>
                <w:noProof/>
                <w:sz w:val="20"/>
                <w:szCs w:val="20"/>
                <w:lang w:val="en-AU"/>
              </w:rPr>
            </w:pPr>
          </w:p>
          <w:p w14:paraId="18BBFD71" w14:textId="7EF69351" w:rsidR="005B303D" w:rsidRPr="00C9207C" w:rsidRDefault="005B303D" w:rsidP="00A51927">
            <w:pPr>
              <w:spacing w:after="0" w:line="240" w:lineRule="auto"/>
              <w:rPr>
                <w:rFonts w:ascii="Arial" w:eastAsia="Times New Roman" w:hAnsi="Arial" w:cs="Arial"/>
                <w:b/>
                <w:noProof/>
                <w:sz w:val="20"/>
                <w:szCs w:val="20"/>
                <w:lang w:val="en-AU"/>
              </w:rPr>
            </w:pPr>
          </w:p>
          <w:p w14:paraId="547E7E44" w14:textId="426C8931" w:rsidR="005B303D" w:rsidRPr="00C9207C" w:rsidRDefault="005B303D" w:rsidP="00A51927">
            <w:pPr>
              <w:spacing w:after="0" w:line="240" w:lineRule="auto"/>
              <w:rPr>
                <w:rFonts w:ascii="Arial" w:eastAsia="Times New Roman" w:hAnsi="Arial" w:cs="Arial"/>
                <w:b/>
                <w:noProof/>
                <w:sz w:val="20"/>
                <w:szCs w:val="20"/>
                <w:lang w:val="en-AU"/>
              </w:rPr>
            </w:pPr>
          </w:p>
          <w:p w14:paraId="194AC212" w14:textId="1E945D60" w:rsidR="005B303D" w:rsidRPr="00C9207C" w:rsidRDefault="005B303D" w:rsidP="00A51927">
            <w:pPr>
              <w:spacing w:after="0" w:line="240" w:lineRule="auto"/>
              <w:rPr>
                <w:rFonts w:ascii="Arial" w:eastAsia="Times New Roman" w:hAnsi="Arial" w:cs="Arial"/>
                <w:b/>
                <w:noProof/>
                <w:sz w:val="20"/>
                <w:szCs w:val="20"/>
                <w:lang w:val="en-AU"/>
              </w:rPr>
            </w:pPr>
          </w:p>
          <w:p w14:paraId="02F813AA" w14:textId="77777777" w:rsidR="005B303D" w:rsidRPr="00C9207C" w:rsidRDefault="005B303D" w:rsidP="00A51927">
            <w:pPr>
              <w:spacing w:after="0" w:line="240" w:lineRule="auto"/>
              <w:rPr>
                <w:rFonts w:ascii="Arial" w:eastAsia="Times New Roman" w:hAnsi="Arial" w:cs="Arial"/>
                <w:b/>
                <w:sz w:val="20"/>
                <w:szCs w:val="20"/>
                <w:lang w:val="en-AU"/>
              </w:rPr>
            </w:pPr>
          </w:p>
          <w:p w14:paraId="5D6FEF58" w14:textId="522F77C3" w:rsidR="00AB284F" w:rsidRPr="00C9207C" w:rsidRDefault="00477FAF" w:rsidP="00A51927">
            <w:pPr>
              <w:spacing w:after="0" w:line="240" w:lineRule="auto"/>
              <w:rPr>
                <w:rFonts w:ascii="Arial" w:eastAsia="Times New Roman" w:hAnsi="Arial" w:cs="Arial"/>
                <w:b/>
                <w:sz w:val="20"/>
                <w:szCs w:val="20"/>
                <w:lang w:val="en-AU"/>
              </w:rPr>
            </w:pPr>
            <w:r w:rsidRPr="00C9207C">
              <w:rPr>
                <w:rFonts w:ascii="Arial" w:eastAsia="Times New Roman" w:hAnsi="Arial" w:cs="Arial"/>
                <w:b/>
                <w:sz w:val="20"/>
                <w:szCs w:val="20"/>
                <w:lang w:val="en-AU"/>
              </w:rPr>
              <w:t>Jonathan Belford</w:t>
            </w:r>
          </w:p>
        </w:tc>
        <w:tc>
          <w:tcPr>
            <w:tcW w:w="2972" w:type="dxa"/>
          </w:tcPr>
          <w:p w14:paraId="2A3DDD7C" w14:textId="77777777" w:rsidR="00AB284F" w:rsidRPr="00C9207C" w:rsidRDefault="00AB284F" w:rsidP="00A51927">
            <w:pPr>
              <w:spacing w:after="0" w:line="240" w:lineRule="auto"/>
              <w:rPr>
                <w:rFonts w:ascii="Arial" w:eastAsia="Times New Roman" w:hAnsi="Arial" w:cs="Arial"/>
                <w:sz w:val="20"/>
                <w:szCs w:val="20"/>
                <w:highlight w:val="yellow"/>
                <w:lang w:val="en-AU"/>
              </w:rPr>
            </w:pPr>
          </w:p>
        </w:tc>
        <w:tc>
          <w:tcPr>
            <w:tcW w:w="2358" w:type="dxa"/>
          </w:tcPr>
          <w:p w14:paraId="2266AD2C" w14:textId="73315B25" w:rsidR="00AB284F" w:rsidRPr="00C9207C" w:rsidRDefault="00AB284F" w:rsidP="00A51927">
            <w:pPr>
              <w:spacing w:after="0" w:line="240" w:lineRule="auto"/>
              <w:rPr>
                <w:rFonts w:ascii="Arial" w:eastAsia="Times New Roman" w:hAnsi="Arial" w:cs="Arial"/>
                <w:sz w:val="20"/>
                <w:szCs w:val="20"/>
                <w:highlight w:val="yellow"/>
                <w:lang w:val="en-AU"/>
              </w:rPr>
            </w:pPr>
          </w:p>
        </w:tc>
      </w:tr>
      <w:tr w:rsidR="00DE7E3D" w:rsidRPr="00C9207C" w14:paraId="53A98689" w14:textId="77777777" w:rsidTr="00AF5980">
        <w:tc>
          <w:tcPr>
            <w:tcW w:w="3686" w:type="dxa"/>
          </w:tcPr>
          <w:p w14:paraId="639E6496" w14:textId="74A11B2F" w:rsidR="00AB284F" w:rsidRPr="00C9207C" w:rsidRDefault="00477FAF" w:rsidP="00A51927">
            <w:pPr>
              <w:spacing w:after="0" w:line="240" w:lineRule="auto"/>
              <w:rPr>
                <w:rFonts w:ascii="Arial" w:eastAsia="Times New Roman" w:hAnsi="Arial" w:cs="Arial"/>
                <w:sz w:val="20"/>
                <w:szCs w:val="20"/>
                <w:lang w:val="en-AU"/>
              </w:rPr>
            </w:pPr>
            <w:r w:rsidRPr="00C9207C">
              <w:rPr>
                <w:rFonts w:ascii="Arial" w:eastAsia="Times New Roman" w:hAnsi="Arial" w:cs="Arial"/>
                <w:sz w:val="20"/>
                <w:szCs w:val="20"/>
                <w:lang w:val="en-AU"/>
              </w:rPr>
              <w:t xml:space="preserve">Interim </w:t>
            </w:r>
            <w:r w:rsidR="00441772" w:rsidRPr="00C9207C">
              <w:rPr>
                <w:rFonts w:ascii="Arial" w:eastAsia="Times New Roman" w:hAnsi="Arial" w:cs="Arial"/>
                <w:sz w:val="20"/>
                <w:szCs w:val="20"/>
                <w:lang w:val="en-AU"/>
              </w:rPr>
              <w:t>Chief Finance</w:t>
            </w:r>
            <w:r w:rsidR="00AB284F" w:rsidRPr="00C9207C">
              <w:rPr>
                <w:rFonts w:ascii="Arial" w:eastAsia="Times New Roman" w:hAnsi="Arial" w:cs="Arial"/>
                <w:sz w:val="20"/>
                <w:szCs w:val="20"/>
                <w:lang w:val="en-AU"/>
              </w:rPr>
              <w:t xml:space="preserve"> Officer</w:t>
            </w:r>
          </w:p>
          <w:p w14:paraId="2F22EA8F" w14:textId="77777777" w:rsidR="00463147" w:rsidRPr="00C9207C" w:rsidRDefault="00463147" w:rsidP="00A51927">
            <w:pPr>
              <w:spacing w:after="0" w:line="240" w:lineRule="auto"/>
              <w:rPr>
                <w:rFonts w:ascii="Arial" w:eastAsia="Times New Roman" w:hAnsi="Arial" w:cs="Arial"/>
                <w:sz w:val="20"/>
                <w:szCs w:val="20"/>
                <w:lang w:val="en-AU"/>
              </w:rPr>
            </w:pPr>
          </w:p>
          <w:p w14:paraId="36455EBE" w14:textId="24DB98DE" w:rsidR="007214D7" w:rsidRPr="00C9207C" w:rsidRDefault="007214D7" w:rsidP="00A51927">
            <w:pPr>
              <w:spacing w:after="0" w:line="240" w:lineRule="auto"/>
              <w:rPr>
                <w:rFonts w:ascii="Arial" w:eastAsia="Times New Roman" w:hAnsi="Arial" w:cs="Arial"/>
                <w:sz w:val="20"/>
                <w:szCs w:val="20"/>
                <w:lang w:val="en-AU"/>
              </w:rPr>
            </w:pPr>
          </w:p>
        </w:tc>
        <w:tc>
          <w:tcPr>
            <w:tcW w:w="2972" w:type="dxa"/>
          </w:tcPr>
          <w:p w14:paraId="1E505E0A" w14:textId="77777777" w:rsidR="00AB284F" w:rsidRPr="00C9207C" w:rsidRDefault="00AB284F" w:rsidP="00A51927">
            <w:pPr>
              <w:spacing w:after="0" w:line="240" w:lineRule="auto"/>
              <w:rPr>
                <w:rFonts w:ascii="Arial" w:eastAsia="Times New Roman" w:hAnsi="Arial" w:cs="Arial"/>
                <w:sz w:val="20"/>
                <w:szCs w:val="20"/>
                <w:highlight w:val="yellow"/>
                <w:lang w:val="en-AU"/>
              </w:rPr>
            </w:pPr>
          </w:p>
        </w:tc>
        <w:tc>
          <w:tcPr>
            <w:tcW w:w="2358" w:type="dxa"/>
          </w:tcPr>
          <w:p w14:paraId="0C347642" w14:textId="77777777" w:rsidR="00AB284F" w:rsidRPr="00C9207C" w:rsidRDefault="00AB284F" w:rsidP="00A51927">
            <w:pPr>
              <w:spacing w:after="0" w:line="240" w:lineRule="auto"/>
              <w:rPr>
                <w:rFonts w:ascii="Arial" w:eastAsia="Times New Roman" w:hAnsi="Arial" w:cs="Arial"/>
                <w:sz w:val="20"/>
                <w:szCs w:val="20"/>
                <w:highlight w:val="yellow"/>
                <w:lang w:val="en-AU"/>
              </w:rPr>
            </w:pPr>
          </w:p>
        </w:tc>
      </w:tr>
    </w:tbl>
    <w:p w14:paraId="3759BFA9" w14:textId="77777777" w:rsidR="009A3149" w:rsidRPr="00C9207C" w:rsidRDefault="009A3149" w:rsidP="00A51927">
      <w:pPr>
        <w:spacing w:after="0" w:line="240" w:lineRule="auto"/>
        <w:rPr>
          <w:rFonts w:ascii="Arial" w:eastAsia="Times New Roman" w:hAnsi="Arial" w:cs="Arial"/>
          <w:sz w:val="20"/>
          <w:szCs w:val="20"/>
          <w:highlight w:val="yellow"/>
          <w:lang w:val="en-AU"/>
        </w:rPr>
      </w:pPr>
    </w:p>
    <w:p w14:paraId="0ECB8858" w14:textId="77777777" w:rsidR="00ED5DB8" w:rsidRPr="00C9207C" w:rsidRDefault="00ED5DB8" w:rsidP="00A51927">
      <w:pPr>
        <w:spacing w:after="0" w:line="240" w:lineRule="auto"/>
        <w:rPr>
          <w:rFonts w:ascii="Arial" w:hAnsi="Arial" w:cs="Arial"/>
          <w:b/>
          <w:sz w:val="20"/>
          <w:szCs w:val="20"/>
          <w:highlight w:val="yellow"/>
          <w:u w:val="single"/>
        </w:rPr>
      </w:pPr>
      <w:bookmarkStart w:id="29" w:name="_Toc70062054"/>
      <w:r w:rsidRPr="00C9207C">
        <w:rPr>
          <w:rFonts w:ascii="Arial" w:hAnsi="Arial" w:cs="Arial"/>
          <w:sz w:val="20"/>
          <w:szCs w:val="20"/>
          <w:highlight w:val="yellow"/>
        </w:rPr>
        <w:br w:type="page"/>
      </w:r>
    </w:p>
    <w:p w14:paraId="3A327CB0" w14:textId="3C94EF72" w:rsidR="00584CD5" w:rsidRPr="00C9207C" w:rsidRDefault="006B07C8" w:rsidP="00A51927">
      <w:pPr>
        <w:pStyle w:val="Heading1"/>
        <w:jc w:val="left"/>
        <w:rPr>
          <w:rFonts w:ascii="Arial" w:hAnsi="Arial" w:cs="Arial"/>
        </w:rPr>
      </w:pPr>
      <w:bookmarkStart w:id="30" w:name="_Toc232169354"/>
      <w:r w:rsidRPr="00C9207C">
        <w:rPr>
          <w:rFonts w:ascii="Arial" w:hAnsi="Arial" w:cs="Arial"/>
        </w:rPr>
        <w:lastRenderedPageBreak/>
        <w:t>4.4</w:t>
      </w:r>
      <w:r w:rsidR="002F4203" w:rsidRPr="00C9207C">
        <w:rPr>
          <w:rFonts w:ascii="Arial" w:hAnsi="Arial" w:cs="Arial"/>
        </w:rPr>
        <w:tab/>
      </w:r>
      <w:r w:rsidR="72E22659" w:rsidRPr="00C9207C">
        <w:rPr>
          <w:rFonts w:ascii="Arial" w:hAnsi="Arial" w:cs="Arial"/>
        </w:rPr>
        <w:t>Notes to the Financial Statements</w:t>
      </w:r>
      <w:bookmarkEnd w:id="29"/>
      <w:bookmarkEnd w:id="30"/>
    </w:p>
    <w:p w14:paraId="61FCD16E" w14:textId="77777777" w:rsidR="005C62DF" w:rsidRPr="00C9207C" w:rsidRDefault="005C62DF" w:rsidP="00A51927">
      <w:pPr>
        <w:rPr>
          <w:rFonts w:ascii="Arial" w:hAnsi="Arial" w:cs="Arial"/>
          <w:sz w:val="20"/>
          <w:szCs w:val="20"/>
        </w:rPr>
      </w:pPr>
    </w:p>
    <w:p w14:paraId="1DC61768" w14:textId="487EADBD" w:rsidR="00584CD5" w:rsidRPr="00C9207C" w:rsidRDefault="48B3B784" w:rsidP="006D5013">
      <w:pPr>
        <w:pStyle w:val="Heading3"/>
        <w:numPr>
          <w:ilvl w:val="2"/>
          <w:numId w:val="11"/>
        </w:numPr>
        <w:jc w:val="left"/>
        <w:rPr>
          <w:rFonts w:ascii="Arial" w:hAnsi="Arial" w:cs="Arial"/>
        </w:rPr>
      </w:pPr>
      <w:bookmarkStart w:id="31" w:name="_Toc70062055"/>
      <w:bookmarkStart w:id="32" w:name="_Toc232169355"/>
      <w:r w:rsidRPr="00C9207C">
        <w:rPr>
          <w:rFonts w:ascii="Arial" w:hAnsi="Arial" w:cs="Arial"/>
        </w:rPr>
        <w:t>Significant Accounting Policies</w:t>
      </w:r>
      <w:bookmarkEnd w:id="31"/>
      <w:bookmarkEnd w:id="32"/>
    </w:p>
    <w:p w14:paraId="6818F28F" w14:textId="77777777" w:rsidR="002444FB" w:rsidRPr="00C9207C" w:rsidRDefault="002444FB" w:rsidP="00A51927">
      <w:pPr>
        <w:spacing w:after="0" w:line="240" w:lineRule="auto"/>
        <w:rPr>
          <w:rFonts w:ascii="Arial" w:hAnsi="Arial" w:cs="Arial"/>
          <w:sz w:val="20"/>
          <w:szCs w:val="20"/>
        </w:rPr>
      </w:pPr>
    </w:p>
    <w:p w14:paraId="3532269D" w14:textId="2ACA8C93" w:rsidR="003B56D8" w:rsidRPr="00C9207C" w:rsidRDefault="003B56D8"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 xml:space="preserve">General Principles </w:t>
      </w:r>
    </w:p>
    <w:p w14:paraId="2B31A66E" w14:textId="77777777" w:rsidR="003B56D8" w:rsidRPr="00C9207C" w:rsidRDefault="003B56D8" w:rsidP="00A51927">
      <w:pPr>
        <w:spacing w:after="0" w:line="240" w:lineRule="auto"/>
        <w:ind w:left="720"/>
        <w:rPr>
          <w:rFonts w:ascii="Arial" w:hAnsi="Arial" w:cs="Arial"/>
          <w:sz w:val="20"/>
          <w:szCs w:val="20"/>
        </w:rPr>
      </w:pPr>
    </w:p>
    <w:p w14:paraId="377FA93D" w14:textId="09B212E3" w:rsidR="003B56D8" w:rsidRPr="00C9207C" w:rsidRDefault="003B56D8" w:rsidP="00A51927">
      <w:pPr>
        <w:spacing w:after="0" w:line="240" w:lineRule="auto"/>
        <w:rPr>
          <w:rFonts w:ascii="Arial" w:hAnsi="Arial" w:cs="Arial"/>
          <w:sz w:val="20"/>
          <w:szCs w:val="20"/>
        </w:rPr>
      </w:pPr>
      <w:r w:rsidRPr="00C9207C">
        <w:rPr>
          <w:rFonts w:ascii="Arial" w:hAnsi="Arial" w:cs="Arial"/>
          <w:sz w:val="20"/>
          <w:szCs w:val="20"/>
        </w:rPr>
        <w:t xml:space="preserve">The Financial Statements summarises </w:t>
      </w:r>
      <w:r w:rsidR="00C7097A" w:rsidRPr="00C9207C">
        <w:rPr>
          <w:rFonts w:ascii="Arial" w:hAnsi="Arial" w:cs="Arial"/>
          <w:sz w:val="20"/>
          <w:szCs w:val="20"/>
        </w:rPr>
        <w:t>Integration Joint Board’s</w:t>
      </w:r>
      <w:r w:rsidRPr="00C9207C">
        <w:rPr>
          <w:rFonts w:ascii="Arial" w:hAnsi="Arial" w:cs="Arial"/>
          <w:sz w:val="20"/>
          <w:szCs w:val="20"/>
        </w:rPr>
        <w:t xml:space="preserve"> transactions for the </w:t>
      </w:r>
      <w:r w:rsidR="00244A39" w:rsidRPr="00C9207C">
        <w:rPr>
          <w:rFonts w:ascii="Arial" w:hAnsi="Arial" w:cs="Arial"/>
          <w:sz w:val="20"/>
          <w:szCs w:val="20"/>
        </w:rPr>
        <w:t>202</w:t>
      </w:r>
      <w:r w:rsidR="00497C5D" w:rsidRPr="00C9207C">
        <w:rPr>
          <w:rFonts w:ascii="Arial" w:hAnsi="Arial" w:cs="Arial"/>
          <w:sz w:val="20"/>
          <w:szCs w:val="20"/>
        </w:rPr>
        <w:t>5/26</w:t>
      </w:r>
      <w:r w:rsidRPr="00C9207C">
        <w:rPr>
          <w:rFonts w:ascii="Arial" w:hAnsi="Arial" w:cs="Arial"/>
          <w:sz w:val="20"/>
          <w:szCs w:val="20"/>
        </w:rPr>
        <w:t xml:space="preserve"> financial year and its position </w:t>
      </w:r>
      <w:r w:rsidR="00F82ED7" w:rsidRPr="00C9207C">
        <w:rPr>
          <w:rFonts w:ascii="Arial" w:hAnsi="Arial" w:cs="Arial"/>
          <w:sz w:val="20"/>
          <w:szCs w:val="20"/>
        </w:rPr>
        <w:t>at the year-end of 31 March 20</w:t>
      </w:r>
      <w:r w:rsidR="004E520C" w:rsidRPr="00C9207C">
        <w:rPr>
          <w:rFonts w:ascii="Arial" w:hAnsi="Arial" w:cs="Arial"/>
          <w:sz w:val="20"/>
          <w:szCs w:val="20"/>
        </w:rPr>
        <w:t>2</w:t>
      </w:r>
      <w:r w:rsidR="00497C5D" w:rsidRPr="00C9207C">
        <w:rPr>
          <w:rFonts w:ascii="Arial" w:hAnsi="Arial" w:cs="Arial"/>
          <w:sz w:val="20"/>
          <w:szCs w:val="20"/>
        </w:rPr>
        <w:t>6</w:t>
      </w:r>
      <w:r w:rsidR="00787685" w:rsidRPr="00C9207C">
        <w:rPr>
          <w:rFonts w:ascii="Arial" w:hAnsi="Arial" w:cs="Arial"/>
          <w:sz w:val="20"/>
          <w:szCs w:val="20"/>
        </w:rPr>
        <w:t>.</w:t>
      </w:r>
      <w:r w:rsidRPr="00C9207C">
        <w:rPr>
          <w:rFonts w:ascii="Arial" w:hAnsi="Arial" w:cs="Arial"/>
          <w:sz w:val="20"/>
          <w:szCs w:val="20"/>
        </w:rPr>
        <w:t xml:space="preserve"> </w:t>
      </w:r>
    </w:p>
    <w:p w14:paraId="1F5458B1" w14:textId="77777777" w:rsidR="003B56D8" w:rsidRPr="00C9207C" w:rsidRDefault="003B56D8" w:rsidP="00A51927">
      <w:pPr>
        <w:spacing w:after="0" w:line="240" w:lineRule="auto"/>
        <w:ind w:left="720"/>
        <w:rPr>
          <w:rFonts w:ascii="Arial" w:hAnsi="Arial" w:cs="Arial"/>
          <w:sz w:val="20"/>
          <w:szCs w:val="20"/>
        </w:rPr>
      </w:pPr>
    </w:p>
    <w:p w14:paraId="481A03D6" w14:textId="352D0402" w:rsidR="009163B9" w:rsidRPr="00C9207C" w:rsidRDefault="003B56D8" w:rsidP="00A51927">
      <w:pPr>
        <w:spacing w:after="0" w:line="240" w:lineRule="auto"/>
        <w:rPr>
          <w:rFonts w:ascii="Arial" w:hAnsi="Arial" w:cs="Arial"/>
          <w:sz w:val="20"/>
          <w:szCs w:val="20"/>
        </w:rPr>
      </w:pPr>
      <w:r w:rsidRPr="00C9207C">
        <w:rPr>
          <w:rFonts w:ascii="Arial" w:hAnsi="Arial" w:cs="Arial"/>
          <w:sz w:val="20"/>
          <w:szCs w:val="20"/>
        </w:rPr>
        <w:t>The IJB was established under the requirements of the Public Bodies (Joint Working) (Scotland) Act 2014</w:t>
      </w:r>
      <w:r w:rsidR="009163B9" w:rsidRPr="00C9207C">
        <w:rPr>
          <w:rFonts w:ascii="Arial" w:hAnsi="Arial" w:cs="Arial"/>
          <w:sz w:val="20"/>
          <w:szCs w:val="20"/>
        </w:rPr>
        <w:t xml:space="preserve"> and </w:t>
      </w:r>
      <w:r w:rsidRPr="00C9207C">
        <w:rPr>
          <w:rFonts w:ascii="Arial" w:hAnsi="Arial" w:cs="Arial"/>
          <w:sz w:val="20"/>
          <w:szCs w:val="20"/>
        </w:rPr>
        <w:t>is</w:t>
      </w:r>
      <w:r w:rsidR="009163B9" w:rsidRPr="00C9207C">
        <w:rPr>
          <w:rFonts w:ascii="Arial" w:hAnsi="Arial" w:cs="Arial"/>
          <w:sz w:val="20"/>
          <w:szCs w:val="20"/>
        </w:rPr>
        <w:t xml:space="preserve"> </w:t>
      </w:r>
      <w:r w:rsidRPr="00C9207C">
        <w:rPr>
          <w:rFonts w:ascii="Arial" w:hAnsi="Arial" w:cs="Arial"/>
          <w:sz w:val="20"/>
          <w:szCs w:val="20"/>
        </w:rPr>
        <w:t xml:space="preserve">a Section 106 </w:t>
      </w:r>
      <w:r w:rsidR="003C7378" w:rsidRPr="00C9207C">
        <w:rPr>
          <w:rFonts w:ascii="Arial" w:hAnsi="Arial" w:cs="Arial"/>
          <w:sz w:val="20"/>
          <w:szCs w:val="20"/>
        </w:rPr>
        <w:t>body as defined in the</w:t>
      </w:r>
      <w:r w:rsidRPr="00C9207C">
        <w:rPr>
          <w:rFonts w:ascii="Arial" w:hAnsi="Arial" w:cs="Arial"/>
          <w:sz w:val="20"/>
          <w:szCs w:val="20"/>
        </w:rPr>
        <w:t xml:space="preserve"> </w:t>
      </w:r>
      <w:r w:rsidR="009163B9" w:rsidRPr="00C9207C">
        <w:rPr>
          <w:rFonts w:ascii="Arial" w:hAnsi="Arial" w:cs="Arial"/>
          <w:sz w:val="20"/>
          <w:szCs w:val="20"/>
        </w:rPr>
        <w:t xml:space="preserve">Local Government (Scotland) Act 1973. </w:t>
      </w:r>
    </w:p>
    <w:p w14:paraId="342D71F7" w14:textId="77777777" w:rsidR="009163B9" w:rsidRPr="00C9207C" w:rsidRDefault="009163B9" w:rsidP="00A51927">
      <w:pPr>
        <w:spacing w:after="0" w:line="240" w:lineRule="auto"/>
        <w:rPr>
          <w:rFonts w:ascii="Arial" w:hAnsi="Arial" w:cs="Arial"/>
          <w:sz w:val="20"/>
          <w:szCs w:val="20"/>
        </w:rPr>
      </w:pPr>
    </w:p>
    <w:p w14:paraId="0C236F88" w14:textId="128BABEE" w:rsidR="009163B9" w:rsidRPr="00C9207C" w:rsidRDefault="7EDE53E7" w:rsidP="00A51927">
      <w:pPr>
        <w:spacing w:after="0" w:line="240" w:lineRule="auto"/>
        <w:rPr>
          <w:rFonts w:ascii="Arial" w:hAnsi="Arial" w:cs="Arial"/>
          <w:sz w:val="20"/>
          <w:szCs w:val="20"/>
        </w:rPr>
      </w:pPr>
      <w:r w:rsidRPr="00C9207C">
        <w:rPr>
          <w:rFonts w:ascii="Arial" w:hAnsi="Arial" w:cs="Arial"/>
          <w:sz w:val="20"/>
          <w:szCs w:val="20"/>
        </w:rPr>
        <w:t xml:space="preserve">The </w:t>
      </w:r>
      <w:r w:rsidR="5D9E023D" w:rsidRPr="00C9207C">
        <w:rPr>
          <w:rFonts w:ascii="Arial" w:hAnsi="Arial" w:cs="Arial"/>
          <w:sz w:val="20"/>
          <w:szCs w:val="20"/>
        </w:rPr>
        <w:t>Financial Statements</w:t>
      </w:r>
      <w:r w:rsidRPr="00C9207C">
        <w:rPr>
          <w:rFonts w:ascii="Arial" w:hAnsi="Arial" w:cs="Arial"/>
          <w:sz w:val="20"/>
          <w:szCs w:val="20"/>
        </w:rPr>
        <w:t xml:space="preserve"> are therefore prepared in compliance with the Code of Practice on Local Authority </w:t>
      </w:r>
      <w:r w:rsidR="02B3AFF0" w:rsidRPr="00C9207C">
        <w:rPr>
          <w:rFonts w:ascii="Arial" w:hAnsi="Arial" w:cs="Arial"/>
          <w:sz w:val="20"/>
          <w:szCs w:val="20"/>
        </w:rPr>
        <w:t>A</w:t>
      </w:r>
      <w:r w:rsidRPr="00C9207C">
        <w:rPr>
          <w:rFonts w:ascii="Arial" w:hAnsi="Arial" w:cs="Arial"/>
          <w:sz w:val="20"/>
          <w:szCs w:val="20"/>
        </w:rPr>
        <w:t>ccounti</w:t>
      </w:r>
      <w:r w:rsidR="0B4CF223" w:rsidRPr="00C9207C">
        <w:rPr>
          <w:rFonts w:ascii="Arial" w:hAnsi="Arial" w:cs="Arial"/>
          <w:sz w:val="20"/>
          <w:szCs w:val="20"/>
        </w:rPr>
        <w:t xml:space="preserve">ng in the United Kingdom </w:t>
      </w:r>
      <w:r w:rsidR="6D7DB351" w:rsidRPr="00C9207C">
        <w:rPr>
          <w:rFonts w:ascii="Arial" w:hAnsi="Arial" w:cs="Arial"/>
          <w:sz w:val="20"/>
          <w:szCs w:val="20"/>
        </w:rPr>
        <w:t>202</w:t>
      </w:r>
      <w:r w:rsidR="008B6DC2" w:rsidRPr="00C9207C">
        <w:rPr>
          <w:rFonts w:ascii="Arial" w:hAnsi="Arial" w:cs="Arial"/>
          <w:sz w:val="20"/>
          <w:szCs w:val="20"/>
        </w:rPr>
        <w:t>5/26</w:t>
      </w:r>
      <w:r w:rsidRPr="00C9207C">
        <w:rPr>
          <w:rFonts w:ascii="Arial" w:hAnsi="Arial" w:cs="Arial"/>
          <w:sz w:val="20"/>
          <w:szCs w:val="20"/>
        </w:rPr>
        <w:t>, supported by International Financial Reporting Standards (IFRS), unless legislation or statutory guidance requires different treatment.</w:t>
      </w:r>
    </w:p>
    <w:p w14:paraId="5F3E0E4D" w14:textId="30F023CE" w:rsidR="009163B9" w:rsidRPr="00C9207C" w:rsidRDefault="009163B9" w:rsidP="00A51927">
      <w:pPr>
        <w:tabs>
          <w:tab w:val="left" w:pos="2166"/>
        </w:tabs>
        <w:spacing w:after="0" w:line="240" w:lineRule="auto"/>
        <w:rPr>
          <w:rFonts w:ascii="Arial" w:hAnsi="Arial" w:cs="Arial"/>
          <w:sz w:val="20"/>
          <w:szCs w:val="20"/>
        </w:rPr>
      </w:pPr>
    </w:p>
    <w:p w14:paraId="438BB16C" w14:textId="77777777" w:rsidR="00B52717" w:rsidRPr="00B52717" w:rsidRDefault="00EC75F3" w:rsidP="00B52717">
      <w:pPr>
        <w:tabs>
          <w:tab w:val="left" w:pos="2166"/>
        </w:tabs>
        <w:spacing w:after="0" w:line="240" w:lineRule="auto"/>
        <w:rPr>
          <w:rFonts w:ascii="Arial" w:hAnsi="Arial" w:cs="Arial"/>
          <w:sz w:val="20"/>
          <w:szCs w:val="20"/>
        </w:rPr>
      </w:pPr>
      <w:r w:rsidRPr="00C9207C">
        <w:rPr>
          <w:rFonts w:ascii="Arial" w:hAnsi="Arial" w:cs="Arial"/>
          <w:sz w:val="20"/>
          <w:szCs w:val="20"/>
        </w:rPr>
        <w:t xml:space="preserve">The accounts </w:t>
      </w:r>
      <w:r w:rsidR="00B52717" w:rsidRPr="00B52717">
        <w:rPr>
          <w:rFonts w:ascii="Arial" w:hAnsi="Arial" w:cs="Arial"/>
          <w:sz w:val="20"/>
          <w:szCs w:val="20"/>
        </w:rPr>
        <w:t>have been prepared on a historical cost basis, modified where appropriate in accordance with the Code.</w:t>
      </w:r>
    </w:p>
    <w:p w14:paraId="10381739" w14:textId="77777777" w:rsidR="00FB1743" w:rsidRDefault="00FB1743" w:rsidP="00A51927">
      <w:pPr>
        <w:tabs>
          <w:tab w:val="left" w:pos="2166"/>
        </w:tabs>
        <w:spacing w:after="0" w:line="240" w:lineRule="auto"/>
        <w:rPr>
          <w:rFonts w:ascii="Arial" w:hAnsi="Arial" w:cs="Arial"/>
          <w:sz w:val="20"/>
          <w:szCs w:val="20"/>
        </w:rPr>
      </w:pPr>
    </w:p>
    <w:p w14:paraId="301FB6F7" w14:textId="77777777" w:rsidR="00FB1743" w:rsidRPr="00FB1743" w:rsidRDefault="00FB1743" w:rsidP="00FB1743">
      <w:pPr>
        <w:tabs>
          <w:tab w:val="left" w:pos="2166"/>
        </w:tabs>
        <w:spacing w:after="0" w:line="240" w:lineRule="auto"/>
        <w:rPr>
          <w:rFonts w:ascii="Arial" w:hAnsi="Arial" w:cs="Arial"/>
          <w:sz w:val="20"/>
          <w:szCs w:val="20"/>
        </w:rPr>
      </w:pPr>
      <w:r w:rsidRPr="00FB1743">
        <w:rPr>
          <w:rFonts w:ascii="Arial" w:hAnsi="Arial" w:cs="Arial"/>
          <w:sz w:val="20"/>
          <w:szCs w:val="20"/>
        </w:rPr>
        <w:t>The accounting policies set out below are those considered material to an understanding of the IJB’s financial statements. They have been selected to reflect the nature of the IJB’s responsibilities, funding arrangements and transactions during the year.</w:t>
      </w:r>
    </w:p>
    <w:p w14:paraId="0504D594" w14:textId="77777777" w:rsidR="0066731E" w:rsidRPr="00C9207C" w:rsidRDefault="0066731E" w:rsidP="00A51927">
      <w:pPr>
        <w:spacing w:after="0" w:line="240" w:lineRule="auto"/>
        <w:ind w:left="720"/>
        <w:rPr>
          <w:rFonts w:ascii="Arial" w:hAnsi="Arial" w:cs="Arial"/>
          <w:sz w:val="20"/>
          <w:szCs w:val="20"/>
          <w:highlight w:val="yellow"/>
        </w:rPr>
      </w:pPr>
    </w:p>
    <w:p w14:paraId="231013D5" w14:textId="77777777" w:rsidR="00B52717" w:rsidRDefault="00B52717" w:rsidP="00A51927">
      <w:pPr>
        <w:spacing w:after="0" w:line="240" w:lineRule="auto"/>
        <w:ind w:left="720"/>
        <w:rPr>
          <w:rFonts w:ascii="Arial" w:hAnsi="Arial" w:cs="Arial"/>
          <w:sz w:val="20"/>
          <w:szCs w:val="20"/>
          <w:u w:val="single"/>
        </w:rPr>
      </w:pPr>
      <w:r>
        <w:rPr>
          <w:rFonts w:ascii="Arial" w:hAnsi="Arial" w:cs="Arial"/>
          <w:sz w:val="20"/>
          <w:szCs w:val="20"/>
          <w:u w:val="single"/>
        </w:rPr>
        <w:t>Going concern</w:t>
      </w:r>
    </w:p>
    <w:p w14:paraId="2E37A051" w14:textId="77777777" w:rsidR="00B52717" w:rsidRDefault="00B52717" w:rsidP="00A51927">
      <w:pPr>
        <w:spacing w:after="0" w:line="240" w:lineRule="auto"/>
        <w:ind w:left="720"/>
        <w:rPr>
          <w:rFonts w:ascii="Arial" w:hAnsi="Arial" w:cs="Arial"/>
          <w:sz w:val="20"/>
          <w:szCs w:val="20"/>
          <w:u w:val="single"/>
        </w:rPr>
      </w:pPr>
    </w:p>
    <w:p w14:paraId="296D3121" w14:textId="72E5D7C7" w:rsidR="00E749F7" w:rsidRPr="00E749F7" w:rsidRDefault="00E749F7" w:rsidP="00E749F7">
      <w:pPr>
        <w:tabs>
          <w:tab w:val="left" w:pos="2166"/>
        </w:tabs>
        <w:spacing w:after="0" w:line="240" w:lineRule="auto"/>
        <w:rPr>
          <w:rFonts w:ascii="Arial" w:hAnsi="Arial" w:cs="Arial"/>
          <w:sz w:val="20"/>
          <w:szCs w:val="20"/>
        </w:rPr>
      </w:pPr>
      <w:r w:rsidRPr="00E749F7">
        <w:rPr>
          <w:rFonts w:ascii="Arial" w:hAnsi="Arial" w:cs="Arial"/>
          <w:sz w:val="20"/>
          <w:szCs w:val="20"/>
        </w:rPr>
        <w:t xml:space="preserve">The financial statements have been prepared on a going concern </w:t>
      </w:r>
      <w:r w:rsidR="00496723" w:rsidRPr="00E749F7">
        <w:rPr>
          <w:rFonts w:ascii="Arial" w:hAnsi="Arial" w:cs="Arial"/>
          <w:sz w:val="20"/>
          <w:szCs w:val="20"/>
        </w:rPr>
        <w:t>basis. The</w:t>
      </w:r>
      <w:r w:rsidRPr="00E749F7">
        <w:rPr>
          <w:rFonts w:ascii="Arial" w:hAnsi="Arial" w:cs="Arial"/>
          <w:sz w:val="20"/>
          <w:szCs w:val="20"/>
        </w:rPr>
        <w:t xml:space="preserve"> preparation of the accounts on a going concern basis is considered appropriate on the basis that the IJB will continue to receive funding from partner bodies and will continue to discharge its statutory responsibilities for delegated functions.</w:t>
      </w:r>
    </w:p>
    <w:p w14:paraId="6055301A" w14:textId="77777777" w:rsidR="00B52717" w:rsidRDefault="00B52717" w:rsidP="00A51927">
      <w:pPr>
        <w:spacing w:after="0" w:line="240" w:lineRule="auto"/>
        <w:ind w:left="720"/>
        <w:rPr>
          <w:rFonts w:ascii="Arial" w:hAnsi="Arial" w:cs="Arial"/>
          <w:sz w:val="20"/>
          <w:szCs w:val="20"/>
          <w:u w:val="single"/>
        </w:rPr>
      </w:pPr>
    </w:p>
    <w:p w14:paraId="41914C3E" w14:textId="298FBF40" w:rsidR="0066731E" w:rsidRPr="00C9207C" w:rsidRDefault="0066731E"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Accruals of Income and Expenditure</w:t>
      </w:r>
    </w:p>
    <w:p w14:paraId="7E26B93E" w14:textId="77777777" w:rsidR="0066731E" w:rsidRPr="00C9207C" w:rsidRDefault="0066731E" w:rsidP="00A51927">
      <w:pPr>
        <w:spacing w:after="0" w:line="240" w:lineRule="auto"/>
        <w:ind w:left="720"/>
        <w:rPr>
          <w:rFonts w:ascii="Arial" w:hAnsi="Arial" w:cs="Arial"/>
          <w:sz w:val="20"/>
          <w:szCs w:val="20"/>
        </w:rPr>
      </w:pPr>
    </w:p>
    <w:p w14:paraId="178C9419" w14:textId="322CAE45" w:rsidR="0066731E" w:rsidRPr="00C9207C" w:rsidRDefault="0066731E" w:rsidP="00A51927">
      <w:pPr>
        <w:spacing w:after="0" w:line="240" w:lineRule="auto"/>
        <w:rPr>
          <w:rFonts w:ascii="Arial" w:hAnsi="Arial" w:cs="Arial"/>
          <w:sz w:val="20"/>
          <w:szCs w:val="20"/>
        </w:rPr>
      </w:pPr>
      <w:r w:rsidRPr="00C9207C">
        <w:rPr>
          <w:rFonts w:ascii="Arial" w:hAnsi="Arial" w:cs="Arial"/>
          <w:sz w:val="20"/>
          <w:szCs w:val="20"/>
        </w:rPr>
        <w:t xml:space="preserve">Activity is accounted for in the year that it takes place, not simply when </w:t>
      </w:r>
      <w:r w:rsidR="0079654B" w:rsidRPr="00C9207C">
        <w:rPr>
          <w:rFonts w:ascii="Arial" w:hAnsi="Arial" w:cs="Arial"/>
          <w:sz w:val="20"/>
          <w:szCs w:val="20"/>
        </w:rPr>
        <w:t>settlement in cash occurs</w:t>
      </w:r>
      <w:r w:rsidRPr="00C9207C">
        <w:rPr>
          <w:rFonts w:ascii="Arial" w:hAnsi="Arial" w:cs="Arial"/>
          <w:sz w:val="20"/>
          <w:szCs w:val="20"/>
        </w:rPr>
        <w:t>. In particular:</w:t>
      </w:r>
    </w:p>
    <w:p w14:paraId="071A4506" w14:textId="77777777" w:rsidR="0066731E" w:rsidRPr="00C9207C" w:rsidRDefault="0066731E" w:rsidP="00A51927">
      <w:pPr>
        <w:spacing w:after="0" w:line="240" w:lineRule="auto"/>
        <w:ind w:left="720"/>
        <w:rPr>
          <w:rFonts w:ascii="Arial" w:hAnsi="Arial" w:cs="Arial"/>
          <w:sz w:val="20"/>
          <w:szCs w:val="20"/>
        </w:rPr>
      </w:pPr>
    </w:p>
    <w:p w14:paraId="31C1EFCF" w14:textId="1E01F52B" w:rsidR="0066731E" w:rsidRPr="00C9207C" w:rsidRDefault="0066731E" w:rsidP="006D5013">
      <w:pPr>
        <w:pStyle w:val="ListParagraph"/>
        <w:numPr>
          <w:ilvl w:val="0"/>
          <w:numId w:val="3"/>
        </w:numPr>
        <w:spacing w:after="0" w:line="240" w:lineRule="auto"/>
        <w:ind w:left="1134" w:hanging="425"/>
        <w:rPr>
          <w:rFonts w:ascii="Arial" w:hAnsi="Arial" w:cs="Arial"/>
          <w:sz w:val="20"/>
          <w:szCs w:val="20"/>
        </w:rPr>
      </w:pPr>
      <w:r w:rsidRPr="00C9207C">
        <w:rPr>
          <w:rFonts w:ascii="Arial" w:hAnsi="Arial" w:cs="Arial"/>
          <w:sz w:val="20"/>
          <w:szCs w:val="20"/>
        </w:rPr>
        <w:t xml:space="preserve">Expenditure is recognised </w:t>
      </w:r>
      <w:r w:rsidR="0079654B" w:rsidRPr="00C9207C">
        <w:rPr>
          <w:rFonts w:ascii="Arial" w:hAnsi="Arial" w:cs="Arial"/>
          <w:sz w:val="20"/>
          <w:szCs w:val="20"/>
        </w:rPr>
        <w:t>when goods or services are received</w:t>
      </w:r>
      <w:r w:rsidR="001255E1" w:rsidRPr="00C9207C">
        <w:rPr>
          <w:rFonts w:ascii="Arial" w:hAnsi="Arial" w:cs="Arial"/>
          <w:sz w:val="20"/>
          <w:szCs w:val="20"/>
        </w:rPr>
        <w:t xml:space="preserve"> and their benefits are used by the IJB.</w:t>
      </w:r>
    </w:p>
    <w:p w14:paraId="5D6E56CA" w14:textId="7F0DBB9E" w:rsidR="0079654B" w:rsidRPr="00C9207C" w:rsidRDefault="0079654B" w:rsidP="006D5013">
      <w:pPr>
        <w:pStyle w:val="ListParagraph"/>
        <w:numPr>
          <w:ilvl w:val="0"/>
          <w:numId w:val="3"/>
        </w:numPr>
        <w:spacing w:after="0" w:line="240" w:lineRule="auto"/>
        <w:ind w:left="1134" w:hanging="425"/>
        <w:rPr>
          <w:rFonts w:ascii="Arial" w:hAnsi="Arial" w:cs="Arial"/>
          <w:sz w:val="20"/>
          <w:szCs w:val="20"/>
        </w:rPr>
      </w:pPr>
      <w:r w:rsidRPr="00C9207C">
        <w:rPr>
          <w:rFonts w:ascii="Arial" w:hAnsi="Arial" w:cs="Arial"/>
          <w:sz w:val="20"/>
          <w:szCs w:val="20"/>
        </w:rPr>
        <w:t xml:space="preserve">Income is recognised when the IJB </w:t>
      </w:r>
      <w:r w:rsidR="001255E1" w:rsidRPr="00C9207C">
        <w:rPr>
          <w:rFonts w:ascii="Arial" w:hAnsi="Arial" w:cs="Arial"/>
          <w:sz w:val="20"/>
          <w:szCs w:val="20"/>
        </w:rPr>
        <w:t xml:space="preserve">has a right to the income, for instance by meeting </w:t>
      </w:r>
      <w:r w:rsidR="0059705A" w:rsidRPr="00C9207C">
        <w:rPr>
          <w:rFonts w:ascii="Arial" w:hAnsi="Arial" w:cs="Arial"/>
          <w:sz w:val="20"/>
          <w:szCs w:val="20"/>
        </w:rPr>
        <w:t xml:space="preserve">any </w:t>
      </w:r>
      <w:r w:rsidR="001255E1" w:rsidRPr="00C9207C">
        <w:rPr>
          <w:rFonts w:ascii="Arial" w:hAnsi="Arial" w:cs="Arial"/>
          <w:sz w:val="20"/>
          <w:szCs w:val="20"/>
        </w:rPr>
        <w:t xml:space="preserve">terms and conditions </w:t>
      </w:r>
      <w:r w:rsidR="000812D7" w:rsidRPr="00C9207C">
        <w:rPr>
          <w:rFonts w:ascii="Arial" w:hAnsi="Arial" w:cs="Arial"/>
          <w:sz w:val="20"/>
          <w:szCs w:val="20"/>
        </w:rPr>
        <w:t xml:space="preserve">required </w:t>
      </w:r>
      <w:r w:rsidR="001255E1" w:rsidRPr="00C9207C">
        <w:rPr>
          <w:rFonts w:ascii="Arial" w:hAnsi="Arial" w:cs="Arial"/>
          <w:sz w:val="20"/>
          <w:szCs w:val="20"/>
        </w:rPr>
        <w:t xml:space="preserve">to earn the income, and receipt of the income is probable. </w:t>
      </w:r>
    </w:p>
    <w:p w14:paraId="20FEC446" w14:textId="513FF760" w:rsidR="001255E1" w:rsidRPr="00C9207C" w:rsidRDefault="001255E1" w:rsidP="006D5013">
      <w:pPr>
        <w:pStyle w:val="ListParagraph"/>
        <w:numPr>
          <w:ilvl w:val="0"/>
          <w:numId w:val="3"/>
        </w:numPr>
        <w:spacing w:after="0" w:line="240" w:lineRule="auto"/>
        <w:ind w:left="1134" w:hanging="425"/>
        <w:rPr>
          <w:rFonts w:ascii="Arial" w:hAnsi="Arial" w:cs="Arial"/>
          <w:sz w:val="20"/>
          <w:szCs w:val="20"/>
        </w:rPr>
      </w:pPr>
      <w:r w:rsidRPr="00C9207C">
        <w:rPr>
          <w:rFonts w:ascii="Arial" w:hAnsi="Arial" w:cs="Arial"/>
          <w:sz w:val="20"/>
          <w:szCs w:val="20"/>
        </w:rPr>
        <w:t>Where income and expenditure have been recognised but settlement in cash has not taken place, a debtor or creditor is recorded in the Balance Sheet.</w:t>
      </w:r>
    </w:p>
    <w:p w14:paraId="2D1D1F21" w14:textId="29F6C144" w:rsidR="001255E1" w:rsidRPr="00C9207C" w:rsidRDefault="00764129" w:rsidP="006D5013">
      <w:pPr>
        <w:pStyle w:val="ListParagraph"/>
        <w:numPr>
          <w:ilvl w:val="0"/>
          <w:numId w:val="3"/>
        </w:numPr>
        <w:spacing w:after="0" w:line="240" w:lineRule="auto"/>
        <w:ind w:left="1134" w:hanging="425"/>
        <w:rPr>
          <w:rFonts w:ascii="Arial" w:hAnsi="Arial" w:cs="Arial"/>
          <w:sz w:val="20"/>
          <w:szCs w:val="20"/>
        </w:rPr>
      </w:pPr>
      <w:r w:rsidRPr="00C9207C">
        <w:rPr>
          <w:rFonts w:ascii="Arial" w:hAnsi="Arial" w:cs="Arial"/>
          <w:sz w:val="20"/>
          <w:szCs w:val="20"/>
        </w:rPr>
        <w:t xml:space="preserve">Where debts may not be received, the balance of debtors is written </w:t>
      </w:r>
      <w:r w:rsidR="009E6E47" w:rsidRPr="00C9207C">
        <w:rPr>
          <w:rFonts w:ascii="Arial" w:hAnsi="Arial" w:cs="Arial"/>
          <w:sz w:val="20"/>
          <w:szCs w:val="20"/>
        </w:rPr>
        <w:t>down.</w:t>
      </w:r>
    </w:p>
    <w:p w14:paraId="31AB25CB" w14:textId="77777777" w:rsidR="00F726F9" w:rsidRPr="00C9207C" w:rsidRDefault="00F726F9" w:rsidP="00A51927">
      <w:pPr>
        <w:spacing w:after="0" w:line="240" w:lineRule="auto"/>
        <w:ind w:left="720"/>
        <w:rPr>
          <w:rFonts w:ascii="Arial" w:hAnsi="Arial" w:cs="Arial"/>
          <w:sz w:val="20"/>
          <w:szCs w:val="20"/>
        </w:rPr>
      </w:pPr>
    </w:p>
    <w:p w14:paraId="198CE7FE" w14:textId="0528958B" w:rsidR="00F726F9" w:rsidRPr="00C9207C" w:rsidRDefault="00EC75F3"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Funding</w:t>
      </w:r>
    </w:p>
    <w:p w14:paraId="4DACAE26" w14:textId="77777777" w:rsidR="00F726F9" w:rsidRPr="00C9207C" w:rsidRDefault="00F726F9" w:rsidP="00A51927">
      <w:pPr>
        <w:spacing w:after="0" w:line="240" w:lineRule="auto"/>
        <w:ind w:left="720"/>
        <w:rPr>
          <w:rFonts w:ascii="Arial" w:hAnsi="Arial" w:cs="Arial"/>
          <w:sz w:val="20"/>
          <w:szCs w:val="20"/>
        </w:rPr>
      </w:pPr>
    </w:p>
    <w:p w14:paraId="1E66D0E6" w14:textId="77777777" w:rsidR="009364FE" w:rsidRDefault="00EC75F3" w:rsidP="009364FE">
      <w:pPr>
        <w:spacing w:after="0" w:line="240" w:lineRule="auto"/>
        <w:rPr>
          <w:rFonts w:ascii="Arial" w:hAnsi="Arial" w:cs="Arial"/>
          <w:sz w:val="20"/>
          <w:szCs w:val="20"/>
        </w:rPr>
      </w:pPr>
      <w:r w:rsidRPr="00C9207C">
        <w:rPr>
          <w:rFonts w:ascii="Arial" w:hAnsi="Arial" w:cs="Arial"/>
          <w:sz w:val="20"/>
          <w:szCs w:val="20"/>
        </w:rPr>
        <w:t xml:space="preserve">The IJB is primarily funded through funding contributions from the statutory funding partners, </w:t>
      </w:r>
      <w:r w:rsidR="006274A0" w:rsidRPr="00C9207C">
        <w:rPr>
          <w:rFonts w:ascii="Arial" w:hAnsi="Arial" w:cs="Arial"/>
          <w:sz w:val="20"/>
          <w:szCs w:val="20"/>
        </w:rPr>
        <w:t>Aberdeen City Council</w:t>
      </w:r>
      <w:r w:rsidRPr="00C9207C">
        <w:rPr>
          <w:rFonts w:ascii="Arial" w:hAnsi="Arial" w:cs="Arial"/>
          <w:sz w:val="20"/>
          <w:szCs w:val="20"/>
        </w:rPr>
        <w:t xml:space="preserve"> and </w:t>
      </w:r>
      <w:r w:rsidR="00E509D9" w:rsidRPr="00C9207C">
        <w:rPr>
          <w:rFonts w:ascii="Arial" w:hAnsi="Arial" w:cs="Arial"/>
          <w:sz w:val="20"/>
          <w:szCs w:val="20"/>
        </w:rPr>
        <w:t>NHS Gramp</w:t>
      </w:r>
      <w:r w:rsidR="006274A0" w:rsidRPr="00C9207C">
        <w:rPr>
          <w:rFonts w:ascii="Arial" w:hAnsi="Arial" w:cs="Arial"/>
          <w:sz w:val="20"/>
          <w:szCs w:val="20"/>
        </w:rPr>
        <w:t>i</w:t>
      </w:r>
      <w:r w:rsidR="00E509D9" w:rsidRPr="00C9207C">
        <w:rPr>
          <w:rFonts w:ascii="Arial" w:hAnsi="Arial" w:cs="Arial"/>
          <w:sz w:val="20"/>
          <w:szCs w:val="20"/>
        </w:rPr>
        <w:t>a</w:t>
      </w:r>
      <w:r w:rsidR="006274A0" w:rsidRPr="00C9207C">
        <w:rPr>
          <w:rFonts w:ascii="Arial" w:hAnsi="Arial" w:cs="Arial"/>
          <w:sz w:val="20"/>
          <w:szCs w:val="20"/>
        </w:rPr>
        <w:t>n</w:t>
      </w:r>
      <w:r w:rsidR="00E60E28">
        <w:rPr>
          <w:rFonts w:ascii="Arial" w:hAnsi="Arial" w:cs="Arial"/>
          <w:sz w:val="20"/>
          <w:szCs w:val="20"/>
        </w:rPr>
        <w:t xml:space="preserve">, </w:t>
      </w:r>
      <w:r w:rsidR="00E60E28" w:rsidRPr="00E60E28">
        <w:rPr>
          <w:rFonts w:ascii="Arial" w:hAnsi="Arial" w:cs="Arial"/>
          <w:sz w:val="20"/>
          <w:szCs w:val="20"/>
        </w:rPr>
        <w:t xml:space="preserve">in accordance with the Integration Scheme and budget decisions agreed by the Board. </w:t>
      </w:r>
      <w:r w:rsidR="009364FE" w:rsidRPr="009364FE">
        <w:rPr>
          <w:rFonts w:ascii="Arial" w:hAnsi="Arial" w:cs="Arial"/>
          <w:sz w:val="20"/>
          <w:szCs w:val="20"/>
        </w:rPr>
        <w:t>Funding is recognised in the year to which it relates. Where additional in-year funding is agreed by partner bodies, this is recognised when the IJB has an entitlement to the funding and the amount can be measured reliably.</w:t>
      </w:r>
    </w:p>
    <w:p w14:paraId="34445A53" w14:textId="77777777" w:rsidR="0038383D" w:rsidRPr="009364FE" w:rsidRDefault="0038383D" w:rsidP="009364FE">
      <w:pPr>
        <w:spacing w:after="0" w:line="240" w:lineRule="auto"/>
        <w:rPr>
          <w:rFonts w:ascii="Arial" w:hAnsi="Arial" w:cs="Arial"/>
          <w:sz w:val="20"/>
          <w:szCs w:val="20"/>
        </w:rPr>
      </w:pPr>
    </w:p>
    <w:p w14:paraId="6968CD76" w14:textId="77777777" w:rsidR="009364FE" w:rsidRPr="009364FE" w:rsidRDefault="009364FE" w:rsidP="009364FE">
      <w:pPr>
        <w:spacing w:after="0" w:line="240" w:lineRule="auto"/>
        <w:rPr>
          <w:rFonts w:ascii="Arial" w:hAnsi="Arial" w:cs="Arial"/>
          <w:sz w:val="20"/>
          <w:szCs w:val="20"/>
        </w:rPr>
      </w:pPr>
      <w:r w:rsidRPr="009364FE">
        <w:rPr>
          <w:rFonts w:ascii="Arial" w:hAnsi="Arial" w:cs="Arial"/>
          <w:sz w:val="20"/>
          <w:szCs w:val="20"/>
        </w:rPr>
        <w:t>Contributions are recognised as income in the Comprehensive Income and Expenditure Statement and reflect the resources made available to the IJB to deliver delegated functions.</w:t>
      </w:r>
    </w:p>
    <w:p w14:paraId="4B4E56FD" w14:textId="77777777" w:rsidR="0038383D" w:rsidRDefault="0038383D" w:rsidP="00A51927">
      <w:pPr>
        <w:spacing w:after="0" w:line="240" w:lineRule="auto"/>
        <w:rPr>
          <w:rFonts w:ascii="Arial" w:hAnsi="Arial" w:cs="Arial"/>
          <w:sz w:val="20"/>
          <w:szCs w:val="20"/>
        </w:rPr>
      </w:pPr>
    </w:p>
    <w:p w14:paraId="4D8D8155" w14:textId="3931EC98" w:rsidR="007B63E9" w:rsidRPr="00C9207C" w:rsidRDefault="00EC75F3" w:rsidP="00A51927">
      <w:pPr>
        <w:spacing w:after="0" w:line="240" w:lineRule="auto"/>
        <w:rPr>
          <w:rFonts w:ascii="Arial" w:hAnsi="Arial" w:cs="Arial"/>
          <w:sz w:val="20"/>
          <w:szCs w:val="20"/>
        </w:rPr>
      </w:pPr>
      <w:r w:rsidRPr="00C9207C">
        <w:rPr>
          <w:rFonts w:ascii="Arial" w:hAnsi="Arial" w:cs="Arial"/>
          <w:sz w:val="20"/>
          <w:szCs w:val="20"/>
        </w:rPr>
        <w:t xml:space="preserve">Expenditure is incurred as the IJB commissions </w:t>
      </w:r>
      <w:r w:rsidR="00A62254" w:rsidRPr="00C9207C">
        <w:rPr>
          <w:rFonts w:ascii="Arial" w:hAnsi="Arial" w:cs="Arial"/>
          <w:sz w:val="20"/>
          <w:szCs w:val="20"/>
        </w:rPr>
        <w:t xml:space="preserve">specified </w:t>
      </w:r>
      <w:r w:rsidRPr="00C9207C">
        <w:rPr>
          <w:rFonts w:ascii="Arial" w:hAnsi="Arial" w:cs="Arial"/>
          <w:sz w:val="20"/>
          <w:szCs w:val="20"/>
        </w:rPr>
        <w:t xml:space="preserve">health and social care services </w:t>
      </w:r>
      <w:r w:rsidR="00A62254" w:rsidRPr="00C9207C">
        <w:rPr>
          <w:rFonts w:ascii="Arial" w:hAnsi="Arial" w:cs="Arial"/>
          <w:sz w:val="20"/>
          <w:szCs w:val="20"/>
        </w:rPr>
        <w:t xml:space="preserve">from the funding partners for the benefit of </w:t>
      </w:r>
      <w:r w:rsidRPr="00C9207C">
        <w:rPr>
          <w:rFonts w:ascii="Arial" w:hAnsi="Arial" w:cs="Arial"/>
          <w:sz w:val="20"/>
          <w:szCs w:val="20"/>
        </w:rPr>
        <w:t xml:space="preserve">service recipients in </w:t>
      </w:r>
      <w:r w:rsidR="006274A0" w:rsidRPr="00C9207C">
        <w:rPr>
          <w:rFonts w:ascii="Arial" w:hAnsi="Arial" w:cs="Arial"/>
          <w:sz w:val="20"/>
          <w:szCs w:val="20"/>
        </w:rPr>
        <w:t>Aberdeen City.</w:t>
      </w:r>
    </w:p>
    <w:p w14:paraId="34B386AE" w14:textId="0784C7A9" w:rsidR="3FF2E7AD" w:rsidRPr="00C9207C" w:rsidRDefault="3FF2E7AD" w:rsidP="00A51927">
      <w:pPr>
        <w:spacing w:after="0" w:line="240" w:lineRule="auto"/>
        <w:rPr>
          <w:rFonts w:ascii="Arial" w:hAnsi="Arial" w:cs="Arial"/>
          <w:sz w:val="20"/>
          <w:szCs w:val="20"/>
          <w:highlight w:val="yellow"/>
        </w:rPr>
      </w:pPr>
    </w:p>
    <w:p w14:paraId="6CE434EA" w14:textId="77777777" w:rsidR="00B031D2" w:rsidRDefault="00B031D2" w:rsidP="00A51927">
      <w:pPr>
        <w:spacing w:after="0" w:line="240" w:lineRule="auto"/>
        <w:ind w:left="720"/>
        <w:rPr>
          <w:rFonts w:ascii="Arial" w:hAnsi="Arial" w:cs="Arial"/>
          <w:sz w:val="20"/>
          <w:szCs w:val="20"/>
          <w:u w:val="single"/>
        </w:rPr>
      </w:pPr>
    </w:p>
    <w:p w14:paraId="5CCD4357" w14:textId="5A00E753" w:rsidR="00EC75F3" w:rsidRPr="00C9207C" w:rsidRDefault="00EC75F3" w:rsidP="00A51927">
      <w:pPr>
        <w:spacing w:after="0" w:line="240" w:lineRule="auto"/>
        <w:ind w:left="720"/>
        <w:rPr>
          <w:rFonts w:ascii="Arial" w:hAnsi="Arial" w:cs="Arial"/>
          <w:sz w:val="20"/>
          <w:szCs w:val="20"/>
          <w:u w:val="single"/>
        </w:rPr>
      </w:pPr>
      <w:r w:rsidRPr="00C9207C">
        <w:rPr>
          <w:rFonts w:ascii="Arial" w:hAnsi="Arial" w:cs="Arial"/>
          <w:sz w:val="20"/>
          <w:szCs w:val="20"/>
          <w:u w:val="single"/>
        </w:rPr>
        <w:lastRenderedPageBreak/>
        <w:t>Cash and Cash Equivalents</w:t>
      </w:r>
    </w:p>
    <w:p w14:paraId="499D3D24" w14:textId="77777777" w:rsidR="00EC75F3" w:rsidRPr="00C9207C" w:rsidRDefault="00EC75F3" w:rsidP="00A51927">
      <w:pPr>
        <w:spacing w:after="0" w:line="240" w:lineRule="auto"/>
        <w:ind w:left="720"/>
        <w:rPr>
          <w:rFonts w:ascii="Arial" w:hAnsi="Arial" w:cs="Arial"/>
          <w:sz w:val="20"/>
          <w:szCs w:val="20"/>
        </w:rPr>
      </w:pPr>
    </w:p>
    <w:p w14:paraId="303F746E" w14:textId="5E4BADF9" w:rsidR="00EC75F3" w:rsidRPr="00C9207C" w:rsidRDefault="00EC75F3" w:rsidP="00A51927">
      <w:pPr>
        <w:spacing w:after="0" w:line="240" w:lineRule="auto"/>
        <w:rPr>
          <w:rFonts w:ascii="Arial" w:hAnsi="Arial" w:cs="Arial"/>
          <w:color w:val="7030A0"/>
          <w:sz w:val="20"/>
          <w:szCs w:val="20"/>
        </w:rPr>
      </w:pPr>
      <w:r w:rsidRPr="00C9207C">
        <w:rPr>
          <w:rFonts w:ascii="Arial" w:hAnsi="Arial" w:cs="Arial"/>
          <w:sz w:val="20"/>
          <w:szCs w:val="20"/>
        </w:rPr>
        <w:t>The IJB does not operate a bank account or hold cash. Transactions are settled on behalf of the IJB by the funding partners. Consequently</w:t>
      </w:r>
      <w:r w:rsidR="00DA6E0E" w:rsidRPr="00C9207C">
        <w:rPr>
          <w:rFonts w:ascii="Arial" w:hAnsi="Arial" w:cs="Arial"/>
          <w:sz w:val="20"/>
          <w:szCs w:val="20"/>
        </w:rPr>
        <w:t>,</w:t>
      </w:r>
      <w:r w:rsidRPr="00C9207C">
        <w:rPr>
          <w:rFonts w:ascii="Arial" w:hAnsi="Arial" w:cs="Arial"/>
          <w:sz w:val="20"/>
          <w:szCs w:val="20"/>
        </w:rPr>
        <w:t xml:space="preserve"> the IJB does not present a ‘Cash and Cash Equivalent’ figure on the balance sheet</w:t>
      </w:r>
      <w:r w:rsidR="000135AA" w:rsidRPr="00C9207C">
        <w:rPr>
          <w:rFonts w:ascii="Arial" w:hAnsi="Arial" w:cs="Arial"/>
          <w:sz w:val="20"/>
          <w:szCs w:val="20"/>
        </w:rPr>
        <w:t xml:space="preserve"> or a cashflow statement</w:t>
      </w:r>
      <w:r w:rsidRPr="00C9207C">
        <w:rPr>
          <w:rFonts w:ascii="Arial" w:hAnsi="Arial" w:cs="Arial"/>
          <w:sz w:val="20"/>
          <w:szCs w:val="20"/>
        </w:rPr>
        <w:t>. The funding balance due to or from each funding partner as at 31 March is represented as a debtor or creditor on the IJB’s Balance Sheet.</w:t>
      </w:r>
      <w:r w:rsidR="00820078" w:rsidRPr="00C9207C">
        <w:rPr>
          <w:rFonts w:ascii="Arial" w:hAnsi="Arial" w:cs="Arial"/>
          <w:sz w:val="20"/>
          <w:szCs w:val="20"/>
        </w:rPr>
        <w:t xml:space="preserve">  </w:t>
      </w:r>
    </w:p>
    <w:p w14:paraId="3D8B84FF" w14:textId="77777777" w:rsidR="00EC75F3" w:rsidRPr="00C9207C" w:rsidRDefault="00EC75F3" w:rsidP="00A51927">
      <w:pPr>
        <w:spacing w:after="0" w:line="240" w:lineRule="auto"/>
        <w:ind w:left="720"/>
        <w:rPr>
          <w:rFonts w:ascii="Arial" w:hAnsi="Arial" w:cs="Arial"/>
          <w:sz w:val="20"/>
          <w:szCs w:val="20"/>
        </w:rPr>
      </w:pPr>
    </w:p>
    <w:p w14:paraId="055FAC17" w14:textId="4D2CBA44" w:rsidR="00080011" w:rsidRPr="00C9207C" w:rsidRDefault="00080011"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Employee Benefits</w:t>
      </w:r>
    </w:p>
    <w:p w14:paraId="7A87C984" w14:textId="77777777" w:rsidR="00080011" w:rsidRPr="00C9207C" w:rsidRDefault="00080011" w:rsidP="00A51927">
      <w:pPr>
        <w:spacing w:after="0" w:line="240" w:lineRule="auto"/>
        <w:ind w:left="720"/>
        <w:rPr>
          <w:rFonts w:ascii="Arial" w:hAnsi="Arial" w:cs="Arial"/>
          <w:sz w:val="20"/>
          <w:szCs w:val="20"/>
        </w:rPr>
      </w:pPr>
    </w:p>
    <w:p w14:paraId="72E153C1" w14:textId="1CE5054D" w:rsidR="00080011" w:rsidRPr="00C9207C" w:rsidRDefault="00080011" w:rsidP="00A51927">
      <w:pPr>
        <w:spacing w:after="0" w:line="240" w:lineRule="auto"/>
        <w:rPr>
          <w:rFonts w:ascii="Arial" w:hAnsi="Arial" w:cs="Arial"/>
          <w:sz w:val="20"/>
          <w:szCs w:val="20"/>
        </w:rPr>
      </w:pPr>
      <w:r w:rsidRPr="00C9207C">
        <w:rPr>
          <w:rFonts w:ascii="Arial" w:hAnsi="Arial" w:cs="Arial"/>
          <w:sz w:val="20"/>
          <w:szCs w:val="20"/>
        </w:rPr>
        <w:t xml:space="preserve">The IJB does </w:t>
      </w:r>
      <w:r w:rsidR="00F85A2B" w:rsidRPr="00C9207C">
        <w:rPr>
          <w:rFonts w:ascii="Arial" w:hAnsi="Arial" w:cs="Arial"/>
          <w:sz w:val="20"/>
          <w:szCs w:val="20"/>
        </w:rPr>
        <w:t xml:space="preserve">not </w:t>
      </w:r>
      <w:r w:rsidRPr="00C9207C">
        <w:rPr>
          <w:rFonts w:ascii="Arial" w:hAnsi="Arial" w:cs="Arial"/>
          <w:sz w:val="20"/>
          <w:szCs w:val="20"/>
        </w:rPr>
        <w:t>directly employ staff</w:t>
      </w:r>
      <w:r w:rsidR="0014287F" w:rsidRPr="00C9207C">
        <w:rPr>
          <w:rFonts w:ascii="Arial" w:hAnsi="Arial" w:cs="Arial"/>
          <w:sz w:val="20"/>
          <w:szCs w:val="20"/>
        </w:rPr>
        <w:t>. Staff are formally emplo</w:t>
      </w:r>
      <w:r w:rsidRPr="00C9207C">
        <w:rPr>
          <w:rFonts w:ascii="Arial" w:hAnsi="Arial" w:cs="Arial"/>
          <w:sz w:val="20"/>
          <w:szCs w:val="20"/>
        </w:rPr>
        <w:t>yed by the funding pa</w:t>
      </w:r>
      <w:r w:rsidR="0014287F" w:rsidRPr="00C9207C">
        <w:rPr>
          <w:rFonts w:ascii="Arial" w:hAnsi="Arial" w:cs="Arial"/>
          <w:sz w:val="20"/>
          <w:szCs w:val="20"/>
        </w:rPr>
        <w:t xml:space="preserve">rtners who retain the liability for pension benefits payable in the future. The IJB therefore does not </w:t>
      </w:r>
      <w:r w:rsidR="00F85A2B" w:rsidRPr="00C9207C">
        <w:rPr>
          <w:rFonts w:ascii="Arial" w:hAnsi="Arial" w:cs="Arial"/>
          <w:sz w:val="20"/>
          <w:szCs w:val="20"/>
        </w:rPr>
        <w:t>present</w:t>
      </w:r>
      <w:r w:rsidR="0014287F" w:rsidRPr="00C9207C">
        <w:rPr>
          <w:rFonts w:ascii="Arial" w:hAnsi="Arial" w:cs="Arial"/>
          <w:sz w:val="20"/>
          <w:szCs w:val="20"/>
        </w:rPr>
        <w:t xml:space="preserve"> a Pensions Liability on its Balance Sheet. </w:t>
      </w:r>
    </w:p>
    <w:p w14:paraId="558880F2" w14:textId="77777777" w:rsidR="00080011" w:rsidRPr="00C9207C" w:rsidRDefault="00080011" w:rsidP="00A51927">
      <w:pPr>
        <w:spacing w:after="0" w:line="240" w:lineRule="auto"/>
        <w:rPr>
          <w:rFonts w:ascii="Arial" w:hAnsi="Arial" w:cs="Arial"/>
          <w:sz w:val="20"/>
          <w:szCs w:val="20"/>
        </w:rPr>
      </w:pPr>
    </w:p>
    <w:p w14:paraId="21ABDDC1" w14:textId="3DA2C03E" w:rsidR="00080011" w:rsidRPr="00C9207C" w:rsidRDefault="00080011" w:rsidP="00A51927">
      <w:pPr>
        <w:spacing w:after="0" w:line="240" w:lineRule="auto"/>
        <w:rPr>
          <w:rFonts w:ascii="Arial" w:hAnsi="Arial" w:cs="Arial"/>
          <w:sz w:val="20"/>
          <w:szCs w:val="20"/>
        </w:rPr>
      </w:pPr>
      <w:r w:rsidRPr="00C9207C">
        <w:rPr>
          <w:rFonts w:ascii="Arial" w:hAnsi="Arial" w:cs="Arial"/>
          <w:sz w:val="20"/>
          <w:szCs w:val="20"/>
        </w:rPr>
        <w:t>The IJB has</w:t>
      </w:r>
      <w:r w:rsidR="0014287F" w:rsidRPr="00C9207C">
        <w:rPr>
          <w:rFonts w:ascii="Arial" w:hAnsi="Arial" w:cs="Arial"/>
          <w:sz w:val="20"/>
          <w:szCs w:val="20"/>
        </w:rPr>
        <w:t xml:space="preserve"> a</w:t>
      </w:r>
      <w:r w:rsidRPr="00C9207C">
        <w:rPr>
          <w:rFonts w:ascii="Arial" w:hAnsi="Arial" w:cs="Arial"/>
          <w:sz w:val="20"/>
          <w:szCs w:val="20"/>
        </w:rPr>
        <w:t xml:space="preserve"> legal resp</w:t>
      </w:r>
      <w:r w:rsidR="0014287F" w:rsidRPr="00C9207C">
        <w:rPr>
          <w:rFonts w:ascii="Arial" w:hAnsi="Arial" w:cs="Arial"/>
          <w:sz w:val="20"/>
          <w:szCs w:val="20"/>
        </w:rPr>
        <w:t>onsibility to</w:t>
      </w:r>
      <w:r w:rsidRPr="00C9207C">
        <w:rPr>
          <w:rFonts w:ascii="Arial" w:hAnsi="Arial" w:cs="Arial"/>
          <w:sz w:val="20"/>
          <w:szCs w:val="20"/>
        </w:rPr>
        <w:t xml:space="preserve"> appoint </w:t>
      </w:r>
      <w:r w:rsidR="0014287F" w:rsidRPr="00C9207C">
        <w:rPr>
          <w:rFonts w:ascii="Arial" w:hAnsi="Arial" w:cs="Arial"/>
          <w:sz w:val="20"/>
          <w:szCs w:val="20"/>
        </w:rPr>
        <w:t>a</w:t>
      </w:r>
      <w:r w:rsidRPr="00C9207C">
        <w:rPr>
          <w:rFonts w:ascii="Arial" w:hAnsi="Arial" w:cs="Arial"/>
          <w:sz w:val="20"/>
          <w:szCs w:val="20"/>
        </w:rPr>
        <w:t xml:space="preserve"> Chief Officer</w:t>
      </w:r>
      <w:r w:rsidR="0014287F" w:rsidRPr="00C9207C">
        <w:rPr>
          <w:rFonts w:ascii="Arial" w:hAnsi="Arial" w:cs="Arial"/>
          <w:sz w:val="20"/>
          <w:szCs w:val="20"/>
        </w:rPr>
        <w:t xml:space="preserve">. More details on the arrangements are provided in the Remuneration Report. </w:t>
      </w:r>
      <w:r w:rsidR="00F436E0" w:rsidRPr="00C9207C">
        <w:rPr>
          <w:rFonts w:ascii="Arial" w:hAnsi="Arial" w:cs="Arial"/>
          <w:sz w:val="20"/>
          <w:szCs w:val="20"/>
        </w:rPr>
        <w:t xml:space="preserve">The charges from the employing partner are treated as employee costs. </w:t>
      </w:r>
      <w:r w:rsidR="0014287F" w:rsidRPr="00C9207C">
        <w:rPr>
          <w:rFonts w:ascii="Arial" w:hAnsi="Arial" w:cs="Arial"/>
          <w:sz w:val="20"/>
          <w:szCs w:val="20"/>
        </w:rPr>
        <w:t xml:space="preserve">Where material </w:t>
      </w:r>
      <w:r w:rsidR="00145FCF" w:rsidRPr="00C9207C">
        <w:rPr>
          <w:rFonts w:ascii="Arial" w:hAnsi="Arial" w:cs="Arial"/>
          <w:sz w:val="20"/>
          <w:szCs w:val="20"/>
        </w:rPr>
        <w:t>the Chief Officer’s absence entitlement as at 31 March is accrued, for example in relation to annual leave earned but not yet taken.</w:t>
      </w:r>
      <w:r w:rsidR="006274A0" w:rsidRPr="00C9207C">
        <w:rPr>
          <w:rFonts w:ascii="Arial" w:hAnsi="Arial" w:cs="Arial"/>
          <w:sz w:val="20"/>
          <w:szCs w:val="20"/>
        </w:rPr>
        <w:t xml:space="preserve">   </w:t>
      </w:r>
      <w:r w:rsidR="00464A31" w:rsidRPr="00C9207C">
        <w:rPr>
          <w:rFonts w:ascii="Arial" w:hAnsi="Arial" w:cs="Arial"/>
          <w:sz w:val="20"/>
          <w:szCs w:val="20"/>
        </w:rPr>
        <w:t>In the case of Aberdeen City IJB any annual leave earned but not yet taken is not considered to be material.</w:t>
      </w:r>
    </w:p>
    <w:p w14:paraId="69D3B4DC" w14:textId="77777777" w:rsidR="009A3149" w:rsidRPr="00C9207C" w:rsidRDefault="009A3149" w:rsidP="00A51927">
      <w:pPr>
        <w:spacing w:after="0" w:line="240" w:lineRule="auto"/>
        <w:rPr>
          <w:rFonts w:ascii="Arial" w:hAnsi="Arial" w:cs="Arial"/>
          <w:sz w:val="20"/>
          <w:szCs w:val="20"/>
          <w:highlight w:val="yellow"/>
          <w:u w:val="single"/>
        </w:rPr>
      </w:pPr>
    </w:p>
    <w:p w14:paraId="05FFA8E0" w14:textId="6A28C6F9" w:rsidR="00F85A2E" w:rsidRPr="00C9207C" w:rsidRDefault="00F85A2E"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Reserves</w:t>
      </w:r>
    </w:p>
    <w:p w14:paraId="3BFE4522" w14:textId="77777777" w:rsidR="00F85A2E" w:rsidRPr="00C9207C" w:rsidRDefault="00F85A2E" w:rsidP="00A51927">
      <w:pPr>
        <w:spacing w:after="0" w:line="240" w:lineRule="auto"/>
        <w:ind w:left="720"/>
        <w:rPr>
          <w:rFonts w:ascii="Arial" w:hAnsi="Arial" w:cs="Arial"/>
          <w:sz w:val="20"/>
          <w:szCs w:val="20"/>
        </w:rPr>
      </w:pPr>
    </w:p>
    <w:p w14:paraId="411222CE" w14:textId="697584EC" w:rsidR="00C10CFB" w:rsidRPr="00C9207C" w:rsidRDefault="00C10CFB" w:rsidP="00A51927">
      <w:pPr>
        <w:pStyle w:val="Default"/>
        <w:tabs>
          <w:tab w:val="left" w:pos="1985"/>
        </w:tabs>
        <w:spacing w:before="120"/>
        <w:ind w:right="-46"/>
        <w:rPr>
          <w:rFonts w:ascii="Arial" w:hAnsi="Arial" w:cs="Arial"/>
          <w:sz w:val="20"/>
          <w:szCs w:val="20"/>
        </w:rPr>
      </w:pPr>
      <w:r w:rsidRPr="00C9207C">
        <w:rPr>
          <w:rFonts w:ascii="Arial" w:hAnsi="Arial" w:cs="Arial"/>
          <w:sz w:val="20"/>
          <w:szCs w:val="20"/>
        </w:rPr>
        <w:t>The I</w:t>
      </w:r>
      <w:r w:rsidR="00B0008B" w:rsidRPr="00C9207C">
        <w:rPr>
          <w:rFonts w:ascii="Arial" w:hAnsi="Arial" w:cs="Arial"/>
          <w:sz w:val="20"/>
          <w:szCs w:val="20"/>
        </w:rPr>
        <w:t>JB</w:t>
      </w:r>
      <w:r w:rsidRPr="00C9207C">
        <w:rPr>
          <w:rFonts w:ascii="Arial" w:hAnsi="Arial" w:cs="Arial"/>
          <w:sz w:val="20"/>
          <w:szCs w:val="20"/>
        </w:rPr>
        <w:t xml:space="preserve"> is permitted to set aside specific amounts as reserves for future policy purposes.  Reserves are generally held to do three things: </w:t>
      </w:r>
    </w:p>
    <w:p w14:paraId="79CE43C5" w14:textId="77777777" w:rsidR="009A3149" w:rsidRPr="00C9207C" w:rsidRDefault="009A3149" w:rsidP="00A51927">
      <w:pPr>
        <w:pStyle w:val="Default"/>
        <w:tabs>
          <w:tab w:val="left" w:pos="1985"/>
        </w:tabs>
        <w:spacing w:before="120"/>
        <w:ind w:right="-46"/>
        <w:rPr>
          <w:rFonts w:ascii="Arial" w:hAnsi="Arial" w:cs="Arial"/>
          <w:sz w:val="20"/>
          <w:szCs w:val="20"/>
        </w:rPr>
      </w:pPr>
    </w:p>
    <w:p w14:paraId="6FCE185E" w14:textId="77777777" w:rsidR="00C10CFB" w:rsidRPr="00C9207C" w:rsidRDefault="00C10CFB" w:rsidP="006D5013">
      <w:pPr>
        <w:pStyle w:val="ListParagraph"/>
        <w:numPr>
          <w:ilvl w:val="0"/>
          <w:numId w:val="6"/>
        </w:numPr>
        <w:autoSpaceDE w:val="0"/>
        <w:autoSpaceDN w:val="0"/>
        <w:adjustRightInd w:val="0"/>
        <w:spacing w:after="37" w:line="240" w:lineRule="auto"/>
        <w:ind w:left="1134" w:right="-46" w:hanging="425"/>
        <w:contextualSpacing/>
        <w:rPr>
          <w:rFonts w:ascii="Arial" w:hAnsi="Arial" w:cs="Arial"/>
          <w:color w:val="000000"/>
          <w:sz w:val="20"/>
          <w:szCs w:val="20"/>
        </w:rPr>
      </w:pPr>
      <w:r w:rsidRPr="00C9207C">
        <w:rPr>
          <w:rFonts w:ascii="Arial" w:hAnsi="Arial" w:cs="Arial"/>
          <w:color w:val="000000"/>
          <w:sz w:val="20"/>
          <w:szCs w:val="20"/>
        </w:rPr>
        <w:t xml:space="preserve">create a working balance to help cushion the impact of uneven cash flows – this forms part of general reserves; </w:t>
      </w:r>
    </w:p>
    <w:p w14:paraId="5089BEB1" w14:textId="4383F64D" w:rsidR="00C10CFB" w:rsidRPr="00C9207C" w:rsidRDefault="00C10CFB" w:rsidP="006D5013">
      <w:pPr>
        <w:pStyle w:val="ListParagraph"/>
        <w:numPr>
          <w:ilvl w:val="0"/>
          <w:numId w:val="6"/>
        </w:numPr>
        <w:autoSpaceDE w:val="0"/>
        <w:autoSpaceDN w:val="0"/>
        <w:adjustRightInd w:val="0"/>
        <w:spacing w:after="37" w:line="240" w:lineRule="auto"/>
        <w:ind w:left="1134" w:right="-46" w:hanging="425"/>
        <w:contextualSpacing/>
        <w:rPr>
          <w:rFonts w:ascii="Arial" w:hAnsi="Arial" w:cs="Arial"/>
          <w:color w:val="000000"/>
          <w:sz w:val="20"/>
          <w:szCs w:val="20"/>
        </w:rPr>
      </w:pPr>
      <w:r w:rsidRPr="00C9207C">
        <w:rPr>
          <w:rFonts w:ascii="Arial" w:hAnsi="Arial" w:cs="Arial"/>
          <w:color w:val="000000"/>
          <w:sz w:val="20"/>
          <w:szCs w:val="20"/>
        </w:rPr>
        <w:t xml:space="preserve">create a </w:t>
      </w:r>
      <w:r w:rsidR="00036BC1" w:rsidRPr="00C9207C">
        <w:rPr>
          <w:rFonts w:ascii="Arial" w:hAnsi="Arial" w:cs="Arial"/>
          <w:color w:val="000000"/>
          <w:sz w:val="20"/>
          <w:szCs w:val="20"/>
        </w:rPr>
        <w:t>risk fund</w:t>
      </w:r>
      <w:r w:rsidRPr="00C9207C">
        <w:rPr>
          <w:rFonts w:ascii="Arial" w:hAnsi="Arial" w:cs="Arial"/>
          <w:color w:val="000000"/>
          <w:sz w:val="20"/>
          <w:szCs w:val="20"/>
        </w:rPr>
        <w:t xml:space="preserve"> to cushion the impact of unexpected events or emergencies; and</w:t>
      </w:r>
    </w:p>
    <w:p w14:paraId="4F655F65" w14:textId="77777777" w:rsidR="00C10CFB" w:rsidRPr="00C9207C" w:rsidRDefault="00C10CFB" w:rsidP="006D5013">
      <w:pPr>
        <w:pStyle w:val="ListParagraph"/>
        <w:numPr>
          <w:ilvl w:val="0"/>
          <w:numId w:val="6"/>
        </w:numPr>
        <w:autoSpaceDE w:val="0"/>
        <w:autoSpaceDN w:val="0"/>
        <w:adjustRightInd w:val="0"/>
        <w:spacing w:after="37" w:line="240" w:lineRule="auto"/>
        <w:ind w:left="1134" w:right="-46" w:hanging="425"/>
        <w:contextualSpacing/>
        <w:rPr>
          <w:rFonts w:ascii="Arial" w:hAnsi="Arial" w:cs="Arial"/>
          <w:color w:val="000000"/>
          <w:sz w:val="20"/>
          <w:szCs w:val="20"/>
        </w:rPr>
      </w:pPr>
      <w:r w:rsidRPr="00C9207C">
        <w:rPr>
          <w:rFonts w:ascii="Arial" w:hAnsi="Arial" w:cs="Arial"/>
          <w:color w:val="000000"/>
          <w:sz w:val="20"/>
          <w:szCs w:val="20"/>
        </w:rPr>
        <w:t xml:space="preserve">create a means of building up funds, often referred to as earmarked reserves, to meet known or predicted liabilities. </w:t>
      </w:r>
    </w:p>
    <w:p w14:paraId="7F099063" w14:textId="77777777" w:rsidR="00C10CFB" w:rsidRPr="00C9207C" w:rsidRDefault="00C10CFB" w:rsidP="00A51927">
      <w:pPr>
        <w:pStyle w:val="ListParagraph"/>
        <w:autoSpaceDE w:val="0"/>
        <w:autoSpaceDN w:val="0"/>
        <w:adjustRightInd w:val="0"/>
        <w:spacing w:after="37" w:line="240" w:lineRule="auto"/>
        <w:ind w:left="1134" w:right="-46" w:hanging="283"/>
        <w:rPr>
          <w:rFonts w:ascii="Arial" w:hAnsi="Arial" w:cs="Arial"/>
          <w:color w:val="000000"/>
          <w:sz w:val="20"/>
          <w:szCs w:val="20"/>
        </w:rPr>
      </w:pPr>
    </w:p>
    <w:p w14:paraId="2CF518FB" w14:textId="5C794DBD" w:rsidR="00C10CFB" w:rsidRPr="00C9207C" w:rsidRDefault="00C10CFB" w:rsidP="00A51927">
      <w:pPr>
        <w:autoSpaceDE w:val="0"/>
        <w:autoSpaceDN w:val="0"/>
        <w:adjustRightInd w:val="0"/>
        <w:spacing w:after="37" w:line="240" w:lineRule="auto"/>
        <w:ind w:right="-46"/>
        <w:rPr>
          <w:rFonts w:ascii="Arial" w:hAnsi="Arial" w:cs="Arial"/>
          <w:sz w:val="20"/>
          <w:szCs w:val="20"/>
        </w:rPr>
      </w:pPr>
      <w:r w:rsidRPr="00C9207C">
        <w:rPr>
          <w:rFonts w:ascii="Arial" w:hAnsi="Arial" w:cs="Arial"/>
          <w:sz w:val="20"/>
          <w:szCs w:val="20"/>
        </w:rPr>
        <w:t>The balance of the reserves normally comprises:</w:t>
      </w:r>
    </w:p>
    <w:p w14:paraId="51CC2821" w14:textId="77777777" w:rsidR="00C10CFB" w:rsidRPr="00C9207C" w:rsidRDefault="00C10CFB" w:rsidP="006D5013">
      <w:pPr>
        <w:pStyle w:val="ListParagraph"/>
        <w:numPr>
          <w:ilvl w:val="0"/>
          <w:numId w:val="7"/>
        </w:numPr>
        <w:autoSpaceDE w:val="0"/>
        <w:autoSpaceDN w:val="0"/>
        <w:adjustRightInd w:val="0"/>
        <w:spacing w:after="37" w:line="240" w:lineRule="auto"/>
        <w:ind w:left="1134" w:right="-46" w:hanging="425"/>
        <w:contextualSpacing/>
        <w:rPr>
          <w:rFonts w:ascii="Arial" w:hAnsi="Arial" w:cs="Arial"/>
          <w:sz w:val="20"/>
          <w:szCs w:val="20"/>
        </w:rPr>
      </w:pPr>
      <w:r w:rsidRPr="00C9207C">
        <w:rPr>
          <w:rFonts w:ascii="Arial" w:hAnsi="Arial" w:cs="Arial"/>
          <w:sz w:val="20"/>
          <w:szCs w:val="20"/>
        </w:rPr>
        <w:t>funds that are earmarked or set aside for specific purposes; and</w:t>
      </w:r>
    </w:p>
    <w:p w14:paraId="202C56C0" w14:textId="77777777" w:rsidR="00C10CFB" w:rsidRPr="00C9207C" w:rsidRDefault="00C10CFB" w:rsidP="006D5013">
      <w:pPr>
        <w:pStyle w:val="ListParagraph"/>
        <w:numPr>
          <w:ilvl w:val="0"/>
          <w:numId w:val="7"/>
        </w:numPr>
        <w:autoSpaceDE w:val="0"/>
        <w:autoSpaceDN w:val="0"/>
        <w:adjustRightInd w:val="0"/>
        <w:spacing w:after="37" w:line="240" w:lineRule="auto"/>
        <w:ind w:left="1134" w:right="-46" w:hanging="425"/>
        <w:contextualSpacing/>
        <w:rPr>
          <w:rFonts w:ascii="Arial" w:hAnsi="Arial" w:cs="Arial"/>
          <w:sz w:val="20"/>
          <w:szCs w:val="20"/>
        </w:rPr>
      </w:pPr>
      <w:r w:rsidRPr="00C9207C">
        <w:rPr>
          <w:rFonts w:ascii="Arial" w:hAnsi="Arial" w:cs="Arial"/>
          <w:sz w:val="20"/>
          <w:szCs w:val="20"/>
        </w:rPr>
        <w:t>funds which are not earmarked for specific purposes but are set aside to deal with unexpected events or emergencies.</w:t>
      </w:r>
    </w:p>
    <w:p w14:paraId="6008D8A4" w14:textId="77777777" w:rsidR="00C10CFB" w:rsidRPr="00C9207C" w:rsidRDefault="00C10CFB" w:rsidP="00A51927">
      <w:pPr>
        <w:pStyle w:val="xl78"/>
        <w:autoSpaceDE w:val="0"/>
        <w:autoSpaceDN w:val="0"/>
        <w:adjustRightInd w:val="0"/>
        <w:spacing w:before="120" w:beforeAutospacing="0" w:after="0" w:afterAutospacing="0"/>
        <w:ind w:right="-46"/>
        <w:textAlignment w:val="auto"/>
        <w:rPr>
          <w:color w:val="auto"/>
          <w:sz w:val="20"/>
          <w:szCs w:val="20"/>
        </w:rPr>
      </w:pPr>
      <w:r w:rsidRPr="00C9207C">
        <w:rPr>
          <w:color w:val="auto"/>
          <w:sz w:val="20"/>
          <w:szCs w:val="20"/>
        </w:rPr>
        <w:t>Reserves are created by appropriating amounts out of the General Fund Balance in the Movement in Reserves Statement.  When expenditure to be financed from a reserve is incurred, it is charged against the appropriate line in the Income and Expenditure Statement in that year to score against the Surplus/Deficit on the Provision of Services.  The reserve is then appropriated back into the General Fund Balance in the Movement in Reserves Statement.</w:t>
      </w:r>
    </w:p>
    <w:p w14:paraId="0D096790" w14:textId="46481782" w:rsidR="00C10CFB" w:rsidRPr="00C9207C" w:rsidRDefault="00C10CFB" w:rsidP="00A51927">
      <w:pPr>
        <w:spacing w:after="0" w:line="240" w:lineRule="auto"/>
        <w:rPr>
          <w:rFonts w:ascii="Arial" w:hAnsi="Arial" w:cs="Arial"/>
          <w:sz w:val="20"/>
          <w:szCs w:val="20"/>
        </w:rPr>
      </w:pPr>
    </w:p>
    <w:p w14:paraId="7D4FC59C" w14:textId="5392BAA4" w:rsidR="00F85A2E" w:rsidRPr="00C9207C" w:rsidRDefault="00F85A2E" w:rsidP="00A51927">
      <w:pPr>
        <w:spacing w:after="0" w:line="240" w:lineRule="auto"/>
        <w:rPr>
          <w:rFonts w:ascii="Arial" w:hAnsi="Arial" w:cs="Arial"/>
          <w:sz w:val="20"/>
          <w:szCs w:val="20"/>
        </w:rPr>
      </w:pPr>
      <w:r w:rsidRPr="00C9207C">
        <w:rPr>
          <w:rFonts w:ascii="Arial" w:hAnsi="Arial" w:cs="Arial"/>
          <w:sz w:val="20"/>
          <w:szCs w:val="20"/>
        </w:rPr>
        <w:t xml:space="preserve">The IJB’s reserves are classified as either Usable or Unusable Reserves. </w:t>
      </w:r>
    </w:p>
    <w:p w14:paraId="1F08C386" w14:textId="77777777" w:rsidR="00F85A2E" w:rsidRPr="00C9207C" w:rsidRDefault="00F85A2E" w:rsidP="00A51927">
      <w:pPr>
        <w:spacing w:after="0" w:line="240" w:lineRule="auto"/>
        <w:rPr>
          <w:rFonts w:ascii="Arial" w:hAnsi="Arial" w:cs="Arial"/>
          <w:sz w:val="20"/>
          <w:szCs w:val="20"/>
        </w:rPr>
      </w:pPr>
    </w:p>
    <w:p w14:paraId="062AC97A" w14:textId="08960D20" w:rsidR="00F726F9" w:rsidRPr="00C9207C" w:rsidRDefault="4FCEADAB" w:rsidP="00A51927">
      <w:pPr>
        <w:spacing w:after="0" w:line="240" w:lineRule="auto"/>
        <w:rPr>
          <w:rFonts w:ascii="Arial" w:hAnsi="Arial" w:cs="Arial"/>
          <w:sz w:val="20"/>
          <w:szCs w:val="20"/>
        </w:rPr>
      </w:pPr>
      <w:r w:rsidRPr="00C9207C">
        <w:rPr>
          <w:rFonts w:ascii="Arial" w:hAnsi="Arial" w:cs="Arial"/>
          <w:sz w:val="20"/>
          <w:szCs w:val="20"/>
        </w:rPr>
        <w:t xml:space="preserve">The IJB’s only Usable Reserve is the General Fund. The balance of the General Fund as at 31 March shows the extent of resources which the IJB can use in later years to support service provision. </w:t>
      </w:r>
    </w:p>
    <w:p w14:paraId="4D9112E8" w14:textId="77777777" w:rsidR="00244A39" w:rsidRPr="00C9207C" w:rsidRDefault="00244A39" w:rsidP="00A51927">
      <w:pPr>
        <w:spacing w:after="0" w:line="240" w:lineRule="auto"/>
        <w:ind w:left="720"/>
        <w:rPr>
          <w:rFonts w:ascii="Arial" w:hAnsi="Arial" w:cs="Arial"/>
          <w:sz w:val="20"/>
          <w:szCs w:val="20"/>
          <w:highlight w:val="yellow"/>
          <w:u w:val="single"/>
        </w:rPr>
      </w:pPr>
    </w:p>
    <w:p w14:paraId="22BCC31C" w14:textId="77777777" w:rsidR="00B84ABD" w:rsidRDefault="00B84ABD" w:rsidP="00A51927">
      <w:pPr>
        <w:spacing w:after="0" w:line="240" w:lineRule="auto"/>
        <w:ind w:left="720"/>
        <w:rPr>
          <w:rFonts w:ascii="Arial" w:hAnsi="Arial" w:cs="Arial"/>
          <w:sz w:val="20"/>
          <w:szCs w:val="20"/>
          <w:u w:val="single"/>
        </w:rPr>
      </w:pPr>
      <w:r w:rsidRPr="00B84ABD">
        <w:rPr>
          <w:rFonts w:ascii="Arial" w:hAnsi="Arial" w:cs="Arial"/>
          <w:sz w:val="20"/>
          <w:szCs w:val="20"/>
          <w:u w:val="single"/>
        </w:rPr>
        <w:t xml:space="preserve">Provisions, Contingent Liabilities and Assets </w:t>
      </w:r>
    </w:p>
    <w:p w14:paraId="162767CB" w14:textId="77777777" w:rsidR="00B84ABD" w:rsidRDefault="00B84ABD" w:rsidP="00A51927">
      <w:pPr>
        <w:spacing w:after="0" w:line="240" w:lineRule="auto"/>
        <w:ind w:left="720"/>
        <w:rPr>
          <w:rFonts w:ascii="Arial" w:hAnsi="Arial" w:cs="Arial"/>
          <w:sz w:val="20"/>
          <w:szCs w:val="20"/>
          <w:u w:val="single"/>
        </w:rPr>
      </w:pPr>
    </w:p>
    <w:p w14:paraId="0A6EB918" w14:textId="77777777" w:rsidR="00CB4B7C" w:rsidRDefault="00B84ABD" w:rsidP="00B84ABD">
      <w:pPr>
        <w:spacing w:after="0" w:line="240" w:lineRule="auto"/>
        <w:rPr>
          <w:rFonts w:ascii="Arial" w:hAnsi="Arial" w:cs="Arial"/>
          <w:sz w:val="20"/>
          <w:szCs w:val="20"/>
        </w:rPr>
      </w:pPr>
      <w:r w:rsidRPr="00B84ABD">
        <w:rPr>
          <w:rFonts w:ascii="Arial" w:hAnsi="Arial" w:cs="Arial"/>
          <w:sz w:val="20"/>
          <w:szCs w:val="20"/>
        </w:rPr>
        <w:t xml:space="preserve">Contingent assets are not recognised in the accounting statements. Where there is a probable inflow of economic benefits or service potential, this is disclosed in the notes to the financial statements. </w:t>
      </w:r>
    </w:p>
    <w:p w14:paraId="546CCE93" w14:textId="77777777" w:rsidR="00CB4B7C" w:rsidRDefault="00CB4B7C" w:rsidP="00B84ABD">
      <w:pPr>
        <w:spacing w:after="0" w:line="240" w:lineRule="auto"/>
        <w:rPr>
          <w:rFonts w:ascii="Arial" w:hAnsi="Arial" w:cs="Arial"/>
          <w:sz w:val="20"/>
          <w:szCs w:val="20"/>
        </w:rPr>
      </w:pPr>
    </w:p>
    <w:p w14:paraId="72D12105" w14:textId="77777777" w:rsidR="00CB4B7C" w:rsidRDefault="00B84ABD" w:rsidP="00B84ABD">
      <w:pPr>
        <w:spacing w:after="0" w:line="240" w:lineRule="auto"/>
        <w:rPr>
          <w:rFonts w:ascii="Arial" w:hAnsi="Arial" w:cs="Arial"/>
          <w:sz w:val="20"/>
          <w:szCs w:val="20"/>
        </w:rPr>
      </w:pPr>
      <w:r w:rsidRPr="00B84ABD">
        <w:rPr>
          <w:rFonts w:ascii="Arial" w:hAnsi="Arial" w:cs="Arial"/>
          <w:sz w:val="20"/>
          <w:szCs w:val="20"/>
        </w:rPr>
        <w:t xml:space="preserve">Contingent liabilities are not recognised in the accounting statements. Where there is a possible obligation that may require a payment, or transfer of economic benefit, this is disclosed in the notes to the financial statements. </w:t>
      </w:r>
    </w:p>
    <w:p w14:paraId="25023038" w14:textId="77777777" w:rsidR="00CB4B7C" w:rsidRDefault="00CB4B7C" w:rsidP="00B84ABD">
      <w:pPr>
        <w:spacing w:after="0" w:line="240" w:lineRule="auto"/>
        <w:rPr>
          <w:rFonts w:ascii="Arial" w:hAnsi="Arial" w:cs="Arial"/>
          <w:sz w:val="20"/>
          <w:szCs w:val="20"/>
        </w:rPr>
      </w:pPr>
    </w:p>
    <w:p w14:paraId="639232A1" w14:textId="33469E06" w:rsidR="00B84ABD" w:rsidRDefault="00B84ABD" w:rsidP="00CB4B7C">
      <w:pPr>
        <w:spacing w:after="0" w:line="240" w:lineRule="auto"/>
        <w:rPr>
          <w:rFonts w:ascii="Arial" w:hAnsi="Arial" w:cs="Arial"/>
          <w:sz w:val="20"/>
          <w:szCs w:val="20"/>
          <w:u w:val="single"/>
        </w:rPr>
      </w:pPr>
      <w:r w:rsidRPr="00B84ABD">
        <w:rPr>
          <w:rFonts w:ascii="Arial" w:hAnsi="Arial" w:cs="Arial"/>
          <w:sz w:val="20"/>
          <w:szCs w:val="20"/>
        </w:rPr>
        <w:t>The value of provisions is based upon the Board’s obligations arising from past events, the probability that a transfer of economic benefit will take place and a reasonable estimate of the obligation.</w:t>
      </w:r>
    </w:p>
    <w:p w14:paraId="5F6E7B27" w14:textId="77777777" w:rsidR="00B84ABD" w:rsidRDefault="00B84ABD" w:rsidP="00A51927">
      <w:pPr>
        <w:spacing w:after="0" w:line="240" w:lineRule="auto"/>
        <w:ind w:left="720"/>
        <w:rPr>
          <w:rFonts w:ascii="Arial" w:hAnsi="Arial" w:cs="Arial"/>
          <w:sz w:val="20"/>
          <w:szCs w:val="20"/>
          <w:u w:val="single"/>
        </w:rPr>
      </w:pPr>
    </w:p>
    <w:p w14:paraId="6536FE80" w14:textId="77777777" w:rsidR="00B84ABD" w:rsidRDefault="00B84ABD" w:rsidP="00A51927">
      <w:pPr>
        <w:spacing w:after="0" w:line="240" w:lineRule="auto"/>
        <w:ind w:left="720"/>
        <w:rPr>
          <w:rFonts w:ascii="Arial" w:hAnsi="Arial" w:cs="Arial"/>
          <w:sz w:val="20"/>
          <w:szCs w:val="20"/>
          <w:u w:val="single"/>
        </w:rPr>
      </w:pPr>
    </w:p>
    <w:p w14:paraId="347E201D" w14:textId="087A0EA9" w:rsidR="00DF5F39" w:rsidRPr="00C9207C" w:rsidRDefault="00DF5F39" w:rsidP="00A51927">
      <w:pPr>
        <w:spacing w:after="0" w:line="240" w:lineRule="auto"/>
        <w:ind w:left="720"/>
        <w:rPr>
          <w:rFonts w:ascii="Arial" w:hAnsi="Arial" w:cs="Arial"/>
          <w:sz w:val="20"/>
          <w:szCs w:val="20"/>
          <w:u w:val="single"/>
        </w:rPr>
      </w:pPr>
      <w:r w:rsidRPr="00C9207C">
        <w:rPr>
          <w:rFonts w:ascii="Arial" w:hAnsi="Arial" w:cs="Arial"/>
          <w:sz w:val="20"/>
          <w:szCs w:val="20"/>
          <w:u w:val="single"/>
        </w:rPr>
        <w:lastRenderedPageBreak/>
        <w:t>Indemnity Insurance</w:t>
      </w:r>
    </w:p>
    <w:p w14:paraId="65A2C02A" w14:textId="77777777" w:rsidR="00DF5F39" w:rsidRPr="00C9207C" w:rsidRDefault="00DF5F39" w:rsidP="00A51927">
      <w:pPr>
        <w:spacing w:after="0" w:line="240" w:lineRule="auto"/>
        <w:ind w:left="720"/>
        <w:rPr>
          <w:rFonts w:ascii="Arial" w:hAnsi="Arial" w:cs="Arial"/>
          <w:sz w:val="20"/>
          <w:szCs w:val="20"/>
        </w:rPr>
      </w:pPr>
    </w:p>
    <w:p w14:paraId="39F8B5B7" w14:textId="34A83D1A" w:rsidR="00112272" w:rsidRPr="00C9207C" w:rsidRDefault="00DF5F39" w:rsidP="00A51927">
      <w:pPr>
        <w:spacing w:after="0" w:line="240" w:lineRule="auto"/>
        <w:rPr>
          <w:rFonts w:ascii="Arial" w:hAnsi="Arial" w:cs="Arial"/>
          <w:sz w:val="20"/>
          <w:szCs w:val="20"/>
        </w:rPr>
      </w:pPr>
      <w:r w:rsidRPr="00C9207C">
        <w:rPr>
          <w:rFonts w:ascii="Arial" w:hAnsi="Arial" w:cs="Arial"/>
          <w:sz w:val="20"/>
          <w:szCs w:val="20"/>
        </w:rPr>
        <w:t>The IJB has indemnity insurance</w:t>
      </w:r>
      <w:r w:rsidR="00F60BEE" w:rsidRPr="00C9207C">
        <w:rPr>
          <w:rFonts w:ascii="Arial" w:hAnsi="Arial" w:cs="Arial"/>
          <w:sz w:val="20"/>
          <w:szCs w:val="20"/>
        </w:rPr>
        <w:t xml:space="preserve"> for </w:t>
      </w:r>
      <w:r w:rsidR="00454633" w:rsidRPr="00C9207C">
        <w:rPr>
          <w:rFonts w:ascii="Arial" w:hAnsi="Arial" w:cs="Arial"/>
          <w:sz w:val="20"/>
          <w:szCs w:val="20"/>
        </w:rPr>
        <w:t>c</w:t>
      </w:r>
      <w:r w:rsidR="00F60BEE" w:rsidRPr="00C9207C">
        <w:rPr>
          <w:rFonts w:ascii="Arial" w:hAnsi="Arial" w:cs="Arial"/>
          <w:sz w:val="20"/>
          <w:szCs w:val="20"/>
        </w:rPr>
        <w:t xml:space="preserve">osts </w:t>
      </w:r>
      <w:r w:rsidR="001B23AA" w:rsidRPr="00C9207C">
        <w:rPr>
          <w:rFonts w:ascii="Arial" w:hAnsi="Arial" w:cs="Arial"/>
          <w:sz w:val="20"/>
          <w:szCs w:val="20"/>
        </w:rPr>
        <w:t>relating primarily to potential claim liabilities regarding Board member</w:t>
      </w:r>
      <w:r w:rsidR="00454633" w:rsidRPr="00C9207C">
        <w:rPr>
          <w:rFonts w:ascii="Arial" w:hAnsi="Arial" w:cs="Arial"/>
          <w:sz w:val="20"/>
          <w:szCs w:val="20"/>
        </w:rPr>
        <w:t xml:space="preserve"> and officer </w:t>
      </w:r>
      <w:r w:rsidR="001B23AA" w:rsidRPr="00C9207C">
        <w:rPr>
          <w:rFonts w:ascii="Arial" w:hAnsi="Arial" w:cs="Arial"/>
          <w:sz w:val="20"/>
          <w:szCs w:val="20"/>
        </w:rPr>
        <w:t xml:space="preserve">responsibilities. </w:t>
      </w:r>
      <w:r w:rsidR="006274A0" w:rsidRPr="00C9207C">
        <w:rPr>
          <w:rFonts w:ascii="Arial" w:hAnsi="Arial" w:cs="Arial"/>
          <w:sz w:val="20"/>
          <w:szCs w:val="20"/>
        </w:rPr>
        <w:t>NHS Grampian</w:t>
      </w:r>
      <w:r w:rsidR="00112272" w:rsidRPr="00C9207C">
        <w:rPr>
          <w:rFonts w:ascii="Arial" w:hAnsi="Arial" w:cs="Arial"/>
          <w:sz w:val="20"/>
          <w:szCs w:val="20"/>
        </w:rPr>
        <w:t xml:space="preserve"> and </w:t>
      </w:r>
      <w:r w:rsidR="006274A0" w:rsidRPr="00C9207C">
        <w:rPr>
          <w:rFonts w:ascii="Arial" w:hAnsi="Arial" w:cs="Arial"/>
          <w:sz w:val="20"/>
          <w:szCs w:val="20"/>
        </w:rPr>
        <w:t xml:space="preserve">Aberdeen City Council </w:t>
      </w:r>
      <w:r w:rsidR="00112272" w:rsidRPr="00C9207C">
        <w:rPr>
          <w:rFonts w:ascii="Arial" w:hAnsi="Arial" w:cs="Arial"/>
          <w:sz w:val="20"/>
          <w:szCs w:val="20"/>
        </w:rPr>
        <w:t xml:space="preserve">have responsibility for claims in respect of the services </w:t>
      </w:r>
      <w:r w:rsidR="001B23AA" w:rsidRPr="00C9207C">
        <w:rPr>
          <w:rFonts w:ascii="Arial" w:hAnsi="Arial" w:cs="Arial"/>
          <w:sz w:val="20"/>
          <w:szCs w:val="20"/>
        </w:rPr>
        <w:t xml:space="preserve">that </w:t>
      </w:r>
      <w:r w:rsidR="00112272" w:rsidRPr="00C9207C">
        <w:rPr>
          <w:rFonts w:ascii="Arial" w:hAnsi="Arial" w:cs="Arial"/>
          <w:sz w:val="20"/>
          <w:szCs w:val="20"/>
        </w:rPr>
        <w:t>they are statutorily responsible for</w:t>
      </w:r>
      <w:r w:rsidR="001B23AA" w:rsidRPr="00C9207C">
        <w:rPr>
          <w:rFonts w:ascii="Arial" w:hAnsi="Arial" w:cs="Arial"/>
          <w:sz w:val="20"/>
          <w:szCs w:val="20"/>
        </w:rPr>
        <w:t xml:space="preserve"> and that they provide</w:t>
      </w:r>
      <w:r w:rsidR="00112272" w:rsidRPr="00C9207C">
        <w:rPr>
          <w:rFonts w:ascii="Arial" w:hAnsi="Arial" w:cs="Arial"/>
          <w:sz w:val="20"/>
          <w:szCs w:val="20"/>
        </w:rPr>
        <w:t xml:space="preserve">. </w:t>
      </w:r>
    </w:p>
    <w:p w14:paraId="1A5925C8" w14:textId="77777777" w:rsidR="00112272" w:rsidRPr="00C9207C" w:rsidRDefault="00112272" w:rsidP="00A51927">
      <w:pPr>
        <w:spacing w:after="0" w:line="240" w:lineRule="auto"/>
        <w:rPr>
          <w:rFonts w:ascii="Arial" w:hAnsi="Arial" w:cs="Arial"/>
          <w:sz w:val="20"/>
          <w:szCs w:val="20"/>
        </w:rPr>
      </w:pPr>
    </w:p>
    <w:p w14:paraId="2F1D5CB2" w14:textId="43184400" w:rsidR="001B23AA" w:rsidRPr="00C9207C" w:rsidRDefault="001B23AA" w:rsidP="00A51927">
      <w:pPr>
        <w:spacing w:after="0" w:line="240" w:lineRule="auto"/>
        <w:rPr>
          <w:rFonts w:ascii="Arial" w:hAnsi="Arial" w:cs="Arial"/>
          <w:sz w:val="20"/>
          <w:szCs w:val="20"/>
        </w:rPr>
      </w:pPr>
      <w:r w:rsidRPr="00C9207C">
        <w:rPr>
          <w:rFonts w:ascii="Arial" w:hAnsi="Arial" w:cs="Arial"/>
          <w:sz w:val="20"/>
          <w:szCs w:val="20"/>
        </w:rPr>
        <w:t>Unlike NHS Boards, the IJB does not have any ‘shared risk’ exposure from participation in CNORIS. The IJB participation in the CNORIS scheme is therefore analogous to normal insurance arrangements.</w:t>
      </w:r>
    </w:p>
    <w:p w14:paraId="1479E817" w14:textId="0A3C316F" w:rsidR="001B23AA" w:rsidRPr="00C9207C" w:rsidRDefault="001B23AA" w:rsidP="00A51927">
      <w:pPr>
        <w:tabs>
          <w:tab w:val="left" w:pos="1993"/>
        </w:tabs>
        <w:spacing w:after="0" w:line="240" w:lineRule="auto"/>
        <w:rPr>
          <w:rFonts w:ascii="Arial" w:hAnsi="Arial" w:cs="Arial"/>
          <w:sz w:val="20"/>
          <w:szCs w:val="20"/>
        </w:rPr>
      </w:pPr>
    </w:p>
    <w:p w14:paraId="254DFE03" w14:textId="75109D55" w:rsidR="00555286" w:rsidRPr="00C9207C" w:rsidRDefault="00555286" w:rsidP="00A51927">
      <w:pPr>
        <w:spacing w:after="0" w:line="240" w:lineRule="auto"/>
        <w:rPr>
          <w:rFonts w:ascii="Arial" w:hAnsi="Arial" w:cs="Arial"/>
          <w:sz w:val="20"/>
          <w:szCs w:val="20"/>
        </w:rPr>
      </w:pPr>
      <w:r w:rsidRPr="00C9207C">
        <w:rPr>
          <w:rFonts w:ascii="Arial" w:hAnsi="Arial" w:cs="Arial"/>
          <w:sz w:val="20"/>
          <w:szCs w:val="20"/>
        </w:rPr>
        <w:t>Known claims are assessed as to the value and probability of settlement. Where it is material the overall expected value</w:t>
      </w:r>
      <w:r w:rsidR="001B23AA" w:rsidRPr="00C9207C">
        <w:rPr>
          <w:rFonts w:ascii="Arial" w:hAnsi="Arial" w:cs="Arial"/>
          <w:sz w:val="20"/>
          <w:szCs w:val="20"/>
        </w:rPr>
        <w:t xml:space="preserve"> of known claims taking probability of settlement into consideration, </w:t>
      </w:r>
      <w:r w:rsidRPr="00C9207C">
        <w:rPr>
          <w:rFonts w:ascii="Arial" w:hAnsi="Arial" w:cs="Arial"/>
          <w:sz w:val="20"/>
          <w:szCs w:val="20"/>
        </w:rPr>
        <w:t xml:space="preserve">is provided for in the IJB’s Balance Sheet. </w:t>
      </w:r>
    </w:p>
    <w:p w14:paraId="16613D77" w14:textId="77777777" w:rsidR="00454633" w:rsidRPr="00C9207C" w:rsidRDefault="00454633" w:rsidP="00A51927">
      <w:pPr>
        <w:spacing w:after="0" w:line="240" w:lineRule="auto"/>
        <w:rPr>
          <w:rFonts w:ascii="Arial" w:hAnsi="Arial" w:cs="Arial"/>
          <w:sz w:val="20"/>
          <w:szCs w:val="20"/>
        </w:rPr>
      </w:pPr>
    </w:p>
    <w:p w14:paraId="57C6A4E6" w14:textId="24AD63F1" w:rsidR="006C14B2" w:rsidRPr="00C9207C" w:rsidRDefault="00454633" w:rsidP="00A51927">
      <w:pPr>
        <w:spacing w:after="0" w:line="240" w:lineRule="auto"/>
        <w:rPr>
          <w:rFonts w:ascii="Arial" w:hAnsi="Arial" w:cs="Arial"/>
          <w:sz w:val="20"/>
          <w:szCs w:val="20"/>
        </w:rPr>
      </w:pPr>
      <w:r w:rsidRPr="00C9207C">
        <w:rPr>
          <w:rFonts w:ascii="Arial" w:hAnsi="Arial" w:cs="Arial"/>
          <w:sz w:val="20"/>
          <w:szCs w:val="20"/>
        </w:rPr>
        <w:t>The likelihood of receipt of an insurance settlement to cover any claims is separately assessed and, where material, presented as either a debtor or d</w:t>
      </w:r>
      <w:r w:rsidR="0057046D" w:rsidRPr="00C9207C">
        <w:rPr>
          <w:rFonts w:ascii="Arial" w:hAnsi="Arial" w:cs="Arial"/>
          <w:sz w:val="20"/>
          <w:szCs w:val="20"/>
        </w:rPr>
        <w:t>isclosed as a contingent asset.</w:t>
      </w:r>
    </w:p>
    <w:p w14:paraId="1190BDFA" w14:textId="77777777" w:rsidR="00C10CFB" w:rsidRPr="00C9207C" w:rsidRDefault="00C10CFB" w:rsidP="00A51927">
      <w:pPr>
        <w:spacing w:after="0" w:line="240" w:lineRule="auto"/>
        <w:ind w:left="720"/>
        <w:rPr>
          <w:rFonts w:ascii="Arial" w:hAnsi="Arial" w:cs="Arial"/>
          <w:sz w:val="20"/>
          <w:szCs w:val="20"/>
          <w:highlight w:val="yellow"/>
        </w:rPr>
      </w:pPr>
    </w:p>
    <w:p w14:paraId="193A9B05" w14:textId="77777777" w:rsidR="00C10CFB" w:rsidRPr="00C9207C" w:rsidRDefault="00C10CFB" w:rsidP="00A51927">
      <w:pPr>
        <w:tabs>
          <w:tab w:val="left" w:pos="-360"/>
        </w:tabs>
        <w:autoSpaceDE w:val="0"/>
        <w:autoSpaceDN w:val="0"/>
        <w:adjustRightInd w:val="0"/>
        <w:spacing w:after="0" w:line="240" w:lineRule="auto"/>
        <w:ind w:left="360" w:right="-46"/>
        <w:rPr>
          <w:rFonts w:ascii="Arial" w:hAnsi="Arial" w:cs="Arial"/>
          <w:bCs/>
          <w:sz w:val="20"/>
          <w:szCs w:val="20"/>
          <w:u w:val="single"/>
        </w:rPr>
      </w:pPr>
      <w:r w:rsidRPr="00C9207C">
        <w:rPr>
          <w:rFonts w:ascii="Arial" w:hAnsi="Arial" w:cs="Arial"/>
          <w:sz w:val="20"/>
          <w:szCs w:val="20"/>
          <w:u w:val="single"/>
        </w:rPr>
        <w:t>Support Services</w:t>
      </w:r>
    </w:p>
    <w:p w14:paraId="7859C7FC" w14:textId="67899F28" w:rsidR="00C10CFB" w:rsidRPr="00C9207C" w:rsidRDefault="00C10CFB" w:rsidP="00A51927">
      <w:pPr>
        <w:pStyle w:val="ExampleText"/>
        <w:spacing w:before="120" w:line="240" w:lineRule="auto"/>
        <w:ind w:left="0" w:right="-46"/>
        <w:rPr>
          <w:rFonts w:ascii="Arial" w:eastAsiaTheme="minorHAnsi" w:hAnsi="Arial" w:cs="Arial"/>
        </w:rPr>
      </w:pPr>
      <w:r w:rsidRPr="00C9207C">
        <w:rPr>
          <w:rFonts w:ascii="Arial" w:hAnsi="Arial" w:cs="Arial"/>
          <w:color w:val="auto"/>
        </w:rPr>
        <w:t xml:space="preserve">Corporate support services (finance, legal and strategy) are provided by </w:t>
      </w:r>
      <w:r w:rsidRPr="00C9207C">
        <w:rPr>
          <w:rFonts w:ascii="Arial" w:hAnsi="Arial" w:cs="Arial"/>
          <w:lang w:val="en-US"/>
        </w:rPr>
        <w:t>Aberdeen City</w:t>
      </w:r>
      <w:r w:rsidRPr="00C9207C">
        <w:rPr>
          <w:rFonts w:ascii="Arial" w:eastAsiaTheme="minorHAnsi" w:hAnsi="Arial" w:cs="Arial"/>
        </w:rPr>
        <w:t xml:space="preserve"> Council and NHS Grampian at no cost to the IJB and it is not possible to separately identify these costs. To the extent that delegated services include an element of overheads and support services costs, these will be included within the appropriate line within the Income and Expenditure statement. </w:t>
      </w:r>
    </w:p>
    <w:p w14:paraId="5EE83D1E" w14:textId="77777777" w:rsidR="007F17AE" w:rsidRPr="00C9207C" w:rsidRDefault="007F17AE" w:rsidP="00A51927">
      <w:pPr>
        <w:pStyle w:val="ExampleText"/>
        <w:spacing w:before="120" w:line="240" w:lineRule="auto"/>
        <w:ind w:left="0" w:right="-46"/>
        <w:rPr>
          <w:rFonts w:ascii="Arial" w:eastAsiaTheme="minorHAnsi" w:hAnsi="Arial" w:cs="Arial"/>
          <w:highlight w:val="yellow"/>
        </w:rPr>
      </w:pPr>
    </w:p>
    <w:p w14:paraId="01962DF0" w14:textId="72938FAD" w:rsidR="007F17AE" w:rsidRPr="00C9207C" w:rsidRDefault="0530FE7E" w:rsidP="006D5013">
      <w:pPr>
        <w:pStyle w:val="Heading3"/>
        <w:numPr>
          <w:ilvl w:val="2"/>
          <w:numId w:val="11"/>
        </w:numPr>
        <w:jc w:val="left"/>
        <w:rPr>
          <w:rFonts w:ascii="Arial" w:hAnsi="Arial" w:cs="Arial"/>
        </w:rPr>
      </w:pPr>
      <w:bookmarkStart w:id="33" w:name="_Toc232169356"/>
      <w:r w:rsidRPr="00C9207C">
        <w:rPr>
          <w:rFonts w:ascii="Arial" w:hAnsi="Arial" w:cs="Arial"/>
        </w:rPr>
        <w:t>Accounting Standards that have been Issued but have not yet been Adopted</w:t>
      </w:r>
      <w:bookmarkEnd w:id="33"/>
    </w:p>
    <w:p w14:paraId="615606F2" w14:textId="77777777" w:rsidR="00566EB9" w:rsidRPr="00C9207C" w:rsidRDefault="00566EB9" w:rsidP="00566EB9">
      <w:pPr>
        <w:rPr>
          <w:rFonts w:ascii="Arial" w:hAnsi="Arial" w:cs="Arial"/>
          <w:sz w:val="20"/>
          <w:szCs w:val="20"/>
        </w:rPr>
      </w:pPr>
    </w:p>
    <w:p w14:paraId="32613B1A" w14:textId="77777777" w:rsidR="00566EB9" w:rsidRPr="00C9207C" w:rsidRDefault="00566EB9" w:rsidP="00566EB9">
      <w:pPr>
        <w:spacing w:after="0" w:line="240" w:lineRule="auto"/>
        <w:rPr>
          <w:rFonts w:ascii="Arial" w:eastAsiaTheme="minorHAnsi" w:hAnsi="Arial" w:cs="Arial"/>
          <w:color w:val="000000"/>
          <w:sz w:val="20"/>
          <w:szCs w:val="20"/>
          <w:lang w:eastAsia="en-GB"/>
        </w:rPr>
      </w:pPr>
      <w:r w:rsidRPr="00C9207C">
        <w:rPr>
          <w:rFonts w:ascii="Arial" w:eastAsiaTheme="minorHAnsi" w:hAnsi="Arial" w:cs="Arial"/>
          <w:color w:val="000000"/>
          <w:sz w:val="20"/>
          <w:szCs w:val="20"/>
          <w:lang w:eastAsia="en-GB"/>
        </w:rPr>
        <w:t>The Code requires the disclosure of information relating to the impact of new or amended accounting standards that have been issued but are not yet effective and could have a material impact on the financial statements.</w:t>
      </w:r>
    </w:p>
    <w:p w14:paraId="6D1055EF" w14:textId="77777777" w:rsidR="00566EB9" w:rsidRPr="00C9207C" w:rsidRDefault="00566EB9" w:rsidP="00566EB9">
      <w:pPr>
        <w:spacing w:after="0" w:line="240" w:lineRule="auto"/>
        <w:rPr>
          <w:rFonts w:ascii="Arial" w:eastAsiaTheme="minorHAnsi" w:hAnsi="Arial" w:cs="Arial"/>
          <w:color w:val="000000"/>
          <w:sz w:val="20"/>
          <w:szCs w:val="20"/>
          <w:lang w:eastAsia="en-GB"/>
        </w:rPr>
      </w:pPr>
    </w:p>
    <w:p w14:paraId="57252FC8" w14:textId="092A8242" w:rsidR="00566EB9" w:rsidRPr="00C9207C" w:rsidRDefault="00566EB9" w:rsidP="00566EB9">
      <w:pPr>
        <w:spacing w:after="0" w:line="240" w:lineRule="auto"/>
        <w:rPr>
          <w:rFonts w:ascii="Arial" w:eastAsiaTheme="minorHAnsi" w:hAnsi="Arial" w:cs="Arial"/>
          <w:color w:val="000000"/>
          <w:sz w:val="20"/>
          <w:szCs w:val="20"/>
          <w:lang w:eastAsia="en-GB"/>
        </w:rPr>
      </w:pPr>
      <w:r w:rsidRPr="00C9207C">
        <w:rPr>
          <w:rFonts w:ascii="Arial" w:eastAsiaTheme="minorHAnsi" w:hAnsi="Arial" w:cs="Arial"/>
          <w:color w:val="000000"/>
          <w:sz w:val="20"/>
          <w:szCs w:val="20"/>
          <w:lang w:eastAsia="en-GB"/>
        </w:rPr>
        <w:t xml:space="preserve">At the date of authorisation of these financial statements, a number of new or amended standards have been issued but are not yet effective. These relate primarily to presentation and disclosure requirements and to financial instruments. </w:t>
      </w:r>
    </w:p>
    <w:p w14:paraId="518F7FE6" w14:textId="77777777" w:rsidR="00566EB9" w:rsidRPr="00C9207C" w:rsidRDefault="00566EB9" w:rsidP="00566EB9">
      <w:pPr>
        <w:spacing w:after="0" w:line="240" w:lineRule="auto"/>
        <w:rPr>
          <w:rFonts w:ascii="Arial" w:eastAsiaTheme="minorHAnsi" w:hAnsi="Arial" w:cs="Arial"/>
          <w:color w:val="000000"/>
          <w:sz w:val="20"/>
          <w:szCs w:val="20"/>
          <w:lang w:eastAsia="en-GB"/>
        </w:rPr>
      </w:pPr>
    </w:p>
    <w:p w14:paraId="762B56A7" w14:textId="26BD91CF" w:rsidR="009B5A09" w:rsidRPr="00C9207C" w:rsidRDefault="00566EB9" w:rsidP="00566EB9">
      <w:pPr>
        <w:spacing w:after="0" w:line="240" w:lineRule="auto"/>
        <w:rPr>
          <w:rFonts w:ascii="Arial" w:hAnsi="Arial" w:cs="Arial"/>
          <w:kern w:val="2"/>
          <w:sz w:val="20"/>
          <w:szCs w:val="20"/>
          <w14:ligatures w14:val="standardContextual"/>
        </w:rPr>
      </w:pPr>
      <w:r w:rsidRPr="00C9207C">
        <w:rPr>
          <w:rFonts w:ascii="Arial" w:eastAsiaTheme="minorHAnsi" w:hAnsi="Arial" w:cs="Arial"/>
          <w:color w:val="000000"/>
          <w:sz w:val="20"/>
          <w:szCs w:val="20"/>
          <w:lang w:eastAsia="en-GB"/>
        </w:rPr>
        <w:t>The Integration Joint Board has assessed these standards and amendments and does not consider that they will have a material impact on the financial statements. No standards have been identified that are expected to materially change the measurement or recognition of transactions relevant to the IJB.</w:t>
      </w:r>
    </w:p>
    <w:p w14:paraId="27660E6B" w14:textId="77777777" w:rsidR="00D3567C" w:rsidRPr="00321E05" w:rsidRDefault="00D3567C" w:rsidP="00A51927">
      <w:pPr>
        <w:pStyle w:val="ExampleText"/>
        <w:spacing w:before="120" w:line="240" w:lineRule="auto"/>
        <w:ind w:left="0" w:right="-46"/>
        <w:rPr>
          <w:rFonts w:ascii="Arial" w:hAnsi="Arial" w:cs="Arial"/>
          <w:color w:val="auto"/>
        </w:rPr>
      </w:pPr>
    </w:p>
    <w:p w14:paraId="7AB0E338" w14:textId="63E3AADA" w:rsidR="006C14B2" w:rsidRPr="00321E05" w:rsidRDefault="3F8ABEAA" w:rsidP="006D5013">
      <w:pPr>
        <w:pStyle w:val="Heading3"/>
        <w:numPr>
          <w:ilvl w:val="2"/>
          <w:numId w:val="11"/>
        </w:numPr>
        <w:jc w:val="left"/>
        <w:rPr>
          <w:rFonts w:ascii="Arial" w:hAnsi="Arial" w:cs="Arial"/>
        </w:rPr>
      </w:pPr>
      <w:bookmarkStart w:id="34" w:name="_Toc70062056"/>
      <w:bookmarkStart w:id="35" w:name="_Toc232169357"/>
      <w:r w:rsidRPr="00321E05">
        <w:rPr>
          <w:rFonts w:ascii="Arial" w:hAnsi="Arial" w:cs="Arial"/>
        </w:rPr>
        <w:t>Critical Judgements and Estimation Uncertainty</w:t>
      </w:r>
      <w:bookmarkEnd w:id="34"/>
      <w:bookmarkEnd w:id="35"/>
    </w:p>
    <w:p w14:paraId="2591E5A9" w14:textId="77777777" w:rsidR="003C5C29" w:rsidRPr="00321E05" w:rsidRDefault="003C5C29" w:rsidP="00A51927">
      <w:pPr>
        <w:spacing w:after="0" w:line="240" w:lineRule="auto"/>
        <w:rPr>
          <w:rFonts w:ascii="Arial" w:hAnsi="Arial" w:cs="Arial"/>
          <w:sz w:val="20"/>
          <w:szCs w:val="20"/>
        </w:rPr>
      </w:pPr>
    </w:p>
    <w:p w14:paraId="469EA53D" w14:textId="78B9EF17" w:rsidR="003A6D8D" w:rsidRPr="00321E05" w:rsidRDefault="003A6D8D" w:rsidP="00A51927">
      <w:pPr>
        <w:spacing w:after="0" w:line="240" w:lineRule="auto"/>
        <w:rPr>
          <w:rFonts w:ascii="Arial" w:hAnsi="Arial" w:cs="Arial"/>
          <w:sz w:val="20"/>
          <w:szCs w:val="20"/>
        </w:rPr>
      </w:pPr>
      <w:r w:rsidRPr="00321E05">
        <w:rPr>
          <w:rFonts w:ascii="Arial" w:hAnsi="Arial" w:cs="Arial"/>
          <w:sz w:val="20"/>
          <w:szCs w:val="20"/>
        </w:rPr>
        <w:t xml:space="preserve">The Financial Statements include some estimated figures. Estimates are made </w:t>
      </w:r>
      <w:r w:rsidR="00B33C17" w:rsidRPr="00321E05">
        <w:rPr>
          <w:rFonts w:ascii="Arial" w:hAnsi="Arial" w:cs="Arial"/>
          <w:sz w:val="20"/>
          <w:szCs w:val="20"/>
        </w:rPr>
        <w:t>considering</w:t>
      </w:r>
      <w:r w:rsidRPr="00321E05">
        <w:rPr>
          <w:rFonts w:ascii="Arial" w:hAnsi="Arial" w:cs="Arial"/>
          <w:sz w:val="20"/>
          <w:szCs w:val="20"/>
        </w:rPr>
        <w:t xml:space="preserve"> the best available information, however actual results could be materially different from the assumptions and estimates used. The key items in this respect are listed below. </w:t>
      </w:r>
    </w:p>
    <w:p w14:paraId="4531B30A" w14:textId="079A5156" w:rsidR="71BA47E1" w:rsidRDefault="71BA47E1" w:rsidP="71BA47E1">
      <w:pPr>
        <w:spacing w:after="0" w:line="240" w:lineRule="auto"/>
        <w:rPr>
          <w:rFonts w:ascii="Arial" w:hAnsi="Arial" w:cs="Arial"/>
          <w:sz w:val="20"/>
          <w:szCs w:val="20"/>
        </w:rPr>
      </w:pPr>
    </w:p>
    <w:p w14:paraId="2CB56882" w14:textId="08C98068" w:rsidR="05424A7D" w:rsidRDefault="05424A7D" w:rsidP="71BA47E1">
      <w:pPr>
        <w:spacing w:after="0" w:line="240" w:lineRule="auto"/>
        <w:rPr>
          <w:rFonts w:ascii="Arial" w:hAnsi="Arial" w:cs="Arial"/>
          <w:sz w:val="20"/>
          <w:szCs w:val="20"/>
        </w:rPr>
      </w:pPr>
      <w:r w:rsidRPr="71BA47E1">
        <w:rPr>
          <w:rFonts w:ascii="Arial" w:hAnsi="Arial" w:cs="Arial"/>
          <w:sz w:val="20"/>
          <w:szCs w:val="20"/>
        </w:rPr>
        <w:t>The value of the set aside budget for large hospital services and the IJB’s share of hosted services are subject to estimation uncertainty.</w:t>
      </w:r>
    </w:p>
    <w:p w14:paraId="4F35F79E" w14:textId="77777777" w:rsidR="003A6D8D" w:rsidRPr="00C9207C" w:rsidRDefault="003A6D8D" w:rsidP="00A51927">
      <w:pPr>
        <w:spacing w:after="0" w:line="240" w:lineRule="auto"/>
        <w:rPr>
          <w:rFonts w:ascii="Arial" w:hAnsi="Arial" w:cs="Arial"/>
          <w:sz w:val="20"/>
          <w:szCs w:val="20"/>
        </w:rPr>
      </w:pPr>
    </w:p>
    <w:p w14:paraId="646935CC" w14:textId="77777777" w:rsidR="003A6D8D" w:rsidRPr="00C9207C" w:rsidRDefault="003A6D8D" w:rsidP="00A51927">
      <w:pPr>
        <w:spacing w:after="0" w:line="240" w:lineRule="auto"/>
        <w:rPr>
          <w:rFonts w:ascii="Arial" w:hAnsi="Arial" w:cs="Arial"/>
          <w:sz w:val="20"/>
          <w:szCs w:val="20"/>
          <w:u w:val="single"/>
        </w:rPr>
      </w:pPr>
      <w:r w:rsidRPr="610DCF65">
        <w:rPr>
          <w:rFonts w:ascii="Arial" w:hAnsi="Arial" w:cs="Arial"/>
          <w:sz w:val="20"/>
          <w:szCs w:val="20"/>
          <w:u w:val="single"/>
        </w:rPr>
        <w:t>S</w:t>
      </w:r>
      <w:r w:rsidRPr="3CD7A38A">
        <w:rPr>
          <w:rFonts w:ascii="Arial" w:hAnsi="Arial" w:cs="Arial"/>
          <w:sz w:val="20"/>
          <w:szCs w:val="20"/>
          <w:u w:val="single"/>
        </w:rPr>
        <w:t>et Aside Serv</w:t>
      </w:r>
      <w:r w:rsidRPr="610DCF65">
        <w:rPr>
          <w:rFonts w:ascii="Arial" w:hAnsi="Arial" w:cs="Arial"/>
          <w:sz w:val="20"/>
          <w:szCs w:val="20"/>
          <w:u w:val="single"/>
        </w:rPr>
        <w:t>ices</w:t>
      </w:r>
    </w:p>
    <w:p w14:paraId="6CAD3E0C" w14:textId="77777777" w:rsidR="00270863" w:rsidRPr="00270863" w:rsidRDefault="00270863" w:rsidP="00270863">
      <w:pPr>
        <w:spacing w:after="0" w:line="240" w:lineRule="auto"/>
        <w:rPr>
          <w:rFonts w:ascii="Arial" w:hAnsi="Arial" w:cs="Arial"/>
          <w:sz w:val="20"/>
          <w:szCs w:val="20"/>
        </w:rPr>
      </w:pPr>
      <w:r w:rsidRPr="00270863">
        <w:rPr>
          <w:rFonts w:ascii="Arial" w:hAnsi="Arial" w:cs="Arial"/>
          <w:sz w:val="20"/>
          <w:szCs w:val="20"/>
        </w:rPr>
        <w:t>Set-aside represents the IJB’s share of delegated large hospital services provided by NHS Grampian in support of the population of Aberdeen City. Set-aside is determined in accordance with the Integration Scheme and relevant statutory and accounting guidance. The IJB recognises set-aside income and the corresponding cost of services on a gross basis in the Comprehensive Income and Expenditure Statement.</w:t>
      </w:r>
    </w:p>
    <w:p w14:paraId="0F2EA24E" w14:textId="77777777" w:rsidR="00270863" w:rsidRDefault="00270863" w:rsidP="1322D94E">
      <w:pPr>
        <w:spacing w:after="0" w:line="240" w:lineRule="auto"/>
        <w:rPr>
          <w:rFonts w:ascii="Arial" w:hAnsi="Arial" w:cs="Arial"/>
          <w:sz w:val="20"/>
          <w:szCs w:val="20"/>
        </w:rPr>
      </w:pPr>
    </w:p>
    <w:p w14:paraId="001ED0DD" w14:textId="0341D254" w:rsidR="003A6D8D" w:rsidRPr="00C9207C" w:rsidRDefault="47891C18" w:rsidP="1322D94E">
      <w:pPr>
        <w:spacing w:after="0" w:line="240" w:lineRule="auto"/>
        <w:rPr>
          <w:rFonts w:ascii="Arial" w:eastAsiaTheme="minorEastAsia" w:hAnsi="Arial" w:cs="Arial"/>
          <w:color w:val="000000" w:themeColor="text1"/>
          <w:sz w:val="20"/>
          <w:szCs w:val="20"/>
          <w:lang w:eastAsia="en-GB"/>
        </w:rPr>
      </w:pPr>
      <w:r w:rsidRPr="380475F9">
        <w:rPr>
          <w:rFonts w:ascii="Arial" w:hAnsi="Arial" w:cs="Arial"/>
          <w:sz w:val="20"/>
          <w:szCs w:val="20"/>
        </w:rPr>
        <w:t>I</w:t>
      </w:r>
      <w:r w:rsidRPr="1322D94E">
        <w:rPr>
          <w:rFonts w:ascii="Arial" w:eastAsiaTheme="minorEastAsia" w:hAnsi="Arial" w:cs="Arial"/>
          <w:color w:val="000000" w:themeColor="text1"/>
          <w:sz w:val="20"/>
          <w:szCs w:val="20"/>
          <w:lang w:eastAsia="en-GB"/>
        </w:rPr>
        <w:t>n line with the Integration Scheme, the set aside budget should be based on hospital activity and cost data, reflecting actual admissions, occupied bed days, and changes in activity and case mix. However, updated activity data from Public Health Scotland has not been available since 2019/20.</w:t>
      </w:r>
    </w:p>
    <w:p w14:paraId="2C00AA82" w14:textId="6D771AB7" w:rsidR="003A6D8D" w:rsidRPr="00C9207C" w:rsidRDefault="47891C18" w:rsidP="1322D94E">
      <w:pPr>
        <w:spacing w:after="0" w:line="240" w:lineRule="auto"/>
        <w:rPr>
          <w:rFonts w:ascii="Arial" w:eastAsiaTheme="minorEastAsia" w:hAnsi="Arial" w:cs="Arial"/>
          <w:color w:val="000000" w:themeColor="text1"/>
          <w:sz w:val="20"/>
          <w:szCs w:val="20"/>
          <w:lang w:eastAsia="en-GB"/>
        </w:rPr>
      </w:pPr>
      <w:r w:rsidRPr="1322D94E">
        <w:rPr>
          <w:rFonts w:ascii="Arial" w:eastAsiaTheme="minorEastAsia" w:hAnsi="Arial" w:cs="Arial"/>
          <w:color w:val="000000" w:themeColor="text1"/>
          <w:sz w:val="20"/>
          <w:szCs w:val="20"/>
          <w:lang w:eastAsia="en-GB"/>
        </w:rPr>
        <w:lastRenderedPageBreak/>
        <w:t xml:space="preserve">Between 2020/21 and 2024/25, the 2019/20 data was therefore used as a proxy and uplifted annually in line with Scottish Government funding increases. </w:t>
      </w:r>
    </w:p>
    <w:p w14:paraId="1A94FE52" w14:textId="77777777" w:rsidR="00F65077" w:rsidRDefault="00F65077" w:rsidP="1322D94E">
      <w:pPr>
        <w:spacing w:after="0" w:line="240" w:lineRule="auto"/>
        <w:rPr>
          <w:rFonts w:ascii="Arial" w:eastAsiaTheme="minorEastAsia" w:hAnsi="Arial" w:cs="Arial"/>
          <w:color w:val="000000" w:themeColor="text1"/>
          <w:sz w:val="20"/>
          <w:szCs w:val="20"/>
          <w:lang w:eastAsia="en-GB"/>
        </w:rPr>
      </w:pPr>
    </w:p>
    <w:p w14:paraId="3A396541" w14:textId="796A6CCD" w:rsidR="003A6D8D" w:rsidRPr="00C9207C" w:rsidRDefault="3A7E69AF" w:rsidP="1322D94E">
      <w:pPr>
        <w:spacing w:after="0" w:line="240" w:lineRule="auto"/>
        <w:rPr>
          <w:rFonts w:ascii="Arial" w:eastAsiaTheme="minorEastAsia" w:hAnsi="Arial" w:cs="Arial"/>
          <w:color w:val="000000" w:themeColor="text1"/>
          <w:sz w:val="20"/>
          <w:szCs w:val="20"/>
          <w:lang w:eastAsia="en-GB"/>
        </w:rPr>
      </w:pPr>
      <w:r w:rsidRPr="1322D94E">
        <w:rPr>
          <w:rFonts w:ascii="Arial" w:eastAsiaTheme="minorEastAsia" w:hAnsi="Arial" w:cs="Arial"/>
          <w:color w:val="000000" w:themeColor="text1"/>
          <w:sz w:val="20"/>
          <w:szCs w:val="20"/>
          <w:lang w:eastAsia="en-GB"/>
        </w:rPr>
        <w:t>In 2025/26, the approach was updated using more recent NHS Grampian activity and cost data to better reflect current service use. This revised method calculates the budget based on activity levels and the cost of delivering care, resulting in an increase of 5.56% for 2025/26.</w:t>
      </w:r>
    </w:p>
    <w:p w14:paraId="7D3AEDEA" w14:textId="2480DB3C" w:rsidR="003A6D8D" w:rsidRPr="00C9207C" w:rsidRDefault="003A6D8D" w:rsidP="00A51927">
      <w:pPr>
        <w:spacing w:after="0" w:line="240" w:lineRule="auto"/>
        <w:rPr>
          <w:rFonts w:ascii="Arial" w:hAnsi="Arial" w:cs="Arial"/>
          <w:sz w:val="20"/>
          <w:szCs w:val="20"/>
        </w:rPr>
      </w:pPr>
    </w:p>
    <w:p w14:paraId="58C62D22" w14:textId="77777777" w:rsidR="003A6D8D" w:rsidRDefault="003A6D8D" w:rsidP="00A51927">
      <w:pPr>
        <w:spacing w:after="0" w:line="240" w:lineRule="auto"/>
        <w:rPr>
          <w:rFonts w:ascii="Arial" w:hAnsi="Arial" w:cs="Arial"/>
          <w:sz w:val="20"/>
          <w:szCs w:val="20"/>
          <w:u w:val="single"/>
        </w:rPr>
      </w:pPr>
      <w:r w:rsidRPr="610DCF65">
        <w:rPr>
          <w:rFonts w:ascii="Arial" w:hAnsi="Arial" w:cs="Arial"/>
          <w:sz w:val="20"/>
          <w:szCs w:val="20"/>
          <w:u w:val="single"/>
        </w:rPr>
        <w:t>Aberdeen City Share of Hosted Services</w:t>
      </w:r>
    </w:p>
    <w:p w14:paraId="426F960B" w14:textId="77777777" w:rsidR="00984118" w:rsidRPr="00C9207C" w:rsidRDefault="00984118" w:rsidP="00A51927">
      <w:pPr>
        <w:spacing w:after="0" w:line="240" w:lineRule="auto"/>
        <w:rPr>
          <w:rFonts w:ascii="Arial" w:hAnsi="Arial" w:cs="Arial"/>
          <w:sz w:val="20"/>
          <w:szCs w:val="20"/>
          <w:u w:val="single"/>
        </w:rPr>
      </w:pPr>
    </w:p>
    <w:p w14:paraId="333C8D18" w14:textId="0B844D0F" w:rsidR="00C84134" w:rsidRPr="00C84134" w:rsidRDefault="00C84134" w:rsidP="00C84134">
      <w:pPr>
        <w:spacing w:after="0" w:line="240" w:lineRule="auto"/>
        <w:rPr>
          <w:rFonts w:ascii="Arial" w:hAnsi="Arial" w:cs="Arial"/>
          <w:sz w:val="20"/>
          <w:szCs w:val="20"/>
        </w:rPr>
      </w:pPr>
      <w:r w:rsidRPr="00C84134">
        <w:rPr>
          <w:rFonts w:ascii="Arial" w:hAnsi="Arial" w:cs="Arial"/>
          <w:sz w:val="20"/>
          <w:szCs w:val="20"/>
        </w:rPr>
        <w:t>The IJB participates in hosted service and agency arrangements with other integration authorities and partner bodies. Where the IJB acts as lead or host for services on behalf of other bodies, transactions are accounted for in accordance with the substance of the arrangement and the Code. Amounts collected or incurred on behalf of another party are recognised as agency transactions where appropriate and excluded from the IJB’s usable reserves, unless the IJB has control over the related economic benefits or service potential.</w:t>
      </w:r>
      <w:r w:rsidR="00762A0D">
        <w:rPr>
          <w:rFonts w:ascii="Arial" w:hAnsi="Arial" w:cs="Arial"/>
          <w:sz w:val="20"/>
          <w:szCs w:val="20"/>
        </w:rPr>
        <w:t xml:space="preserve"> </w:t>
      </w:r>
      <w:r w:rsidRPr="00C84134">
        <w:rPr>
          <w:rFonts w:ascii="Arial" w:hAnsi="Arial" w:cs="Arial"/>
          <w:sz w:val="20"/>
          <w:szCs w:val="20"/>
        </w:rPr>
        <w:t>Where the IJB receives or incurs income and expenditure in its own right under hosted arrangements, these are recognised gross in the financial statements.</w:t>
      </w:r>
    </w:p>
    <w:p w14:paraId="29609B6B" w14:textId="77777777" w:rsidR="00165FF0" w:rsidRDefault="00165FF0" w:rsidP="00A51927">
      <w:pPr>
        <w:spacing w:after="0" w:line="240" w:lineRule="auto"/>
        <w:rPr>
          <w:rFonts w:ascii="Arial" w:hAnsi="Arial" w:cs="Arial"/>
          <w:sz w:val="20"/>
          <w:szCs w:val="20"/>
        </w:rPr>
      </w:pPr>
    </w:p>
    <w:p w14:paraId="45BE4665" w14:textId="1247F0C0" w:rsidR="003A6D8D" w:rsidRPr="00C9207C" w:rsidRDefault="003A6D8D" w:rsidP="00A51927">
      <w:pPr>
        <w:spacing w:after="0" w:line="240" w:lineRule="auto"/>
        <w:rPr>
          <w:rFonts w:ascii="Arial" w:hAnsi="Arial" w:cs="Arial"/>
          <w:sz w:val="20"/>
          <w:szCs w:val="20"/>
        </w:rPr>
      </w:pPr>
      <w:r w:rsidRPr="610DCF65">
        <w:rPr>
          <w:rFonts w:ascii="Arial" w:hAnsi="Arial" w:cs="Arial"/>
          <w:sz w:val="20"/>
          <w:szCs w:val="20"/>
        </w:rPr>
        <w:t>Aberdeen City IJB is the Lead Partner IJB for a number of services on behalf of other NHS Grampian IJBs. Likewise, Aberdeenshire and Moray IJBs are Lead Partner IJBs for a number of services on behalf of Aberdeen City IJB. The allocation of costs for hosted services is based on agreed methodologies between partner bodies and are reviewed annually. These are accounted for on an agency basis (see Note 1</w:t>
      </w:r>
      <w:r w:rsidR="00DC29B6" w:rsidRPr="610DCF65">
        <w:rPr>
          <w:rFonts w:ascii="Arial" w:hAnsi="Arial" w:cs="Arial"/>
          <w:sz w:val="20"/>
          <w:szCs w:val="20"/>
        </w:rPr>
        <w:t>1</w:t>
      </w:r>
      <w:r w:rsidRPr="610DCF65">
        <w:rPr>
          <w:rFonts w:ascii="Arial" w:hAnsi="Arial" w:cs="Arial"/>
          <w:sz w:val="20"/>
          <w:szCs w:val="20"/>
        </w:rPr>
        <w:t xml:space="preserve">).  </w:t>
      </w:r>
    </w:p>
    <w:p w14:paraId="50817D3A" w14:textId="6DFB95A4" w:rsidR="039C4330" w:rsidRPr="00C9207C" w:rsidRDefault="039C4330" w:rsidP="00A51927">
      <w:pPr>
        <w:spacing w:after="0" w:line="240" w:lineRule="auto"/>
        <w:rPr>
          <w:rFonts w:ascii="Arial" w:hAnsi="Arial" w:cs="Arial"/>
          <w:sz w:val="20"/>
          <w:szCs w:val="20"/>
          <w:highlight w:val="yellow"/>
        </w:rPr>
      </w:pPr>
    </w:p>
    <w:p w14:paraId="09D0866C" w14:textId="77777777" w:rsidR="003C5C29" w:rsidRPr="00C9207C" w:rsidRDefault="003C5C29" w:rsidP="00A51927">
      <w:pPr>
        <w:spacing w:after="0" w:line="240" w:lineRule="auto"/>
        <w:ind w:left="720"/>
        <w:rPr>
          <w:rFonts w:ascii="Arial" w:hAnsi="Arial" w:cs="Arial"/>
          <w:sz w:val="20"/>
          <w:szCs w:val="20"/>
          <w:highlight w:val="yellow"/>
        </w:rPr>
      </w:pPr>
    </w:p>
    <w:p w14:paraId="58AEB357" w14:textId="2092BEEB" w:rsidR="00306D67" w:rsidRPr="00793F9C" w:rsidRDefault="0917D272" w:rsidP="006D5013">
      <w:pPr>
        <w:pStyle w:val="Heading3"/>
        <w:numPr>
          <w:ilvl w:val="2"/>
          <w:numId w:val="11"/>
        </w:numPr>
        <w:jc w:val="left"/>
        <w:rPr>
          <w:rFonts w:ascii="Arial" w:hAnsi="Arial" w:cs="Arial"/>
        </w:rPr>
      </w:pPr>
      <w:bookmarkStart w:id="36" w:name="_Toc70062057"/>
      <w:bookmarkStart w:id="37" w:name="_Toc232169358"/>
      <w:r w:rsidRPr="00793F9C">
        <w:rPr>
          <w:rFonts w:ascii="Arial" w:hAnsi="Arial" w:cs="Arial"/>
        </w:rPr>
        <w:t>Prior Period Adjustments, Changes in Accounting Policies and Estimates and Errors</w:t>
      </w:r>
      <w:bookmarkEnd w:id="36"/>
      <w:bookmarkEnd w:id="37"/>
    </w:p>
    <w:p w14:paraId="4122F05D" w14:textId="2EB53530" w:rsidR="00306D67" w:rsidRPr="00793F9C" w:rsidRDefault="00306D67" w:rsidP="00A51927">
      <w:pPr>
        <w:pStyle w:val="ExampleText"/>
        <w:spacing w:before="120" w:line="240" w:lineRule="auto"/>
        <w:ind w:left="0" w:right="-46"/>
        <w:rPr>
          <w:rFonts w:ascii="Arial" w:hAnsi="Arial" w:cs="Arial"/>
        </w:rPr>
      </w:pPr>
      <w:r w:rsidRPr="00793F9C">
        <w:rPr>
          <w:rFonts w:ascii="Arial" w:hAnsi="Arial" w:cs="Arial"/>
        </w:rPr>
        <w:t>Changes in accounting policies are only made when required by proper accounting practices or the change provides more reliable or relevant information about the effect of transactions, other events and conditions on the I</w:t>
      </w:r>
      <w:r w:rsidR="006E3837" w:rsidRPr="00793F9C">
        <w:rPr>
          <w:rFonts w:ascii="Arial" w:hAnsi="Arial" w:cs="Arial"/>
        </w:rPr>
        <w:t>JB’s</w:t>
      </w:r>
      <w:r w:rsidRPr="00793F9C">
        <w:rPr>
          <w:rFonts w:ascii="Arial" w:hAnsi="Arial" w:cs="Arial"/>
        </w:rPr>
        <w:t xml:space="preserve"> financial position or financial performance.  Where a change is made, it is applied retrospectively by adjusting opening balances and comparative amounts for the prior period as if the new policy had always been applied.</w:t>
      </w:r>
    </w:p>
    <w:p w14:paraId="6E1D77BE" w14:textId="4B9CD4E9" w:rsidR="00306D67" w:rsidRDefault="00306D67" w:rsidP="00794D0A">
      <w:pPr>
        <w:pStyle w:val="ExampleText"/>
        <w:spacing w:line="240" w:lineRule="auto"/>
        <w:ind w:left="0" w:right="-46"/>
        <w:rPr>
          <w:rFonts w:ascii="Arial" w:hAnsi="Arial" w:cs="Arial"/>
        </w:rPr>
      </w:pPr>
      <w:r w:rsidRPr="00793F9C">
        <w:rPr>
          <w:rFonts w:ascii="Arial" w:hAnsi="Arial" w:cs="Arial"/>
        </w:rPr>
        <w:t>Changes in accounting estimates are accounted for prospectively, i.e. in the current and future years affected by the change.</w:t>
      </w:r>
    </w:p>
    <w:p w14:paraId="0CEB30F3" w14:textId="77777777" w:rsidR="00794D0A" w:rsidRPr="00793F9C" w:rsidRDefault="00794D0A" w:rsidP="00794D0A">
      <w:pPr>
        <w:pStyle w:val="ExampleText"/>
        <w:spacing w:line="240" w:lineRule="auto"/>
        <w:ind w:left="0" w:right="-46"/>
        <w:rPr>
          <w:rFonts w:ascii="Arial" w:hAnsi="Arial" w:cs="Arial"/>
        </w:rPr>
      </w:pPr>
    </w:p>
    <w:p w14:paraId="0476A989" w14:textId="697E0FB9" w:rsidR="00ED55F3" w:rsidRPr="00793F9C" w:rsidRDefault="00306D67" w:rsidP="00A51927">
      <w:pPr>
        <w:spacing w:after="0" w:line="240" w:lineRule="auto"/>
        <w:rPr>
          <w:rFonts w:ascii="Arial" w:hAnsi="Arial" w:cs="Arial"/>
          <w:sz w:val="20"/>
          <w:szCs w:val="20"/>
        </w:rPr>
      </w:pPr>
      <w:r w:rsidRPr="00793F9C">
        <w:rPr>
          <w:rFonts w:ascii="Arial" w:hAnsi="Arial" w:cs="Arial"/>
          <w:sz w:val="20"/>
          <w:szCs w:val="20"/>
        </w:rPr>
        <w:t>Material errors discovered in prior period figures are corrected retrospectively by amending opening balances and comparative amounts for the prior period</w:t>
      </w:r>
      <w:r w:rsidR="006E3837" w:rsidRPr="00793F9C">
        <w:rPr>
          <w:rFonts w:ascii="Arial" w:hAnsi="Arial" w:cs="Arial"/>
          <w:sz w:val="20"/>
          <w:szCs w:val="20"/>
        </w:rPr>
        <w:t>.</w:t>
      </w:r>
    </w:p>
    <w:p w14:paraId="1D0C09FF" w14:textId="77777777" w:rsidR="00306D67" w:rsidRPr="00793F9C" w:rsidRDefault="00306D67" w:rsidP="00A51927">
      <w:pPr>
        <w:spacing w:after="0" w:line="240" w:lineRule="auto"/>
        <w:ind w:left="720"/>
        <w:rPr>
          <w:rFonts w:ascii="Arial" w:hAnsi="Arial" w:cs="Arial"/>
          <w:sz w:val="20"/>
          <w:szCs w:val="20"/>
        </w:rPr>
      </w:pPr>
    </w:p>
    <w:p w14:paraId="2B4745BB" w14:textId="52307F00" w:rsidR="039C4330" w:rsidRPr="00793F9C" w:rsidRDefault="039C4330" w:rsidP="00A51927">
      <w:pPr>
        <w:spacing w:after="0" w:line="240" w:lineRule="auto"/>
        <w:rPr>
          <w:rFonts w:ascii="Arial" w:hAnsi="Arial" w:cs="Arial"/>
          <w:sz w:val="20"/>
          <w:szCs w:val="20"/>
        </w:rPr>
      </w:pPr>
    </w:p>
    <w:p w14:paraId="1BD7D0B8" w14:textId="24E6E30F" w:rsidR="00EA5F83" w:rsidRPr="00793F9C" w:rsidRDefault="0860D9DE" w:rsidP="006D5013">
      <w:pPr>
        <w:pStyle w:val="Heading3"/>
        <w:numPr>
          <w:ilvl w:val="2"/>
          <w:numId w:val="11"/>
        </w:numPr>
        <w:jc w:val="left"/>
        <w:rPr>
          <w:rFonts w:ascii="Arial" w:hAnsi="Arial" w:cs="Arial"/>
        </w:rPr>
      </w:pPr>
      <w:bookmarkStart w:id="38" w:name="_Toc232169359"/>
      <w:r w:rsidRPr="00793F9C">
        <w:rPr>
          <w:rFonts w:ascii="Arial" w:hAnsi="Arial" w:cs="Arial"/>
        </w:rPr>
        <w:t>Events after the Balance Sheet Date</w:t>
      </w:r>
      <w:bookmarkEnd w:id="38"/>
    </w:p>
    <w:p w14:paraId="416EDD83" w14:textId="77777777" w:rsidR="00EA5F83" w:rsidRPr="00793F9C" w:rsidRDefault="00EA5F83" w:rsidP="00A51927">
      <w:pPr>
        <w:pStyle w:val="ListParagraph"/>
        <w:spacing w:after="0" w:line="240" w:lineRule="auto"/>
        <w:rPr>
          <w:rFonts w:ascii="Arial" w:hAnsi="Arial" w:cs="Arial"/>
          <w:sz w:val="20"/>
          <w:szCs w:val="20"/>
        </w:rPr>
      </w:pPr>
    </w:p>
    <w:p w14:paraId="6EE6A7FD" w14:textId="77777777" w:rsidR="00EC74D6" w:rsidRPr="00EC74D6" w:rsidRDefault="00EC74D6" w:rsidP="00EC74D6">
      <w:pPr>
        <w:spacing w:after="0" w:line="240" w:lineRule="auto"/>
        <w:rPr>
          <w:rFonts w:ascii="Arial" w:hAnsi="Arial" w:cs="Arial"/>
          <w:sz w:val="20"/>
          <w:szCs w:val="20"/>
        </w:rPr>
      </w:pPr>
      <w:r w:rsidRPr="00EC74D6">
        <w:rPr>
          <w:rFonts w:ascii="Arial" w:hAnsi="Arial" w:cs="Arial"/>
          <w:sz w:val="20"/>
          <w:szCs w:val="20"/>
        </w:rPr>
        <w:t xml:space="preserve">Subsequent to 31 March 2026, developments affecting commissioned adult social care provision in Aberdeen included changes relating to Bon Accord Care and Balnagask House. The transfer of Bon Accord Care back to Aberdeen City Council became effective from </w:t>
      </w:r>
      <w:r w:rsidRPr="00EC74D6">
        <w:rPr>
          <w:rFonts w:ascii="Arial" w:hAnsi="Arial" w:cs="Arial"/>
          <w:b/>
          <w:bCs/>
          <w:sz w:val="20"/>
          <w:szCs w:val="20"/>
        </w:rPr>
        <w:t>1 May 2025</w:t>
      </w:r>
      <w:r w:rsidRPr="00EC74D6">
        <w:rPr>
          <w:rFonts w:ascii="Arial" w:hAnsi="Arial" w:cs="Arial"/>
          <w:sz w:val="20"/>
          <w:szCs w:val="20"/>
        </w:rPr>
        <w:t>. In addition, in May 2026 it was announced that Balnagask House, operated by Bon Accord Care, would close following a review of the service. The decision reflected a combination of reduced demand for residential care, the changing complexity of need, the condition of the building, financial sustainability pressures and ongoing regulatory requirements. At the time of announcement, residents were to be supported to move to alternative accommodation and staff were to be supported through a managed redeployment process. These developments have been considered as events after the balance sheet date and will continue to be monitored for any implications for future service planning, commissioning and financial sustainability.</w:t>
      </w:r>
    </w:p>
    <w:p w14:paraId="4337C7DE" w14:textId="5C4D95FF" w:rsidR="00A5671C" w:rsidRDefault="00A5671C">
      <w:pPr>
        <w:spacing w:after="0" w:line="240" w:lineRule="auto"/>
        <w:rPr>
          <w:rFonts w:ascii="Arial" w:hAnsi="Arial" w:cs="Arial"/>
          <w:sz w:val="20"/>
          <w:szCs w:val="20"/>
          <w:highlight w:val="yellow"/>
        </w:rPr>
      </w:pPr>
      <w:r>
        <w:rPr>
          <w:rFonts w:ascii="Arial" w:hAnsi="Arial" w:cs="Arial"/>
          <w:sz w:val="20"/>
          <w:szCs w:val="20"/>
          <w:highlight w:val="yellow"/>
        </w:rPr>
        <w:br w:type="page"/>
      </w:r>
    </w:p>
    <w:p w14:paraId="3E7CD517" w14:textId="3367D7CE" w:rsidR="007B1572" w:rsidRPr="00C9207C" w:rsidRDefault="00B38610" w:rsidP="006D5013">
      <w:pPr>
        <w:pStyle w:val="ListParagraph"/>
        <w:numPr>
          <w:ilvl w:val="2"/>
          <w:numId w:val="11"/>
        </w:numPr>
        <w:spacing w:after="0" w:line="240" w:lineRule="auto"/>
        <w:outlineLvl w:val="2"/>
        <w:rPr>
          <w:rFonts w:ascii="Arial" w:hAnsi="Arial" w:cs="Arial"/>
          <w:b/>
          <w:sz w:val="20"/>
          <w:szCs w:val="20"/>
          <w:u w:val="single"/>
        </w:rPr>
      </w:pPr>
      <w:bookmarkStart w:id="39" w:name="_Toc70062058"/>
      <w:bookmarkStart w:id="40" w:name="_Toc11249439"/>
      <w:bookmarkStart w:id="41" w:name="_Toc232169360"/>
      <w:r w:rsidRPr="00C9207C">
        <w:rPr>
          <w:rFonts w:ascii="Arial" w:hAnsi="Arial" w:cs="Arial"/>
          <w:b/>
          <w:sz w:val="20"/>
          <w:szCs w:val="20"/>
          <w:u w:val="single"/>
        </w:rPr>
        <w:lastRenderedPageBreak/>
        <w:t>Expenditure and Income Analysis</w:t>
      </w:r>
      <w:r w:rsidR="627620CC" w:rsidRPr="00C9207C">
        <w:rPr>
          <w:rFonts w:ascii="Arial" w:hAnsi="Arial" w:cs="Arial"/>
          <w:b/>
          <w:sz w:val="20"/>
          <w:szCs w:val="20"/>
          <w:u w:val="single"/>
        </w:rPr>
        <w:t xml:space="preserve"> by Nature</w:t>
      </w:r>
      <w:bookmarkEnd w:id="39"/>
      <w:bookmarkEnd w:id="40"/>
      <w:bookmarkEnd w:id="41"/>
    </w:p>
    <w:p w14:paraId="5607BA02" w14:textId="6E37A73F" w:rsidR="007B1572" w:rsidRPr="00C9207C" w:rsidRDefault="007B1572" w:rsidP="00A51927">
      <w:pPr>
        <w:spacing w:after="0" w:line="240" w:lineRule="auto"/>
        <w:rPr>
          <w:rFonts w:ascii="Arial" w:hAnsi="Arial" w:cs="Arial"/>
          <w:sz w:val="20"/>
          <w:szCs w:val="20"/>
          <w:highlight w:val="yellow"/>
        </w:rPr>
      </w:pPr>
    </w:p>
    <w:tbl>
      <w:tblPr>
        <w:tblW w:w="964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20"/>
        <w:gridCol w:w="5920"/>
        <w:gridCol w:w="1900"/>
      </w:tblGrid>
      <w:tr w:rsidR="00193F22" w:rsidRPr="00C9207C" w14:paraId="5BE67491" w14:textId="77777777" w:rsidTr="00794D0A">
        <w:trPr>
          <w:trHeight w:val="260"/>
        </w:trPr>
        <w:tc>
          <w:tcPr>
            <w:tcW w:w="1820" w:type="dxa"/>
            <w:tcBorders>
              <w:top w:val="single" w:sz="4" w:space="0" w:color="auto"/>
              <w:left w:val="single" w:sz="4" w:space="0" w:color="auto"/>
              <w:bottom w:val="nil"/>
              <w:right w:val="single" w:sz="4" w:space="0" w:color="auto"/>
            </w:tcBorders>
            <w:vAlign w:val="center"/>
            <w:hideMark/>
          </w:tcPr>
          <w:p w14:paraId="77C4C05C" w14:textId="77777777" w:rsidR="00193F22" w:rsidRPr="00C9207C" w:rsidRDefault="2AEC893E" w:rsidP="00193F22">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themeColor="text1"/>
                <w:sz w:val="20"/>
                <w:szCs w:val="20"/>
                <w:lang w:eastAsia="en-GB"/>
              </w:rPr>
              <w:t>2024/25</w:t>
            </w:r>
          </w:p>
        </w:tc>
        <w:tc>
          <w:tcPr>
            <w:tcW w:w="5920" w:type="dxa"/>
            <w:tcBorders>
              <w:top w:val="single" w:sz="4" w:space="0" w:color="auto"/>
              <w:left w:val="single" w:sz="4" w:space="0" w:color="auto"/>
              <w:bottom w:val="nil"/>
              <w:right w:val="single" w:sz="4" w:space="0" w:color="auto"/>
            </w:tcBorders>
            <w:vAlign w:val="center"/>
            <w:hideMark/>
          </w:tcPr>
          <w:p w14:paraId="521479D0" w14:textId="77777777" w:rsidR="00193F22" w:rsidRPr="00C9207C" w:rsidRDefault="00193F22" w:rsidP="00193F22">
            <w:pPr>
              <w:spacing w:after="0" w:line="240" w:lineRule="auto"/>
              <w:jc w:val="right"/>
              <w:rPr>
                <w:rFonts w:ascii="Arial" w:eastAsia="Times New Roman" w:hAnsi="Arial" w:cs="Arial"/>
                <w:b/>
                <w:bCs/>
                <w:color w:val="000000"/>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76920C15" w14:textId="77777777" w:rsidR="00193F22" w:rsidRPr="00C9207C" w:rsidRDefault="2AEC893E" w:rsidP="00193F22">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themeColor="text1"/>
                <w:sz w:val="20"/>
                <w:szCs w:val="20"/>
                <w:lang w:eastAsia="en-GB"/>
              </w:rPr>
              <w:t>2025/26</w:t>
            </w:r>
          </w:p>
        </w:tc>
      </w:tr>
      <w:tr w:rsidR="00193F22" w:rsidRPr="00C9207C" w14:paraId="7444B8C2" w14:textId="77777777" w:rsidTr="00794D0A">
        <w:trPr>
          <w:trHeight w:val="250"/>
        </w:trPr>
        <w:tc>
          <w:tcPr>
            <w:tcW w:w="1820" w:type="dxa"/>
            <w:tcBorders>
              <w:top w:val="nil"/>
              <w:left w:val="single" w:sz="4" w:space="0" w:color="auto"/>
              <w:bottom w:val="single" w:sz="4" w:space="0" w:color="auto"/>
              <w:right w:val="single" w:sz="4" w:space="0" w:color="auto"/>
            </w:tcBorders>
            <w:vAlign w:val="center"/>
            <w:hideMark/>
          </w:tcPr>
          <w:p w14:paraId="3312D118" w14:textId="77777777" w:rsidR="00193F22" w:rsidRPr="00C9207C" w:rsidRDefault="2AEC893E" w:rsidP="00193F22">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w:t>
            </w:r>
          </w:p>
        </w:tc>
        <w:tc>
          <w:tcPr>
            <w:tcW w:w="5920" w:type="dxa"/>
            <w:tcBorders>
              <w:top w:val="nil"/>
              <w:left w:val="single" w:sz="4" w:space="0" w:color="auto"/>
              <w:bottom w:val="single" w:sz="4" w:space="0" w:color="auto"/>
              <w:right w:val="single" w:sz="4" w:space="0" w:color="auto"/>
            </w:tcBorders>
            <w:vAlign w:val="center"/>
            <w:hideMark/>
          </w:tcPr>
          <w:p w14:paraId="73EC4734" w14:textId="77777777" w:rsidR="00193F22" w:rsidRPr="00C9207C" w:rsidRDefault="00193F22" w:rsidP="00193F22">
            <w:pPr>
              <w:spacing w:after="0" w:line="240" w:lineRule="auto"/>
              <w:jc w:val="right"/>
              <w:rPr>
                <w:rFonts w:ascii="Arial" w:eastAsia="Times New Roman" w:hAnsi="Arial" w:cs="Arial"/>
                <w:color w:val="000000"/>
                <w:sz w:val="20"/>
                <w:szCs w:val="20"/>
                <w:lang w:eastAsia="en-GB"/>
              </w:rPr>
            </w:pPr>
          </w:p>
        </w:tc>
        <w:tc>
          <w:tcPr>
            <w:tcW w:w="1900" w:type="dxa"/>
            <w:tcBorders>
              <w:top w:val="nil"/>
              <w:left w:val="single" w:sz="4" w:space="0" w:color="auto"/>
              <w:bottom w:val="single" w:sz="4" w:space="0" w:color="auto"/>
              <w:right w:val="single" w:sz="4" w:space="0" w:color="auto"/>
            </w:tcBorders>
            <w:vAlign w:val="center"/>
            <w:hideMark/>
          </w:tcPr>
          <w:p w14:paraId="4A748CA7" w14:textId="77777777" w:rsidR="00193F22" w:rsidRPr="00C9207C" w:rsidRDefault="2AEC893E" w:rsidP="00193F22">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w:t>
            </w:r>
          </w:p>
        </w:tc>
      </w:tr>
      <w:tr w:rsidR="00193F22" w:rsidRPr="00C9207C" w14:paraId="1163002A" w14:textId="77777777" w:rsidTr="00794D0A">
        <w:trPr>
          <w:trHeight w:val="260"/>
        </w:trPr>
        <w:tc>
          <w:tcPr>
            <w:tcW w:w="1820" w:type="dxa"/>
            <w:tcBorders>
              <w:top w:val="single" w:sz="4" w:space="0" w:color="auto"/>
              <w:left w:val="single" w:sz="4" w:space="0" w:color="auto"/>
              <w:bottom w:val="nil"/>
              <w:right w:val="single" w:sz="4" w:space="0" w:color="auto"/>
            </w:tcBorders>
            <w:vAlign w:val="center"/>
            <w:hideMark/>
          </w:tcPr>
          <w:p w14:paraId="79D0E008"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189,063,890</w:t>
            </w:r>
          </w:p>
        </w:tc>
        <w:tc>
          <w:tcPr>
            <w:tcW w:w="5920" w:type="dxa"/>
            <w:tcBorders>
              <w:top w:val="single" w:sz="4" w:space="0" w:color="auto"/>
              <w:left w:val="single" w:sz="4" w:space="0" w:color="auto"/>
              <w:bottom w:val="nil"/>
              <w:right w:val="single" w:sz="4" w:space="0" w:color="auto"/>
            </w:tcBorders>
            <w:vAlign w:val="center"/>
            <w:hideMark/>
          </w:tcPr>
          <w:p w14:paraId="5D2F8937" w14:textId="77777777" w:rsidR="00193F22" w:rsidRPr="00C9207C" w:rsidRDefault="2AEC893E" w:rsidP="00193F22">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Services commissioned from Aberdeen City Council</w:t>
            </w:r>
          </w:p>
        </w:tc>
        <w:tc>
          <w:tcPr>
            <w:tcW w:w="1900" w:type="dxa"/>
            <w:tcBorders>
              <w:top w:val="single" w:sz="4" w:space="0" w:color="auto"/>
              <w:left w:val="single" w:sz="4" w:space="0" w:color="auto"/>
              <w:bottom w:val="nil"/>
              <w:right w:val="single" w:sz="4" w:space="0" w:color="auto"/>
            </w:tcBorders>
            <w:vAlign w:val="center"/>
            <w:hideMark/>
          </w:tcPr>
          <w:p w14:paraId="03AFFBFE"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186,328,982</w:t>
            </w:r>
          </w:p>
        </w:tc>
      </w:tr>
      <w:tr w:rsidR="00193F22" w:rsidRPr="00C9207C" w14:paraId="7C3E547F" w14:textId="77777777" w:rsidTr="00794D0A">
        <w:trPr>
          <w:trHeight w:val="260"/>
        </w:trPr>
        <w:tc>
          <w:tcPr>
            <w:tcW w:w="1820" w:type="dxa"/>
            <w:tcBorders>
              <w:top w:val="nil"/>
              <w:left w:val="single" w:sz="4" w:space="0" w:color="auto"/>
              <w:bottom w:val="nil"/>
              <w:right w:val="single" w:sz="4" w:space="0" w:color="auto"/>
            </w:tcBorders>
            <w:vAlign w:val="center"/>
            <w:hideMark/>
          </w:tcPr>
          <w:p w14:paraId="1E0A0A46"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274,327,458</w:t>
            </w:r>
          </w:p>
        </w:tc>
        <w:tc>
          <w:tcPr>
            <w:tcW w:w="5920" w:type="dxa"/>
            <w:tcBorders>
              <w:top w:val="nil"/>
              <w:left w:val="single" w:sz="4" w:space="0" w:color="auto"/>
              <w:bottom w:val="nil"/>
              <w:right w:val="single" w:sz="4" w:space="0" w:color="auto"/>
            </w:tcBorders>
            <w:vAlign w:val="center"/>
            <w:hideMark/>
          </w:tcPr>
          <w:p w14:paraId="0238F00E" w14:textId="77777777" w:rsidR="00193F22" w:rsidRPr="00C9207C" w:rsidRDefault="2AEC893E" w:rsidP="00193F22">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Services commissioned from NHS Grampian</w:t>
            </w:r>
          </w:p>
        </w:tc>
        <w:tc>
          <w:tcPr>
            <w:tcW w:w="1900" w:type="dxa"/>
            <w:tcBorders>
              <w:top w:val="nil"/>
              <w:left w:val="single" w:sz="4" w:space="0" w:color="auto"/>
              <w:bottom w:val="nil"/>
              <w:right w:val="single" w:sz="4" w:space="0" w:color="auto"/>
            </w:tcBorders>
            <w:vAlign w:val="center"/>
            <w:hideMark/>
          </w:tcPr>
          <w:p w14:paraId="5D5E0DA5"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284,779,687</w:t>
            </w:r>
          </w:p>
        </w:tc>
      </w:tr>
      <w:tr w:rsidR="00193F22" w:rsidRPr="00C9207C" w14:paraId="7C532B2D" w14:textId="77777777" w:rsidTr="00794D0A">
        <w:trPr>
          <w:trHeight w:val="250"/>
        </w:trPr>
        <w:tc>
          <w:tcPr>
            <w:tcW w:w="1820" w:type="dxa"/>
            <w:tcBorders>
              <w:top w:val="nil"/>
              <w:left w:val="single" w:sz="4" w:space="0" w:color="auto"/>
              <w:bottom w:val="nil"/>
              <w:right w:val="single" w:sz="4" w:space="0" w:color="auto"/>
            </w:tcBorders>
            <w:vAlign w:val="center"/>
            <w:hideMark/>
          </w:tcPr>
          <w:p w14:paraId="7E3C9002"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43,890</w:t>
            </w:r>
          </w:p>
        </w:tc>
        <w:tc>
          <w:tcPr>
            <w:tcW w:w="5920" w:type="dxa"/>
            <w:tcBorders>
              <w:top w:val="nil"/>
              <w:left w:val="single" w:sz="4" w:space="0" w:color="auto"/>
              <w:bottom w:val="nil"/>
              <w:right w:val="single" w:sz="4" w:space="0" w:color="auto"/>
            </w:tcBorders>
            <w:vAlign w:val="center"/>
            <w:hideMark/>
          </w:tcPr>
          <w:p w14:paraId="746D90F0" w14:textId="77777777" w:rsidR="00193F22" w:rsidRPr="00C9207C" w:rsidRDefault="2AEC893E" w:rsidP="00193F22">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Auditor Fee: External Audit Work</w:t>
            </w:r>
          </w:p>
        </w:tc>
        <w:tc>
          <w:tcPr>
            <w:tcW w:w="1900" w:type="dxa"/>
            <w:tcBorders>
              <w:top w:val="nil"/>
              <w:left w:val="single" w:sz="4" w:space="0" w:color="auto"/>
              <w:bottom w:val="nil"/>
              <w:right w:val="single" w:sz="4" w:space="0" w:color="auto"/>
            </w:tcBorders>
            <w:vAlign w:val="center"/>
            <w:hideMark/>
          </w:tcPr>
          <w:p w14:paraId="2A5E3CE7"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47,220</w:t>
            </w:r>
          </w:p>
        </w:tc>
      </w:tr>
      <w:tr w:rsidR="00193F22" w:rsidRPr="00C9207C" w14:paraId="084A90FC" w14:textId="77777777" w:rsidTr="00794D0A">
        <w:trPr>
          <w:trHeight w:val="250"/>
        </w:trPr>
        <w:tc>
          <w:tcPr>
            <w:tcW w:w="1820" w:type="dxa"/>
            <w:tcBorders>
              <w:top w:val="nil"/>
              <w:left w:val="single" w:sz="4" w:space="0" w:color="auto"/>
              <w:bottom w:val="nil"/>
              <w:right w:val="single" w:sz="4" w:space="0" w:color="auto"/>
            </w:tcBorders>
            <w:vAlign w:val="center"/>
            <w:hideMark/>
          </w:tcPr>
          <w:p w14:paraId="1DAC6592"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(6,384,627)</w:t>
            </w:r>
          </w:p>
        </w:tc>
        <w:tc>
          <w:tcPr>
            <w:tcW w:w="5920" w:type="dxa"/>
            <w:tcBorders>
              <w:top w:val="nil"/>
              <w:left w:val="single" w:sz="4" w:space="0" w:color="auto"/>
              <w:bottom w:val="nil"/>
              <w:right w:val="single" w:sz="4" w:space="0" w:color="auto"/>
            </w:tcBorders>
            <w:vAlign w:val="center"/>
            <w:hideMark/>
          </w:tcPr>
          <w:p w14:paraId="79C14E34" w14:textId="77777777" w:rsidR="00193F22" w:rsidRPr="00C9207C" w:rsidRDefault="2AEC893E" w:rsidP="00193F22">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Service Income: Aberdeen City Council</w:t>
            </w:r>
          </w:p>
        </w:tc>
        <w:tc>
          <w:tcPr>
            <w:tcW w:w="1900" w:type="dxa"/>
            <w:tcBorders>
              <w:top w:val="nil"/>
              <w:left w:val="single" w:sz="4" w:space="0" w:color="auto"/>
              <w:bottom w:val="nil"/>
              <w:right w:val="single" w:sz="4" w:space="0" w:color="auto"/>
            </w:tcBorders>
            <w:vAlign w:val="center"/>
            <w:hideMark/>
          </w:tcPr>
          <w:p w14:paraId="07E21BA0"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(7,042,868)</w:t>
            </w:r>
          </w:p>
        </w:tc>
      </w:tr>
      <w:tr w:rsidR="00193F22" w:rsidRPr="00C9207C" w14:paraId="386AD2CB" w14:textId="77777777" w:rsidTr="00794D0A">
        <w:trPr>
          <w:trHeight w:val="435"/>
        </w:trPr>
        <w:tc>
          <w:tcPr>
            <w:tcW w:w="1820" w:type="dxa"/>
            <w:tcBorders>
              <w:top w:val="nil"/>
              <w:left w:val="single" w:sz="4" w:space="0" w:color="auto"/>
              <w:bottom w:val="single" w:sz="4" w:space="0" w:color="auto"/>
              <w:right w:val="single" w:sz="4" w:space="0" w:color="auto"/>
            </w:tcBorders>
            <w:hideMark/>
          </w:tcPr>
          <w:p w14:paraId="2FA8CE71"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(447,215,776)</w:t>
            </w:r>
          </w:p>
        </w:tc>
        <w:tc>
          <w:tcPr>
            <w:tcW w:w="5920" w:type="dxa"/>
            <w:tcBorders>
              <w:top w:val="nil"/>
              <w:left w:val="single" w:sz="4" w:space="0" w:color="auto"/>
              <w:bottom w:val="single" w:sz="4" w:space="0" w:color="auto"/>
              <w:right w:val="single" w:sz="4" w:space="0" w:color="auto"/>
            </w:tcBorders>
            <w:vAlign w:val="center"/>
            <w:hideMark/>
          </w:tcPr>
          <w:p w14:paraId="7A04960C" w14:textId="77777777" w:rsidR="00193F22" w:rsidRPr="00C9207C" w:rsidRDefault="2AEC893E" w:rsidP="00193F22">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themeColor="text1"/>
                <w:sz w:val="20"/>
                <w:szCs w:val="20"/>
                <w:lang w:eastAsia="en-GB"/>
              </w:rPr>
              <w:t>Partners Funding Contributions and Non-Specific Grant Income</w:t>
            </w:r>
          </w:p>
        </w:tc>
        <w:tc>
          <w:tcPr>
            <w:tcW w:w="1900" w:type="dxa"/>
            <w:tcBorders>
              <w:top w:val="nil"/>
              <w:left w:val="single" w:sz="4" w:space="0" w:color="auto"/>
              <w:bottom w:val="single" w:sz="4" w:space="0" w:color="auto"/>
              <w:right w:val="single" w:sz="4" w:space="0" w:color="auto"/>
            </w:tcBorders>
            <w:vAlign w:val="center"/>
            <w:hideMark/>
          </w:tcPr>
          <w:p w14:paraId="1CFD31C3"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(475,344,440)</w:t>
            </w:r>
          </w:p>
        </w:tc>
      </w:tr>
      <w:tr w:rsidR="00193F22" w:rsidRPr="00C9207C" w14:paraId="55761E88" w14:textId="77777777" w:rsidTr="00794D0A">
        <w:trPr>
          <w:trHeight w:val="270"/>
        </w:trPr>
        <w:tc>
          <w:tcPr>
            <w:tcW w:w="1820" w:type="dxa"/>
            <w:tcBorders>
              <w:top w:val="single" w:sz="4" w:space="0" w:color="auto"/>
              <w:left w:val="single" w:sz="4" w:space="0" w:color="auto"/>
              <w:bottom w:val="single" w:sz="4" w:space="0" w:color="auto"/>
              <w:right w:val="single" w:sz="4" w:space="0" w:color="auto"/>
            </w:tcBorders>
            <w:vAlign w:val="center"/>
            <w:hideMark/>
          </w:tcPr>
          <w:p w14:paraId="14664714" w14:textId="77777777" w:rsidR="00193F22" w:rsidRPr="009B49C4" w:rsidRDefault="2AEC893E" w:rsidP="00193F22">
            <w:pPr>
              <w:spacing w:after="0" w:line="240" w:lineRule="auto"/>
              <w:jc w:val="right"/>
              <w:rPr>
                <w:rFonts w:ascii="Arial" w:eastAsia="Times New Roman" w:hAnsi="Arial" w:cs="Arial"/>
                <w:color w:val="000000"/>
                <w:sz w:val="20"/>
                <w:szCs w:val="20"/>
                <w:lang w:eastAsia="en-GB"/>
              </w:rPr>
            </w:pPr>
            <w:r w:rsidRPr="009B49C4">
              <w:rPr>
                <w:rFonts w:ascii="Arial" w:eastAsia="Times New Roman" w:hAnsi="Arial" w:cs="Arial"/>
                <w:color w:val="000000" w:themeColor="text1"/>
                <w:sz w:val="20"/>
                <w:szCs w:val="20"/>
                <w:lang w:eastAsia="en-GB"/>
              </w:rPr>
              <w:t>9,834,835</w:t>
            </w:r>
          </w:p>
        </w:tc>
        <w:tc>
          <w:tcPr>
            <w:tcW w:w="5920" w:type="dxa"/>
            <w:tcBorders>
              <w:top w:val="single" w:sz="4" w:space="0" w:color="auto"/>
              <w:left w:val="single" w:sz="4" w:space="0" w:color="auto"/>
              <w:bottom w:val="single" w:sz="4" w:space="0" w:color="auto"/>
              <w:right w:val="single" w:sz="4" w:space="0" w:color="auto"/>
            </w:tcBorders>
            <w:vAlign w:val="center"/>
            <w:hideMark/>
          </w:tcPr>
          <w:p w14:paraId="32C175E0" w14:textId="7FAB4C0C" w:rsidR="00193F22" w:rsidRPr="00C9207C" w:rsidRDefault="0073727E" w:rsidP="00193F22">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themeColor="text1"/>
                <w:sz w:val="20"/>
                <w:szCs w:val="20"/>
                <w:lang w:eastAsia="en-GB"/>
              </w:rPr>
              <w:t>(</w:t>
            </w:r>
            <w:r w:rsidR="2AEC893E" w:rsidRPr="00C9207C">
              <w:rPr>
                <w:rFonts w:ascii="Arial" w:eastAsia="Times New Roman" w:hAnsi="Arial" w:cs="Arial"/>
                <w:b/>
                <w:bCs/>
                <w:color w:val="000000" w:themeColor="text1"/>
                <w:sz w:val="20"/>
                <w:szCs w:val="20"/>
                <w:lang w:eastAsia="en-GB"/>
              </w:rPr>
              <w:t>Surplus or Deficit on the Provision of Services</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2D3E146" w14:textId="77777777" w:rsidR="00193F22" w:rsidRPr="009B49C4" w:rsidRDefault="2AEC893E" w:rsidP="00193F22">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themeColor="text1"/>
                <w:sz w:val="20"/>
                <w:szCs w:val="20"/>
                <w:lang w:eastAsia="en-GB"/>
              </w:rPr>
              <w:t>(11,231,419)</w:t>
            </w:r>
          </w:p>
        </w:tc>
      </w:tr>
    </w:tbl>
    <w:p w14:paraId="0735AF47" w14:textId="77777777" w:rsidR="003D4AC6" w:rsidRPr="00C9207C" w:rsidRDefault="003D4AC6" w:rsidP="00A51927">
      <w:pPr>
        <w:spacing w:after="0" w:line="240" w:lineRule="auto"/>
        <w:rPr>
          <w:rFonts w:ascii="Arial" w:hAnsi="Arial" w:cs="Arial"/>
          <w:sz w:val="20"/>
          <w:szCs w:val="20"/>
          <w:highlight w:val="yellow"/>
        </w:rPr>
      </w:pPr>
    </w:p>
    <w:p w14:paraId="4114D27C" w14:textId="61C8B971" w:rsidR="003910AA" w:rsidRPr="00C9207C" w:rsidRDefault="000F7D45" w:rsidP="00A51927">
      <w:pPr>
        <w:spacing w:after="0" w:line="240" w:lineRule="auto"/>
        <w:rPr>
          <w:rFonts w:ascii="Arial" w:hAnsi="Arial" w:cs="Arial"/>
          <w:sz w:val="20"/>
          <w:szCs w:val="20"/>
        </w:rPr>
      </w:pPr>
      <w:r w:rsidRPr="00C9207C">
        <w:rPr>
          <w:rFonts w:ascii="Arial" w:hAnsi="Arial" w:cs="Arial"/>
          <w:sz w:val="20"/>
          <w:szCs w:val="20"/>
        </w:rPr>
        <w:t>*</w:t>
      </w:r>
      <w:r w:rsidR="000C41EC" w:rsidRPr="00C9207C">
        <w:rPr>
          <w:rFonts w:ascii="Arial" w:hAnsi="Arial" w:cs="Arial"/>
          <w:sz w:val="20"/>
          <w:szCs w:val="20"/>
        </w:rPr>
        <w:t>Audit fees in respect of 202</w:t>
      </w:r>
      <w:r w:rsidR="00886901" w:rsidRPr="00C9207C">
        <w:rPr>
          <w:rFonts w:ascii="Arial" w:hAnsi="Arial" w:cs="Arial"/>
          <w:sz w:val="20"/>
          <w:szCs w:val="20"/>
        </w:rPr>
        <w:t>5</w:t>
      </w:r>
      <w:r w:rsidR="000C41EC" w:rsidRPr="00C9207C">
        <w:rPr>
          <w:rFonts w:ascii="Arial" w:hAnsi="Arial" w:cs="Arial"/>
          <w:sz w:val="20"/>
          <w:szCs w:val="20"/>
        </w:rPr>
        <w:t>/2</w:t>
      </w:r>
      <w:r w:rsidR="00886901" w:rsidRPr="00C9207C">
        <w:rPr>
          <w:rFonts w:ascii="Arial" w:hAnsi="Arial" w:cs="Arial"/>
          <w:sz w:val="20"/>
          <w:szCs w:val="20"/>
        </w:rPr>
        <w:t>6</w:t>
      </w:r>
      <w:r w:rsidR="000C41EC" w:rsidRPr="00C9207C">
        <w:rPr>
          <w:rFonts w:ascii="Arial" w:hAnsi="Arial" w:cs="Arial"/>
          <w:sz w:val="20"/>
          <w:szCs w:val="20"/>
        </w:rPr>
        <w:t xml:space="preserve"> are £</w:t>
      </w:r>
      <w:r w:rsidR="00886901" w:rsidRPr="00C9207C">
        <w:rPr>
          <w:rFonts w:ascii="Arial" w:hAnsi="Arial" w:cs="Arial"/>
          <w:sz w:val="20"/>
          <w:szCs w:val="20"/>
        </w:rPr>
        <w:t>42</w:t>
      </w:r>
      <w:r w:rsidR="000C41EC" w:rsidRPr="00C9207C">
        <w:rPr>
          <w:rFonts w:ascii="Arial" w:hAnsi="Arial" w:cs="Arial"/>
          <w:sz w:val="20"/>
          <w:szCs w:val="20"/>
        </w:rPr>
        <w:t>,</w:t>
      </w:r>
      <w:r w:rsidR="00886901" w:rsidRPr="00C9207C">
        <w:rPr>
          <w:rFonts w:ascii="Arial" w:hAnsi="Arial" w:cs="Arial"/>
          <w:sz w:val="20"/>
          <w:szCs w:val="20"/>
        </w:rPr>
        <w:t>6</w:t>
      </w:r>
      <w:r w:rsidR="000C41EC" w:rsidRPr="00C9207C">
        <w:rPr>
          <w:rFonts w:ascii="Arial" w:hAnsi="Arial" w:cs="Arial"/>
          <w:sz w:val="20"/>
          <w:szCs w:val="20"/>
        </w:rPr>
        <w:t>00</w:t>
      </w:r>
      <w:bookmarkStart w:id="42" w:name="_Toc11249440"/>
      <w:r w:rsidR="00E67787">
        <w:rPr>
          <w:rFonts w:ascii="Arial" w:hAnsi="Arial" w:cs="Arial"/>
          <w:sz w:val="20"/>
          <w:szCs w:val="20"/>
        </w:rPr>
        <w:t xml:space="preserve"> (2024/25: £39,100)</w:t>
      </w:r>
    </w:p>
    <w:p w14:paraId="6F7987E3" w14:textId="77777777" w:rsidR="003910AA" w:rsidRPr="00C9207C" w:rsidRDefault="003910AA" w:rsidP="00A51927">
      <w:pPr>
        <w:spacing w:after="0" w:line="240" w:lineRule="auto"/>
        <w:rPr>
          <w:rFonts w:ascii="Arial" w:hAnsi="Arial" w:cs="Arial"/>
          <w:sz w:val="20"/>
          <w:szCs w:val="20"/>
          <w:highlight w:val="yellow"/>
        </w:rPr>
      </w:pPr>
    </w:p>
    <w:p w14:paraId="489E0AAA" w14:textId="4CF941CA" w:rsidR="00A05B7D" w:rsidRPr="00427A1A" w:rsidRDefault="00A05B7D" w:rsidP="006D5013">
      <w:pPr>
        <w:pStyle w:val="ListParagraph"/>
        <w:numPr>
          <w:ilvl w:val="2"/>
          <w:numId w:val="11"/>
        </w:numPr>
        <w:spacing w:after="0" w:line="240" w:lineRule="auto"/>
        <w:rPr>
          <w:rFonts w:ascii="Arial" w:hAnsi="Arial" w:cs="Arial"/>
          <w:b/>
          <w:sz w:val="20"/>
          <w:szCs w:val="20"/>
        </w:rPr>
      </w:pPr>
      <w:r w:rsidRPr="00427A1A">
        <w:rPr>
          <w:rFonts w:ascii="Arial" w:hAnsi="Arial" w:cs="Arial"/>
          <w:b/>
          <w:sz w:val="20"/>
          <w:szCs w:val="20"/>
          <w:u w:val="single"/>
        </w:rPr>
        <w:t>Taxation and Non-Specific Grant Income</w:t>
      </w:r>
      <w:bookmarkEnd w:id="42"/>
    </w:p>
    <w:p w14:paraId="720C02EE" w14:textId="77777777" w:rsidR="00A05B7D" w:rsidRPr="00C9207C" w:rsidRDefault="00A05B7D" w:rsidP="00A51927">
      <w:pPr>
        <w:spacing w:after="0" w:line="240" w:lineRule="auto"/>
        <w:rPr>
          <w:rFonts w:ascii="Arial" w:hAnsi="Arial" w:cs="Arial"/>
          <w:sz w:val="20"/>
          <w:szCs w:val="20"/>
          <w:highlight w:val="yellow"/>
        </w:rPr>
      </w:pPr>
    </w:p>
    <w:tbl>
      <w:tblPr>
        <w:tblW w:w="964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20"/>
        <w:gridCol w:w="5920"/>
        <w:gridCol w:w="1900"/>
      </w:tblGrid>
      <w:tr w:rsidR="005222D4" w:rsidRPr="00C9207C" w14:paraId="7D8CB404" w14:textId="77777777" w:rsidTr="001403BF">
        <w:trPr>
          <w:trHeight w:val="260"/>
        </w:trPr>
        <w:tc>
          <w:tcPr>
            <w:tcW w:w="1820" w:type="dxa"/>
            <w:tcBorders>
              <w:top w:val="single" w:sz="4" w:space="0" w:color="auto"/>
              <w:left w:val="single" w:sz="4" w:space="0" w:color="auto"/>
              <w:bottom w:val="nil"/>
              <w:right w:val="single" w:sz="4" w:space="0" w:color="auto"/>
            </w:tcBorders>
            <w:vAlign w:val="center"/>
            <w:hideMark/>
          </w:tcPr>
          <w:p w14:paraId="7A13FE43" w14:textId="77777777" w:rsidR="005222D4" w:rsidRPr="00C9207C" w:rsidRDefault="005222D4" w:rsidP="005222D4">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2024/25</w:t>
            </w:r>
          </w:p>
        </w:tc>
        <w:tc>
          <w:tcPr>
            <w:tcW w:w="5920" w:type="dxa"/>
            <w:tcBorders>
              <w:top w:val="single" w:sz="4" w:space="0" w:color="auto"/>
              <w:left w:val="single" w:sz="4" w:space="0" w:color="auto"/>
              <w:bottom w:val="nil"/>
              <w:right w:val="single" w:sz="4" w:space="0" w:color="auto"/>
            </w:tcBorders>
            <w:vAlign w:val="center"/>
            <w:hideMark/>
          </w:tcPr>
          <w:p w14:paraId="6C0E4E71" w14:textId="77777777" w:rsidR="005222D4" w:rsidRPr="00C9207C" w:rsidRDefault="005222D4" w:rsidP="005222D4">
            <w:pPr>
              <w:spacing w:after="0" w:line="240" w:lineRule="auto"/>
              <w:jc w:val="right"/>
              <w:rPr>
                <w:rFonts w:ascii="Arial" w:eastAsia="Times New Roman" w:hAnsi="Arial" w:cs="Arial"/>
                <w:b/>
                <w:bCs/>
                <w:color w:val="000000"/>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7BE439DC" w14:textId="77777777" w:rsidR="005222D4" w:rsidRPr="00C9207C" w:rsidRDefault="005222D4" w:rsidP="005222D4">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2025/26</w:t>
            </w:r>
          </w:p>
        </w:tc>
      </w:tr>
      <w:tr w:rsidR="005222D4" w:rsidRPr="00C9207C" w14:paraId="4135A5DD" w14:textId="77777777" w:rsidTr="001403BF">
        <w:trPr>
          <w:trHeight w:val="250"/>
        </w:trPr>
        <w:tc>
          <w:tcPr>
            <w:tcW w:w="1820" w:type="dxa"/>
            <w:tcBorders>
              <w:top w:val="nil"/>
              <w:left w:val="single" w:sz="4" w:space="0" w:color="auto"/>
              <w:bottom w:val="single" w:sz="4" w:space="0" w:color="auto"/>
              <w:right w:val="single" w:sz="4" w:space="0" w:color="auto"/>
            </w:tcBorders>
            <w:vAlign w:val="center"/>
            <w:hideMark/>
          </w:tcPr>
          <w:p w14:paraId="19E2EA7A"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920" w:type="dxa"/>
            <w:tcBorders>
              <w:top w:val="nil"/>
              <w:left w:val="single" w:sz="4" w:space="0" w:color="auto"/>
              <w:bottom w:val="single" w:sz="4" w:space="0" w:color="auto"/>
              <w:right w:val="single" w:sz="4" w:space="0" w:color="auto"/>
            </w:tcBorders>
            <w:vAlign w:val="center"/>
            <w:hideMark/>
          </w:tcPr>
          <w:p w14:paraId="314A08E3"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p>
        </w:tc>
        <w:tc>
          <w:tcPr>
            <w:tcW w:w="1900" w:type="dxa"/>
            <w:tcBorders>
              <w:top w:val="nil"/>
              <w:left w:val="single" w:sz="4" w:space="0" w:color="auto"/>
              <w:bottom w:val="single" w:sz="4" w:space="0" w:color="auto"/>
              <w:right w:val="single" w:sz="4" w:space="0" w:color="auto"/>
            </w:tcBorders>
            <w:vAlign w:val="center"/>
            <w:hideMark/>
          </w:tcPr>
          <w:p w14:paraId="0043B9A5"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5222D4" w:rsidRPr="00C9207C" w14:paraId="620D1308" w14:textId="77777777" w:rsidTr="001403BF">
        <w:trPr>
          <w:trHeight w:val="250"/>
        </w:trPr>
        <w:tc>
          <w:tcPr>
            <w:tcW w:w="1820" w:type="dxa"/>
            <w:tcBorders>
              <w:top w:val="single" w:sz="4" w:space="0" w:color="auto"/>
              <w:left w:val="single" w:sz="4" w:space="0" w:color="auto"/>
              <w:bottom w:val="nil"/>
              <w:right w:val="single" w:sz="4" w:space="0" w:color="auto"/>
            </w:tcBorders>
            <w:vAlign w:val="center"/>
            <w:hideMark/>
          </w:tcPr>
          <w:p w14:paraId="4228EE98"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p>
        </w:tc>
        <w:tc>
          <w:tcPr>
            <w:tcW w:w="5920" w:type="dxa"/>
            <w:tcBorders>
              <w:top w:val="single" w:sz="4" w:space="0" w:color="auto"/>
              <w:left w:val="single" w:sz="4" w:space="0" w:color="auto"/>
              <w:bottom w:val="nil"/>
              <w:right w:val="single" w:sz="4" w:space="0" w:color="auto"/>
            </w:tcBorders>
            <w:vAlign w:val="center"/>
            <w:hideMark/>
          </w:tcPr>
          <w:p w14:paraId="3756273E" w14:textId="77777777" w:rsidR="005222D4" w:rsidRPr="00C9207C" w:rsidRDefault="005222D4" w:rsidP="005222D4">
            <w:pPr>
              <w:spacing w:after="0" w:line="240" w:lineRule="auto"/>
              <w:rPr>
                <w:rFonts w:ascii="Arial" w:eastAsia="Times New Roman" w:hAnsi="Arial" w:cs="Arial"/>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7F2C502F" w14:textId="77777777" w:rsidR="005222D4" w:rsidRPr="00C9207C" w:rsidRDefault="005222D4" w:rsidP="005222D4">
            <w:pPr>
              <w:spacing w:after="0" w:line="240" w:lineRule="auto"/>
              <w:rPr>
                <w:rFonts w:ascii="Arial" w:eastAsia="Times New Roman" w:hAnsi="Arial" w:cs="Arial"/>
                <w:sz w:val="20"/>
                <w:szCs w:val="20"/>
                <w:lang w:eastAsia="en-GB"/>
              </w:rPr>
            </w:pPr>
          </w:p>
        </w:tc>
      </w:tr>
      <w:tr w:rsidR="005222D4" w:rsidRPr="00C9207C" w14:paraId="5190EA46" w14:textId="77777777" w:rsidTr="001403BF">
        <w:trPr>
          <w:trHeight w:val="250"/>
        </w:trPr>
        <w:tc>
          <w:tcPr>
            <w:tcW w:w="1820" w:type="dxa"/>
            <w:tcBorders>
              <w:top w:val="nil"/>
              <w:left w:val="single" w:sz="4" w:space="0" w:color="auto"/>
              <w:bottom w:val="nil"/>
              <w:right w:val="single" w:sz="4" w:space="0" w:color="auto"/>
            </w:tcBorders>
            <w:vAlign w:val="center"/>
            <w:hideMark/>
          </w:tcPr>
          <w:p w14:paraId="2AA012C4"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(136,325,258)</w:t>
            </w:r>
          </w:p>
        </w:tc>
        <w:tc>
          <w:tcPr>
            <w:tcW w:w="5920" w:type="dxa"/>
            <w:tcBorders>
              <w:top w:val="nil"/>
              <w:left w:val="single" w:sz="4" w:space="0" w:color="auto"/>
              <w:bottom w:val="nil"/>
              <w:right w:val="single" w:sz="4" w:space="0" w:color="auto"/>
            </w:tcBorders>
            <w:vAlign w:val="center"/>
            <w:hideMark/>
          </w:tcPr>
          <w:p w14:paraId="59FCC284" w14:textId="77777777" w:rsidR="005222D4" w:rsidRPr="00C9207C" w:rsidRDefault="005222D4" w:rsidP="005222D4">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Funding Contribution from Aberdeen City Council</w:t>
            </w:r>
          </w:p>
        </w:tc>
        <w:tc>
          <w:tcPr>
            <w:tcW w:w="1900" w:type="dxa"/>
            <w:tcBorders>
              <w:top w:val="nil"/>
              <w:left w:val="single" w:sz="4" w:space="0" w:color="auto"/>
              <w:bottom w:val="nil"/>
              <w:right w:val="single" w:sz="4" w:space="0" w:color="auto"/>
            </w:tcBorders>
            <w:noWrap/>
            <w:vAlign w:val="bottom"/>
            <w:hideMark/>
          </w:tcPr>
          <w:p w14:paraId="50BF2F93" w14:textId="77777777" w:rsidR="005222D4" w:rsidRPr="001403BF" w:rsidRDefault="005222D4" w:rsidP="005222D4">
            <w:pPr>
              <w:spacing w:after="0" w:line="240" w:lineRule="auto"/>
              <w:jc w:val="right"/>
              <w:rPr>
                <w:rFonts w:ascii="Arial" w:eastAsia="Times New Roman" w:hAnsi="Arial" w:cs="Arial"/>
                <w:b/>
                <w:bCs/>
                <w:color w:val="000000"/>
                <w:sz w:val="20"/>
                <w:szCs w:val="20"/>
                <w:lang w:eastAsia="en-GB"/>
              </w:rPr>
            </w:pPr>
            <w:r w:rsidRPr="001403BF">
              <w:rPr>
                <w:rFonts w:ascii="Arial" w:eastAsia="Times New Roman" w:hAnsi="Arial" w:cs="Arial"/>
                <w:b/>
                <w:bCs/>
                <w:color w:val="000000"/>
                <w:sz w:val="20"/>
                <w:szCs w:val="20"/>
                <w:lang w:eastAsia="en-GB"/>
              </w:rPr>
              <w:t>(144,104,567)</w:t>
            </w:r>
          </w:p>
        </w:tc>
      </w:tr>
      <w:tr w:rsidR="005222D4" w:rsidRPr="00C9207C" w14:paraId="0F20C33E" w14:textId="77777777" w:rsidTr="001403BF">
        <w:trPr>
          <w:trHeight w:val="250"/>
        </w:trPr>
        <w:tc>
          <w:tcPr>
            <w:tcW w:w="1820" w:type="dxa"/>
            <w:tcBorders>
              <w:top w:val="nil"/>
              <w:left w:val="single" w:sz="4" w:space="0" w:color="auto"/>
              <w:bottom w:val="single" w:sz="4" w:space="0" w:color="auto"/>
              <w:right w:val="single" w:sz="4" w:space="0" w:color="auto"/>
            </w:tcBorders>
            <w:vAlign w:val="center"/>
            <w:hideMark/>
          </w:tcPr>
          <w:p w14:paraId="3F787165" w14:textId="77777777" w:rsidR="005222D4" w:rsidRPr="00C9207C" w:rsidRDefault="005222D4" w:rsidP="005222D4">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(310,890,518)</w:t>
            </w:r>
          </w:p>
        </w:tc>
        <w:tc>
          <w:tcPr>
            <w:tcW w:w="5920" w:type="dxa"/>
            <w:tcBorders>
              <w:top w:val="nil"/>
              <w:left w:val="single" w:sz="4" w:space="0" w:color="auto"/>
              <w:bottom w:val="single" w:sz="4" w:space="0" w:color="auto"/>
              <w:right w:val="single" w:sz="4" w:space="0" w:color="auto"/>
            </w:tcBorders>
            <w:vAlign w:val="center"/>
            <w:hideMark/>
          </w:tcPr>
          <w:p w14:paraId="0AA31419" w14:textId="77777777" w:rsidR="005222D4" w:rsidRPr="00C9207C" w:rsidRDefault="005222D4" w:rsidP="005222D4">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Funding Contribution from NHS Grampian</w:t>
            </w:r>
          </w:p>
        </w:tc>
        <w:tc>
          <w:tcPr>
            <w:tcW w:w="1900" w:type="dxa"/>
            <w:tcBorders>
              <w:top w:val="nil"/>
              <w:left w:val="single" w:sz="4" w:space="0" w:color="auto"/>
              <w:bottom w:val="single" w:sz="4" w:space="0" w:color="auto"/>
              <w:right w:val="single" w:sz="4" w:space="0" w:color="auto"/>
            </w:tcBorders>
            <w:noWrap/>
            <w:vAlign w:val="bottom"/>
            <w:hideMark/>
          </w:tcPr>
          <w:p w14:paraId="2D46C5D8" w14:textId="77777777" w:rsidR="005222D4" w:rsidRPr="001403BF" w:rsidRDefault="005222D4" w:rsidP="005222D4">
            <w:pPr>
              <w:spacing w:after="0" w:line="240" w:lineRule="auto"/>
              <w:jc w:val="right"/>
              <w:rPr>
                <w:rFonts w:ascii="Arial" w:eastAsia="Times New Roman" w:hAnsi="Arial" w:cs="Arial"/>
                <w:b/>
                <w:bCs/>
                <w:color w:val="000000"/>
                <w:sz w:val="20"/>
                <w:szCs w:val="20"/>
                <w:lang w:eastAsia="en-GB"/>
              </w:rPr>
            </w:pPr>
            <w:r w:rsidRPr="001403BF">
              <w:rPr>
                <w:rFonts w:ascii="Arial" w:eastAsia="Times New Roman" w:hAnsi="Arial" w:cs="Arial"/>
                <w:b/>
                <w:bCs/>
                <w:color w:val="000000"/>
                <w:sz w:val="20"/>
                <w:szCs w:val="20"/>
                <w:lang w:eastAsia="en-GB"/>
              </w:rPr>
              <w:t>(331,239,873)</w:t>
            </w:r>
          </w:p>
        </w:tc>
      </w:tr>
      <w:tr w:rsidR="005222D4" w:rsidRPr="00C9207C" w14:paraId="7396517B" w14:textId="77777777" w:rsidTr="001403BF">
        <w:trPr>
          <w:trHeight w:val="270"/>
        </w:trPr>
        <w:tc>
          <w:tcPr>
            <w:tcW w:w="1820" w:type="dxa"/>
            <w:tcBorders>
              <w:top w:val="single" w:sz="4" w:space="0" w:color="auto"/>
              <w:left w:val="single" w:sz="4" w:space="0" w:color="auto"/>
              <w:bottom w:val="single" w:sz="4" w:space="0" w:color="auto"/>
              <w:right w:val="single" w:sz="4" w:space="0" w:color="auto"/>
            </w:tcBorders>
            <w:vAlign w:val="center"/>
            <w:hideMark/>
          </w:tcPr>
          <w:p w14:paraId="6CE32BB8" w14:textId="77777777" w:rsidR="005222D4" w:rsidRPr="001403BF" w:rsidRDefault="005222D4" w:rsidP="005222D4">
            <w:pPr>
              <w:spacing w:after="0" w:line="240" w:lineRule="auto"/>
              <w:jc w:val="right"/>
              <w:rPr>
                <w:rFonts w:ascii="Arial" w:eastAsia="Times New Roman" w:hAnsi="Arial" w:cs="Arial"/>
                <w:color w:val="000000"/>
                <w:sz w:val="20"/>
                <w:szCs w:val="20"/>
                <w:lang w:eastAsia="en-GB"/>
              </w:rPr>
            </w:pPr>
            <w:r w:rsidRPr="001403BF">
              <w:rPr>
                <w:rFonts w:ascii="Arial" w:eastAsia="Times New Roman" w:hAnsi="Arial" w:cs="Arial"/>
                <w:color w:val="000000"/>
                <w:sz w:val="20"/>
                <w:szCs w:val="20"/>
                <w:lang w:eastAsia="en-GB"/>
              </w:rPr>
              <w:t>(447,215,776)</w:t>
            </w:r>
          </w:p>
        </w:tc>
        <w:tc>
          <w:tcPr>
            <w:tcW w:w="5920" w:type="dxa"/>
            <w:tcBorders>
              <w:top w:val="single" w:sz="4" w:space="0" w:color="auto"/>
              <w:left w:val="single" w:sz="4" w:space="0" w:color="auto"/>
              <w:bottom w:val="single" w:sz="4" w:space="0" w:color="auto"/>
              <w:right w:val="single" w:sz="4" w:space="0" w:color="auto"/>
            </w:tcBorders>
            <w:vAlign w:val="center"/>
            <w:hideMark/>
          </w:tcPr>
          <w:p w14:paraId="62111473" w14:textId="77777777" w:rsidR="005222D4" w:rsidRPr="00C9207C" w:rsidRDefault="005222D4" w:rsidP="005222D4">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Taxation and Non-specific Grant Income</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44A5B1D" w14:textId="77777777" w:rsidR="005222D4" w:rsidRPr="001403BF" w:rsidRDefault="005222D4" w:rsidP="005222D4">
            <w:pPr>
              <w:spacing w:after="0" w:line="240" w:lineRule="auto"/>
              <w:jc w:val="right"/>
              <w:rPr>
                <w:rFonts w:ascii="Arial" w:eastAsia="Times New Roman" w:hAnsi="Arial" w:cs="Arial"/>
                <w:b/>
                <w:bCs/>
                <w:color w:val="000000"/>
                <w:sz w:val="20"/>
                <w:szCs w:val="20"/>
                <w:lang w:eastAsia="en-GB"/>
              </w:rPr>
            </w:pPr>
            <w:r w:rsidRPr="001403BF">
              <w:rPr>
                <w:rFonts w:ascii="Arial" w:eastAsia="Times New Roman" w:hAnsi="Arial" w:cs="Arial"/>
                <w:b/>
                <w:bCs/>
                <w:color w:val="000000"/>
                <w:sz w:val="20"/>
                <w:szCs w:val="20"/>
                <w:lang w:eastAsia="en-GB"/>
              </w:rPr>
              <w:t>(475,344,440)</w:t>
            </w:r>
          </w:p>
        </w:tc>
      </w:tr>
    </w:tbl>
    <w:p w14:paraId="51D9693C" w14:textId="77777777" w:rsidR="001D7A27" w:rsidRPr="00C9207C" w:rsidRDefault="001D7A27" w:rsidP="00A51927">
      <w:pPr>
        <w:spacing w:after="0" w:line="240" w:lineRule="auto"/>
        <w:ind w:left="720"/>
        <w:rPr>
          <w:rFonts w:ascii="Arial" w:hAnsi="Arial" w:cs="Arial"/>
          <w:sz w:val="20"/>
          <w:szCs w:val="20"/>
          <w:highlight w:val="yellow"/>
          <w:lang w:eastAsia="en-GB"/>
        </w:rPr>
      </w:pPr>
    </w:p>
    <w:p w14:paraId="4FB85F06" w14:textId="77777777" w:rsidR="00FB4E65" w:rsidRPr="00C9207C" w:rsidRDefault="00FB4E65" w:rsidP="00A51927">
      <w:pPr>
        <w:spacing w:after="0" w:line="240" w:lineRule="auto"/>
        <w:ind w:left="720"/>
        <w:rPr>
          <w:rFonts w:ascii="Arial" w:hAnsi="Arial" w:cs="Arial"/>
          <w:sz w:val="20"/>
          <w:szCs w:val="20"/>
          <w:highlight w:val="yellow"/>
        </w:rPr>
      </w:pPr>
    </w:p>
    <w:p w14:paraId="6F223F7F" w14:textId="2EA4095E" w:rsidR="007467EB" w:rsidRPr="00C9207C" w:rsidRDefault="007467EB" w:rsidP="00A51927">
      <w:pPr>
        <w:spacing w:after="0" w:line="240" w:lineRule="auto"/>
        <w:rPr>
          <w:rFonts w:ascii="Arial" w:hAnsi="Arial" w:cs="Arial"/>
          <w:sz w:val="20"/>
          <w:szCs w:val="20"/>
        </w:rPr>
      </w:pPr>
      <w:r w:rsidRPr="00C9207C">
        <w:rPr>
          <w:rFonts w:ascii="Arial" w:hAnsi="Arial" w:cs="Arial"/>
          <w:sz w:val="20"/>
          <w:szCs w:val="20"/>
        </w:rPr>
        <w:t xml:space="preserve">The funding contribution from the NHS Board shown above includes </w:t>
      </w:r>
      <w:r w:rsidR="00D3690C" w:rsidRPr="00C9207C">
        <w:rPr>
          <w:rFonts w:ascii="Arial" w:hAnsi="Arial" w:cs="Arial"/>
          <w:sz w:val="20"/>
          <w:szCs w:val="20"/>
        </w:rPr>
        <w:t>£</w:t>
      </w:r>
      <w:r w:rsidR="00994EA4" w:rsidRPr="00C9207C">
        <w:rPr>
          <w:rFonts w:ascii="Arial" w:hAnsi="Arial" w:cs="Arial"/>
          <w:sz w:val="20"/>
          <w:szCs w:val="20"/>
        </w:rPr>
        <w:t>62.6</w:t>
      </w:r>
      <w:r w:rsidR="00147A92" w:rsidRPr="00C9207C">
        <w:rPr>
          <w:rFonts w:ascii="Arial" w:hAnsi="Arial" w:cs="Arial"/>
          <w:sz w:val="20"/>
          <w:szCs w:val="20"/>
        </w:rPr>
        <w:t xml:space="preserve"> million</w:t>
      </w:r>
      <w:r w:rsidRPr="00C9207C">
        <w:rPr>
          <w:rFonts w:ascii="Arial" w:hAnsi="Arial" w:cs="Arial"/>
          <w:sz w:val="20"/>
          <w:szCs w:val="20"/>
        </w:rPr>
        <w:t xml:space="preserve"> in respect of ‘set</w:t>
      </w:r>
      <w:r w:rsidR="006E3837" w:rsidRPr="00C9207C">
        <w:rPr>
          <w:rFonts w:ascii="Arial" w:hAnsi="Arial" w:cs="Arial"/>
          <w:sz w:val="20"/>
          <w:szCs w:val="20"/>
        </w:rPr>
        <w:t>-</w:t>
      </w:r>
      <w:r w:rsidRPr="00C9207C">
        <w:rPr>
          <w:rFonts w:ascii="Arial" w:hAnsi="Arial" w:cs="Arial"/>
          <w:sz w:val="20"/>
          <w:szCs w:val="20"/>
        </w:rPr>
        <w:t>aside’ resources relating to acute hospital and other resources</w:t>
      </w:r>
      <w:r w:rsidR="006F4CFD" w:rsidRPr="00C9207C">
        <w:rPr>
          <w:rFonts w:ascii="Arial" w:hAnsi="Arial" w:cs="Arial"/>
          <w:sz w:val="20"/>
          <w:szCs w:val="20"/>
        </w:rPr>
        <w:t>. These</w:t>
      </w:r>
      <w:r w:rsidRPr="00C9207C">
        <w:rPr>
          <w:rFonts w:ascii="Arial" w:hAnsi="Arial" w:cs="Arial"/>
          <w:sz w:val="20"/>
          <w:szCs w:val="20"/>
        </w:rPr>
        <w:t xml:space="preserve"> are provided by the NHS</w:t>
      </w:r>
      <w:r w:rsidR="006E3837" w:rsidRPr="00C9207C">
        <w:rPr>
          <w:rFonts w:ascii="Arial" w:hAnsi="Arial" w:cs="Arial"/>
          <w:sz w:val="20"/>
          <w:szCs w:val="20"/>
        </w:rPr>
        <w:t>,</w:t>
      </w:r>
      <w:r w:rsidR="006F4CFD" w:rsidRPr="00C9207C">
        <w:rPr>
          <w:rFonts w:ascii="Arial" w:hAnsi="Arial" w:cs="Arial"/>
          <w:sz w:val="20"/>
          <w:szCs w:val="20"/>
        </w:rPr>
        <w:t xml:space="preserve"> which retains responsibility for managing </w:t>
      </w:r>
      <w:r w:rsidR="006E6C6E" w:rsidRPr="00C9207C">
        <w:rPr>
          <w:rFonts w:ascii="Arial" w:hAnsi="Arial" w:cs="Arial"/>
          <w:sz w:val="20"/>
          <w:szCs w:val="20"/>
        </w:rPr>
        <w:t>the costs</w:t>
      </w:r>
      <w:r w:rsidR="006F4CFD" w:rsidRPr="00C9207C">
        <w:rPr>
          <w:rFonts w:ascii="Arial" w:hAnsi="Arial" w:cs="Arial"/>
          <w:sz w:val="20"/>
          <w:szCs w:val="20"/>
        </w:rPr>
        <w:t xml:space="preserve"> </w:t>
      </w:r>
      <w:r w:rsidR="006E6C6E" w:rsidRPr="00C9207C">
        <w:rPr>
          <w:rFonts w:ascii="Arial" w:hAnsi="Arial" w:cs="Arial"/>
          <w:sz w:val="20"/>
          <w:szCs w:val="20"/>
        </w:rPr>
        <w:t>of providing the services</w:t>
      </w:r>
      <w:r w:rsidR="006F4CFD" w:rsidRPr="00C9207C">
        <w:rPr>
          <w:rFonts w:ascii="Arial" w:hAnsi="Arial" w:cs="Arial"/>
          <w:sz w:val="20"/>
          <w:szCs w:val="20"/>
        </w:rPr>
        <w:t>. The IJB</w:t>
      </w:r>
      <w:r w:rsidR="006E3837" w:rsidRPr="00C9207C">
        <w:rPr>
          <w:rFonts w:ascii="Arial" w:hAnsi="Arial" w:cs="Arial"/>
          <w:sz w:val="20"/>
          <w:szCs w:val="20"/>
        </w:rPr>
        <w:t>,</w:t>
      </w:r>
      <w:r w:rsidR="006F4CFD" w:rsidRPr="00C9207C">
        <w:rPr>
          <w:rFonts w:ascii="Arial" w:hAnsi="Arial" w:cs="Arial"/>
          <w:sz w:val="20"/>
          <w:szCs w:val="20"/>
        </w:rPr>
        <w:t xml:space="preserve"> </w:t>
      </w:r>
      <w:r w:rsidR="006E6C6E" w:rsidRPr="00C9207C">
        <w:rPr>
          <w:rFonts w:ascii="Arial" w:hAnsi="Arial" w:cs="Arial"/>
          <w:sz w:val="20"/>
          <w:szCs w:val="20"/>
        </w:rPr>
        <w:t>however</w:t>
      </w:r>
      <w:r w:rsidR="006E3837" w:rsidRPr="00C9207C">
        <w:rPr>
          <w:rFonts w:ascii="Arial" w:hAnsi="Arial" w:cs="Arial"/>
          <w:sz w:val="20"/>
          <w:szCs w:val="20"/>
        </w:rPr>
        <w:t>,</w:t>
      </w:r>
      <w:r w:rsidR="006E6C6E" w:rsidRPr="00C9207C">
        <w:rPr>
          <w:rFonts w:ascii="Arial" w:hAnsi="Arial" w:cs="Arial"/>
          <w:sz w:val="20"/>
          <w:szCs w:val="20"/>
        </w:rPr>
        <w:t xml:space="preserve"> </w:t>
      </w:r>
      <w:r w:rsidR="001E214C" w:rsidRPr="00C9207C">
        <w:rPr>
          <w:rFonts w:ascii="Arial" w:hAnsi="Arial" w:cs="Arial"/>
          <w:sz w:val="20"/>
          <w:szCs w:val="20"/>
        </w:rPr>
        <w:t>has</w:t>
      </w:r>
      <w:r w:rsidR="006F4CFD" w:rsidRPr="00C9207C">
        <w:rPr>
          <w:rFonts w:ascii="Arial" w:hAnsi="Arial" w:cs="Arial"/>
          <w:sz w:val="20"/>
          <w:szCs w:val="20"/>
        </w:rPr>
        <w:t xml:space="preserve"> responsibility for the </w:t>
      </w:r>
      <w:r w:rsidR="006E6C6E" w:rsidRPr="00C9207C">
        <w:rPr>
          <w:rFonts w:ascii="Arial" w:hAnsi="Arial" w:cs="Arial"/>
          <w:sz w:val="20"/>
          <w:szCs w:val="20"/>
        </w:rPr>
        <w:t xml:space="preserve">consumption of, and </w:t>
      </w:r>
      <w:r w:rsidR="006F4CFD" w:rsidRPr="00C9207C">
        <w:rPr>
          <w:rFonts w:ascii="Arial" w:hAnsi="Arial" w:cs="Arial"/>
          <w:sz w:val="20"/>
          <w:szCs w:val="20"/>
        </w:rPr>
        <w:t>level of demand placed on</w:t>
      </w:r>
      <w:r w:rsidR="006E6C6E" w:rsidRPr="00C9207C">
        <w:rPr>
          <w:rFonts w:ascii="Arial" w:hAnsi="Arial" w:cs="Arial"/>
          <w:sz w:val="20"/>
          <w:szCs w:val="20"/>
        </w:rPr>
        <w:t>,</w:t>
      </w:r>
      <w:r w:rsidR="006F4CFD" w:rsidRPr="00C9207C">
        <w:rPr>
          <w:rFonts w:ascii="Arial" w:hAnsi="Arial" w:cs="Arial"/>
          <w:sz w:val="20"/>
          <w:szCs w:val="20"/>
        </w:rPr>
        <w:t xml:space="preserve"> these resources.</w:t>
      </w:r>
    </w:p>
    <w:p w14:paraId="0FEACE92" w14:textId="77777777" w:rsidR="0055104A" w:rsidRPr="00C9207C" w:rsidRDefault="0055104A" w:rsidP="00A51927">
      <w:pPr>
        <w:spacing w:after="0" w:line="240" w:lineRule="auto"/>
        <w:rPr>
          <w:rFonts w:ascii="Arial" w:hAnsi="Arial" w:cs="Arial"/>
          <w:sz w:val="20"/>
          <w:szCs w:val="20"/>
          <w:highlight w:val="yellow"/>
        </w:rPr>
      </w:pPr>
    </w:p>
    <w:p w14:paraId="5D06D837" w14:textId="7E43EB85" w:rsidR="00A44566" w:rsidRPr="00C9207C" w:rsidRDefault="009675BF" w:rsidP="00A51927">
      <w:pPr>
        <w:spacing w:after="0" w:line="240" w:lineRule="auto"/>
        <w:rPr>
          <w:rFonts w:ascii="Arial" w:hAnsi="Arial" w:cs="Arial"/>
          <w:sz w:val="20"/>
          <w:szCs w:val="20"/>
        </w:rPr>
      </w:pPr>
      <w:r w:rsidRPr="00C9207C">
        <w:rPr>
          <w:rFonts w:ascii="Arial" w:hAnsi="Arial" w:cs="Arial"/>
          <w:sz w:val="20"/>
          <w:szCs w:val="20"/>
        </w:rPr>
        <w:t>The funding contributions from the partners shown above exclude any funding which is ring-fenced for the provision of specific services</w:t>
      </w:r>
      <w:r w:rsidR="00707385" w:rsidRPr="00C9207C">
        <w:rPr>
          <w:rFonts w:ascii="Arial" w:hAnsi="Arial" w:cs="Arial"/>
          <w:sz w:val="20"/>
          <w:szCs w:val="20"/>
        </w:rPr>
        <w:t>, such as that provided for Criminal Justice.</w:t>
      </w:r>
      <w:r w:rsidRPr="00C9207C">
        <w:rPr>
          <w:rFonts w:ascii="Arial" w:hAnsi="Arial" w:cs="Arial"/>
          <w:sz w:val="20"/>
          <w:szCs w:val="20"/>
        </w:rPr>
        <w:t xml:space="preserve"> Such ring-fenced funding is presented as income in the Cost of Services in the Comprehensive Income and Expenditure Statement.  </w:t>
      </w:r>
      <w:bookmarkStart w:id="43" w:name="_Toc11249441"/>
    </w:p>
    <w:p w14:paraId="739D1753" w14:textId="77777777" w:rsidR="005C49FE" w:rsidRPr="00C9207C" w:rsidRDefault="005C49FE" w:rsidP="005C49FE">
      <w:pPr>
        <w:spacing w:after="0" w:line="240" w:lineRule="auto"/>
        <w:rPr>
          <w:rFonts w:ascii="Arial" w:hAnsi="Arial" w:cs="Arial"/>
          <w:b/>
          <w:sz w:val="20"/>
          <w:szCs w:val="20"/>
          <w:highlight w:val="yellow"/>
          <w:u w:val="single"/>
        </w:rPr>
      </w:pPr>
    </w:p>
    <w:p w14:paraId="7CEE7E01" w14:textId="12576CC6" w:rsidR="000544A3" w:rsidRPr="00C9207C" w:rsidRDefault="1D5309F1" w:rsidP="006D5013">
      <w:pPr>
        <w:pStyle w:val="ListParagraph"/>
        <w:numPr>
          <w:ilvl w:val="2"/>
          <w:numId w:val="11"/>
        </w:numPr>
        <w:spacing w:after="0" w:line="240" w:lineRule="auto"/>
        <w:outlineLvl w:val="2"/>
        <w:rPr>
          <w:rFonts w:ascii="Arial" w:hAnsi="Arial" w:cs="Arial"/>
          <w:b/>
          <w:sz w:val="20"/>
          <w:szCs w:val="20"/>
          <w:u w:val="single"/>
        </w:rPr>
      </w:pPr>
      <w:bookmarkStart w:id="44" w:name="_Toc232169361"/>
      <w:r w:rsidRPr="00C9207C">
        <w:rPr>
          <w:rFonts w:ascii="Arial" w:hAnsi="Arial" w:cs="Arial"/>
          <w:b/>
          <w:sz w:val="20"/>
          <w:szCs w:val="20"/>
          <w:u w:val="single"/>
        </w:rPr>
        <w:t>Debtors</w:t>
      </w:r>
      <w:bookmarkEnd w:id="43"/>
      <w:bookmarkEnd w:id="44"/>
      <w:r w:rsidR="00B506CE" w:rsidRPr="00C9207C">
        <w:rPr>
          <w:rFonts w:ascii="Arial" w:hAnsi="Arial" w:cs="Arial"/>
          <w:b/>
          <w:sz w:val="20"/>
          <w:szCs w:val="20"/>
          <w:u w:val="single"/>
        </w:rPr>
        <w:t xml:space="preserve"> </w:t>
      </w:r>
    </w:p>
    <w:p w14:paraId="2BFB6315" w14:textId="77777777" w:rsidR="00B506CE" w:rsidRPr="00C9207C" w:rsidRDefault="00B506CE" w:rsidP="00A51927">
      <w:pPr>
        <w:spacing w:after="0" w:line="240" w:lineRule="auto"/>
        <w:ind w:left="720"/>
        <w:outlineLvl w:val="2"/>
        <w:rPr>
          <w:rFonts w:ascii="Arial" w:hAnsi="Arial" w:cs="Arial"/>
          <w:sz w:val="20"/>
          <w:szCs w:val="20"/>
          <w:highlight w:val="yellow"/>
        </w:rPr>
      </w:pPr>
    </w:p>
    <w:tbl>
      <w:tblPr>
        <w:tblW w:w="961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67"/>
        <w:gridCol w:w="5598"/>
        <w:gridCol w:w="2053"/>
      </w:tblGrid>
      <w:tr w:rsidR="00525125" w:rsidRPr="00C9207C" w14:paraId="365ADAB6" w14:textId="77777777" w:rsidTr="00A94FAE">
        <w:trPr>
          <w:trHeight w:val="268"/>
        </w:trPr>
        <w:tc>
          <w:tcPr>
            <w:tcW w:w="1967" w:type="dxa"/>
            <w:tcBorders>
              <w:top w:val="single" w:sz="4" w:space="0" w:color="auto"/>
              <w:left w:val="single" w:sz="4" w:space="0" w:color="auto"/>
              <w:bottom w:val="nil"/>
              <w:right w:val="single" w:sz="4" w:space="0" w:color="auto"/>
            </w:tcBorders>
            <w:vAlign w:val="center"/>
            <w:hideMark/>
          </w:tcPr>
          <w:p w14:paraId="3C75586A" w14:textId="1A099CD7" w:rsidR="00525125" w:rsidRPr="00C9207C" w:rsidRDefault="00525125" w:rsidP="0052512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598" w:type="dxa"/>
            <w:tcBorders>
              <w:top w:val="single" w:sz="4" w:space="0" w:color="auto"/>
              <w:left w:val="single" w:sz="4" w:space="0" w:color="auto"/>
              <w:bottom w:val="nil"/>
              <w:right w:val="single" w:sz="4" w:space="0" w:color="auto"/>
            </w:tcBorders>
            <w:vAlign w:val="center"/>
            <w:hideMark/>
          </w:tcPr>
          <w:p w14:paraId="7CCDA608" w14:textId="77777777" w:rsidR="00525125" w:rsidRPr="00C9207C" w:rsidRDefault="00525125" w:rsidP="00525125">
            <w:pPr>
              <w:spacing w:after="0" w:line="240" w:lineRule="auto"/>
              <w:jc w:val="right"/>
              <w:rPr>
                <w:rFonts w:ascii="Arial" w:eastAsia="Times New Roman" w:hAnsi="Arial" w:cs="Arial"/>
                <w:b/>
                <w:bCs/>
                <w:color w:val="000000"/>
                <w:sz w:val="20"/>
                <w:szCs w:val="20"/>
                <w:lang w:eastAsia="en-GB"/>
              </w:rPr>
            </w:pPr>
          </w:p>
        </w:tc>
        <w:tc>
          <w:tcPr>
            <w:tcW w:w="2053" w:type="dxa"/>
            <w:tcBorders>
              <w:top w:val="single" w:sz="4" w:space="0" w:color="auto"/>
              <w:left w:val="single" w:sz="4" w:space="0" w:color="auto"/>
              <w:bottom w:val="nil"/>
              <w:right w:val="single" w:sz="4" w:space="0" w:color="auto"/>
            </w:tcBorders>
            <w:vAlign w:val="bottom"/>
            <w:hideMark/>
          </w:tcPr>
          <w:p w14:paraId="786784B4" w14:textId="17552F88" w:rsidR="00525125" w:rsidRPr="00C9207C" w:rsidRDefault="00525125" w:rsidP="0052512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0B4B1B" w:rsidRPr="00C9207C" w14:paraId="5220BF02" w14:textId="77777777" w:rsidTr="00A94FAE">
        <w:trPr>
          <w:trHeight w:val="258"/>
        </w:trPr>
        <w:tc>
          <w:tcPr>
            <w:tcW w:w="1967" w:type="dxa"/>
            <w:tcBorders>
              <w:top w:val="nil"/>
              <w:left w:val="single" w:sz="4" w:space="0" w:color="auto"/>
              <w:bottom w:val="single" w:sz="4" w:space="0" w:color="auto"/>
              <w:right w:val="single" w:sz="4" w:space="0" w:color="auto"/>
            </w:tcBorders>
            <w:vAlign w:val="center"/>
            <w:hideMark/>
          </w:tcPr>
          <w:p w14:paraId="5685528E" w14:textId="77777777" w:rsidR="000B4B1B" w:rsidRPr="00C9207C" w:rsidRDefault="000B4B1B" w:rsidP="000B4B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598" w:type="dxa"/>
            <w:tcBorders>
              <w:top w:val="nil"/>
              <w:left w:val="single" w:sz="4" w:space="0" w:color="auto"/>
              <w:bottom w:val="single" w:sz="4" w:space="0" w:color="auto"/>
              <w:right w:val="single" w:sz="4" w:space="0" w:color="auto"/>
            </w:tcBorders>
            <w:vAlign w:val="center"/>
            <w:hideMark/>
          </w:tcPr>
          <w:p w14:paraId="53BCF4A4" w14:textId="77777777" w:rsidR="000B4B1B" w:rsidRPr="00C9207C" w:rsidRDefault="000B4B1B" w:rsidP="000B4B1B">
            <w:pPr>
              <w:spacing w:after="0" w:line="240" w:lineRule="auto"/>
              <w:jc w:val="right"/>
              <w:rPr>
                <w:rFonts w:ascii="Arial" w:eastAsia="Times New Roman" w:hAnsi="Arial" w:cs="Arial"/>
                <w:color w:val="000000"/>
                <w:sz w:val="20"/>
                <w:szCs w:val="20"/>
                <w:lang w:eastAsia="en-GB"/>
              </w:rPr>
            </w:pPr>
          </w:p>
        </w:tc>
        <w:tc>
          <w:tcPr>
            <w:tcW w:w="2053" w:type="dxa"/>
            <w:tcBorders>
              <w:top w:val="nil"/>
              <w:left w:val="single" w:sz="4" w:space="0" w:color="auto"/>
              <w:bottom w:val="single" w:sz="4" w:space="0" w:color="auto"/>
              <w:right w:val="single" w:sz="4" w:space="0" w:color="auto"/>
            </w:tcBorders>
            <w:vAlign w:val="center"/>
            <w:hideMark/>
          </w:tcPr>
          <w:p w14:paraId="1302165E" w14:textId="77777777" w:rsidR="000B4B1B" w:rsidRPr="00C9207C" w:rsidRDefault="000B4B1B" w:rsidP="000B4B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8B1A9E" w:rsidRPr="00C9207C" w14:paraId="11FC154D" w14:textId="77777777" w:rsidTr="00A94FAE">
        <w:trPr>
          <w:trHeight w:val="258"/>
        </w:trPr>
        <w:tc>
          <w:tcPr>
            <w:tcW w:w="1967" w:type="dxa"/>
            <w:tcBorders>
              <w:top w:val="single" w:sz="4" w:space="0" w:color="auto"/>
              <w:left w:val="single" w:sz="4" w:space="0" w:color="auto"/>
              <w:bottom w:val="nil"/>
              <w:right w:val="single" w:sz="4" w:space="0" w:color="auto"/>
            </w:tcBorders>
            <w:vAlign w:val="center"/>
            <w:hideMark/>
          </w:tcPr>
          <w:p w14:paraId="411E35E4" w14:textId="41551E63" w:rsidR="008B1A9E" w:rsidRPr="00C9207C" w:rsidRDefault="008B1A9E" w:rsidP="008B1A9E">
            <w:pPr>
              <w:spacing w:after="0" w:line="240" w:lineRule="auto"/>
              <w:jc w:val="right"/>
              <w:rPr>
                <w:rFonts w:ascii="Arial" w:eastAsia="Times New Roman" w:hAnsi="Arial" w:cs="Arial"/>
                <w:color w:val="000000"/>
                <w:sz w:val="20"/>
                <w:szCs w:val="20"/>
                <w:lang w:eastAsia="en-GB"/>
              </w:rPr>
            </w:pPr>
            <w:r w:rsidRPr="00153AF6">
              <w:rPr>
                <w:rFonts w:ascii="Arial" w:eastAsia="Times New Roman" w:hAnsi="Arial" w:cs="Arial"/>
                <w:color w:val="000000"/>
                <w:sz w:val="20"/>
                <w:szCs w:val="20"/>
                <w:lang w:eastAsia="en-GB"/>
              </w:rPr>
              <w:t>18,368,031</w:t>
            </w:r>
          </w:p>
        </w:tc>
        <w:tc>
          <w:tcPr>
            <w:tcW w:w="5598" w:type="dxa"/>
            <w:tcBorders>
              <w:top w:val="single" w:sz="4" w:space="0" w:color="auto"/>
              <w:left w:val="single" w:sz="4" w:space="0" w:color="auto"/>
              <w:bottom w:val="nil"/>
              <w:right w:val="single" w:sz="4" w:space="0" w:color="auto"/>
            </w:tcBorders>
            <w:vAlign w:val="center"/>
            <w:hideMark/>
          </w:tcPr>
          <w:p w14:paraId="3F06351C" w14:textId="77777777" w:rsidR="008B1A9E" w:rsidRPr="00C9207C" w:rsidRDefault="008B1A9E" w:rsidP="008B1A9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NHS Grampian</w:t>
            </w:r>
          </w:p>
        </w:tc>
        <w:tc>
          <w:tcPr>
            <w:tcW w:w="2053" w:type="dxa"/>
            <w:tcBorders>
              <w:top w:val="single" w:sz="4" w:space="0" w:color="auto"/>
              <w:left w:val="single" w:sz="4" w:space="0" w:color="auto"/>
              <w:bottom w:val="nil"/>
              <w:right w:val="single" w:sz="4" w:space="0" w:color="auto"/>
            </w:tcBorders>
            <w:vAlign w:val="center"/>
            <w:hideMark/>
          </w:tcPr>
          <w:p w14:paraId="6C303F5F" w14:textId="77777777" w:rsidR="008B1A9E" w:rsidRPr="009B49C4" w:rsidRDefault="008B1A9E" w:rsidP="008B1A9E">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sz w:val="20"/>
                <w:szCs w:val="20"/>
                <w:lang w:eastAsia="en-GB"/>
              </w:rPr>
              <w:t>10,593,760</w:t>
            </w:r>
          </w:p>
        </w:tc>
      </w:tr>
      <w:tr w:rsidR="008B1A9E" w:rsidRPr="00C9207C" w14:paraId="20F7E3E3" w14:textId="77777777" w:rsidTr="00A94FAE">
        <w:trPr>
          <w:trHeight w:val="258"/>
        </w:trPr>
        <w:tc>
          <w:tcPr>
            <w:tcW w:w="1967" w:type="dxa"/>
            <w:tcBorders>
              <w:top w:val="nil"/>
              <w:left w:val="single" w:sz="4" w:space="0" w:color="auto"/>
              <w:bottom w:val="single" w:sz="4" w:space="0" w:color="auto"/>
              <w:right w:val="single" w:sz="4" w:space="0" w:color="auto"/>
            </w:tcBorders>
            <w:vAlign w:val="center"/>
            <w:hideMark/>
          </w:tcPr>
          <w:p w14:paraId="0EC9F322" w14:textId="46A9A730" w:rsidR="008B1A9E" w:rsidRPr="00C9207C" w:rsidRDefault="008B1A9E" w:rsidP="008B1A9E">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c>
          <w:tcPr>
            <w:tcW w:w="5598" w:type="dxa"/>
            <w:tcBorders>
              <w:top w:val="nil"/>
              <w:left w:val="single" w:sz="4" w:space="0" w:color="auto"/>
              <w:bottom w:val="single" w:sz="4" w:space="0" w:color="auto"/>
              <w:right w:val="single" w:sz="4" w:space="0" w:color="auto"/>
            </w:tcBorders>
            <w:vAlign w:val="center"/>
            <w:hideMark/>
          </w:tcPr>
          <w:p w14:paraId="74810FC1" w14:textId="77777777" w:rsidR="008B1A9E" w:rsidRPr="00C9207C" w:rsidRDefault="008B1A9E" w:rsidP="008B1A9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Aberdeen City Council</w:t>
            </w:r>
          </w:p>
        </w:tc>
        <w:tc>
          <w:tcPr>
            <w:tcW w:w="2053" w:type="dxa"/>
            <w:tcBorders>
              <w:top w:val="nil"/>
              <w:left w:val="single" w:sz="4" w:space="0" w:color="auto"/>
              <w:bottom w:val="single" w:sz="4" w:space="0" w:color="auto"/>
              <w:right w:val="single" w:sz="4" w:space="0" w:color="auto"/>
            </w:tcBorders>
            <w:noWrap/>
            <w:vAlign w:val="bottom"/>
            <w:hideMark/>
          </w:tcPr>
          <w:p w14:paraId="164645FE" w14:textId="77777777" w:rsidR="008B1A9E" w:rsidRPr="009B49C4" w:rsidRDefault="008B1A9E" w:rsidP="008B1A9E">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sz w:val="20"/>
                <w:szCs w:val="20"/>
                <w:lang w:eastAsia="en-GB"/>
              </w:rPr>
              <w:t>637,660</w:t>
            </w:r>
          </w:p>
        </w:tc>
      </w:tr>
      <w:tr w:rsidR="008B1A9E" w:rsidRPr="00C9207C" w14:paraId="3576E456" w14:textId="77777777" w:rsidTr="00A94FAE">
        <w:trPr>
          <w:trHeight w:val="279"/>
        </w:trPr>
        <w:tc>
          <w:tcPr>
            <w:tcW w:w="1967" w:type="dxa"/>
            <w:tcBorders>
              <w:top w:val="single" w:sz="4" w:space="0" w:color="auto"/>
              <w:left w:val="single" w:sz="4" w:space="0" w:color="auto"/>
              <w:bottom w:val="single" w:sz="4" w:space="0" w:color="auto"/>
              <w:right w:val="single" w:sz="4" w:space="0" w:color="auto"/>
            </w:tcBorders>
            <w:vAlign w:val="center"/>
            <w:hideMark/>
          </w:tcPr>
          <w:p w14:paraId="5E39B5DB" w14:textId="123233E9" w:rsidR="008B1A9E" w:rsidRPr="00C9207C" w:rsidRDefault="008B1A9E" w:rsidP="008B1A9E">
            <w:pPr>
              <w:spacing w:after="0" w:line="240" w:lineRule="auto"/>
              <w:jc w:val="right"/>
              <w:rPr>
                <w:rFonts w:ascii="Arial" w:eastAsia="Times New Roman" w:hAnsi="Arial" w:cs="Arial"/>
                <w:b/>
                <w:bCs/>
                <w:color w:val="000000"/>
                <w:sz w:val="20"/>
                <w:szCs w:val="20"/>
                <w:lang w:eastAsia="en-GB"/>
              </w:rPr>
            </w:pPr>
            <w:r w:rsidRPr="00153AF6">
              <w:rPr>
                <w:rFonts w:ascii="Arial" w:eastAsia="Times New Roman" w:hAnsi="Arial" w:cs="Arial"/>
                <w:color w:val="000000"/>
                <w:sz w:val="20"/>
                <w:szCs w:val="20"/>
                <w:lang w:eastAsia="en-GB"/>
              </w:rPr>
              <w:t>18,368,031</w:t>
            </w:r>
          </w:p>
        </w:tc>
        <w:tc>
          <w:tcPr>
            <w:tcW w:w="5598" w:type="dxa"/>
            <w:tcBorders>
              <w:top w:val="single" w:sz="4" w:space="0" w:color="auto"/>
              <w:left w:val="single" w:sz="4" w:space="0" w:color="auto"/>
              <w:bottom w:val="single" w:sz="4" w:space="0" w:color="auto"/>
              <w:right w:val="single" w:sz="4" w:space="0" w:color="auto"/>
            </w:tcBorders>
            <w:vAlign w:val="center"/>
            <w:hideMark/>
          </w:tcPr>
          <w:p w14:paraId="67026E32" w14:textId="77777777" w:rsidR="008B1A9E" w:rsidRPr="00C9207C" w:rsidRDefault="008B1A9E" w:rsidP="008B1A9E">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Debtors</w:t>
            </w:r>
          </w:p>
        </w:tc>
        <w:tc>
          <w:tcPr>
            <w:tcW w:w="2053" w:type="dxa"/>
            <w:tcBorders>
              <w:top w:val="single" w:sz="4" w:space="0" w:color="auto"/>
              <w:left w:val="single" w:sz="4" w:space="0" w:color="auto"/>
              <w:bottom w:val="single" w:sz="4" w:space="0" w:color="auto"/>
              <w:right w:val="single" w:sz="4" w:space="0" w:color="auto"/>
            </w:tcBorders>
            <w:vAlign w:val="center"/>
            <w:hideMark/>
          </w:tcPr>
          <w:p w14:paraId="634A539F" w14:textId="77777777" w:rsidR="008B1A9E" w:rsidRPr="009B49C4" w:rsidRDefault="008B1A9E" w:rsidP="008B1A9E">
            <w:pPr>
              <w:spacing w:after="0" w:line="240" w:lineRule="auto"/>
              <w:jc w:val="right"/>
              <w:rPr>
                <w:rFonts w:ascii="Arial" w:eastAsia="Times New Roman" w:hAnsi="Arial" w:cs="Arial"/>
                <w:b/>
                <w:bCs/>
                <w:color w:val="000000"/>
                <w:sz w:val="20"/>
                <w:szCs w:val="20"/>
                <w:lang w:eastAsia="en-GB"/>
              </w:rPr>
            </w:pPr>
            <w:r w:rsidRPr="009B49C4">
              <w:rPr>
                <w:rFonts w:ascii="Arial" w:eastAsia="Times New Roman" w:hAnsi="Arial" w:cs="Arial"/>
                <w:b/>
                <w:bCs/>
                <w:color w:val="000000"/>
                <w:sz w:val="20"/>
                <w:szCs w:val="20"/>
                <w:lang w:eastAsia="en-GB"/>
              </w:rPr>
              <w:t>11,231,419</w:t>
            </w:r>
          </w:p>
        </w:tc>
      </w:tr>
    </w:tbl>
    <w:p w14:paraId="4F52B5FA" w14:textId="77777777" w:rsidR="000544A3" w:rsidRPr="00C9207C" w:rsidRDefault="000544A3" w:rsidP="00A51927">
      <w:pPr>
        <w:spacing w:after="0" w:line="240" w:lineRule="auto"/>
        <w:ind w:left="720"/>
        <w:rPr>
          <w:rFonts w:ascii="Arial" w:hAnsi="Arial" w:cs="Arial"/>
          <w:sz w:val="20"/>
          <w:szCs w:val="20"/>
          <w:highlight w:val="yellow"/>
        </w:rPr>
      </w:pPr>
    </w:p>
    <w:p w14:paraId="56960BB5" w14:textId="77777777" w:rsidR="005C49FE" w:rsidRPr="00C9207C" w:rsidRDefault="005C49FE" w:rsidP="00A51927">
      <w:pPr>
        <w:tabs>
          <w:tab w:val="left" w:pos="1210"/>
        </w:tabs>
        <w:spacing w:after="0" w:line="240" w:lineRule="auto"/>
        <w:rPr>
          <w:rFonts w:ascii="Arial" w:hAnsi="Arial" w:cs="Arial"/>
          <w:sz w:val="20"/>
          <w:szCs w:val="20"/>
          <w:highlight w:val="yellow"/>
        </w:rPr>
      </w:pPr>
    </w:p>
    <w:p w14:paraId="5BD6C2F7" w14:textId="61CC75FC" w:rsidR="00E32393" w:rsidRPr="00C9207C" w:rsidRDefault="00E32393" w:rsidP="006D5013">
      <w:pPr>
        <w:pStyle w:val="ListParagraph"/>
        <w:numPr>
          <w:ilvl w:val="2"/>
          <w:numId w:val="11"/>
        </w:numPr>
        <w:spacing w:after="0" w:line="240" w:lineRule="auto"/>
        <w:outlineLvl w:val="2"/>
        <w:rPr>
          <w:rFonts w:ascii="Arial" w:hAnsi="Arial" w:cs="Arial"/>
          <w:b/>
          <w:sz w:val="20"/>
          <w:szCs w:val="20"/>
          <w:u w:val="single"/>
        </w:rPr>
      </w:pPr>
      <w:bookmarkStart w:id="45" w:name="_Toc232169362"/>
      <w:r w:rsidRPr="00C9207C">
        <w:rPr>
          <w:rFonts w:ascii="Arial" w:hAnsi="Arial" w:cs="Arial"/>
          <w:b/>
          <w:sz w:val="20"/>
          <w:szCs w:val="20"/>
          <w:u w:val="single"/>
        </w:rPr>
        <w:t>Creditors</w:t>
      </w:r>
      <w:bookmarkEnd w:id="45"/>
    </w:p>
    <w:p w14:paraId="08E0769F" w14:textId="77777777" w:rsidR="00E32393" w:rsidRPr="00C9207C" w:rsidRDefault="00E32393" w:rsidP="00A51927">
      <w:pPr>
        <w:spacing w:after="0" w:line="240" w:lineRule="auto"/>
        <w:outlineLvl w:val="2"/>
        <w:rPr>
          <w:rFonts w:ascii="Arial" w:hAnsi="Arial" w:cs="Arial"/>
          <w:b/>
          <w:bCs/>
          <w:sz w:val="20"/>
          <w:szCs w:val="20"/>
          <w:highlight w:val="yellow"/>
          <w:u w:val="single"/>
        </w:rPr>
      </w:pPr>
    </w:p>
    <w:tbl>
      <w:tblPr>
        <w:tblW w:w="890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20"/>
        <w:gridCol w:w="5180"/>
        <w:gridCol w:w="1900"/>
      </w:tblGrid>
      <w:tr w:rsidR="00AF3661" w:rsidRPr="00C9207C" w14:paraId="737D3C90" w14:textId="77777777" w:rsidTr="00153AF6">
        <w:trPr>
          <w:trHeight w:val="260"/>
        </w:trPr>
        <w:tc>
          <w:tcPr>
            <w:tcW w:w="1820" w:type="dxa"/>
            <w:tcBorders>
              <w:top w:val="single" w:sz="4" w:space="0" w:color="auto"/>
              <w:left w:val="single" w:sz="4" w:space="0" w:color="auto"/>
              <w:bottom w:val="nil"/>
              <w:right w:val="single" w:sz="4" w:space="0" w:color="auto"/>
            </w:tcBorders>
            <w:vAlign w:val="center"/>
            <w:hideMark/>
          </w:tcPr>
          <w:p w14:paraId="720D41B1" w14:textId="77777777" w:rsidR="00AF3661" w:rsidRPr="00C9207C" w:rsidRDefault="00AF3661" w:rsidP="00AF366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180" w:type="dxa"/>
            <w:tcBorders>
              <w:top w:val="single" w:sz="4" w:space="0" w:color="auto"/>
              <w:left w:val="single" w:sz="4" w:space="0" w:color="auto"/>
              <w:bottom w:val="nil"/>
              <w:right w:val="single" w:sz="4" w:space="0" w:color="auto"/>
            </w:tcBorders>
            <w:vAlign w:val="center"/>
            <w:hideMark/>
          </w:tcPr>
          <w:p w14:paraId="019E1559" w14:textId="77777777" w:rsidR="00AF3661" w:rsidRPr="00C9207C" w:rsidRDefault="00AF3661" w:rsidP="00AF3661">
            <w:pPr>
              <w:spacing w:after="0" w:line="240" w:lineRule="auto"/>
              <w:jc w:val="right"/>
              <w:rPr>
                <w:rFonts w:ascii="Arial" w:eastAsia="Times New Roman" w:hAnsi="Arial" w:cs="Arial"/>
                <w:b/>
                <w:bCs/>
                <w:color w:val="000000"/>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28A59621" w14:textId="77777777" w:rsidR="00AF3661" w:rsidRPr="00C9207C" w:rsidRDefault="00AF3661" w:rsidP="00AF366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AF3661" w:rsidRPr="00C9207C" w14:paraId="2148AE6D" w14:textId="77777777" w:rsidTr="00153AF6">
        <w:trPr>
          <w:trHeight w:val="250"/>
        </w:trPr>
        <w:tc>
          <w:tcPr>
            <w:tcW w:w="1820" w:type="dxa"/>
            <w:tcBorders>
              <w:top w:val="nil"/>
              <w:left w:val="single" w:sz="4" w:space="0" w:color="auto"/>
              <w:bottom w:val="single" w:sz="4" w:space="0" w:color="auto"/>
              <w:right w:val="single" w:sz="4" w:space="0" w:color="auto"/>
            </w:tcBorders>
            <w:vAlign w:val="center"/>
            <w:hideMark/>
          </w:tcPr>
          <w:p w14:paraId="26895E15" w14:textId="77777777" w:rsidR="00AF3661" w:rsidRPr="00C9207C" w:rsidRDefault="00AF3661" w:rsidP="00AF366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80" w:type="dxa"/>
            <w:tcBorders>
              <w:top w:val="nil"/>
              <w:left w:val="single" w:sz="4" w:space="0" w:color="auto"/>
              <w:bottom w:val="single" w:sz="4" w:space="0" w:color="auto"/>
              <w:right w:val="single" w:sz="4" w:space="0" w:color="auto"/>
            </w:tcBorders>
            <w:vAlign w:val="center"/>
            <w:hideMark/>
          </w:tcPr>
          <w:p w14:paraId="7EEB0DF0" w14:textId="77777777" w:rsidR="00AF3661" w:rsidRPr="00C9207C" w:rsidRDefault="00AF3661" w:rsidP="00AF3661">
            <w:pPr>
              <w:spacing w:after="0" w:line="240" w:lineRule="auto"/>
              <w:jc w:val="right"/>
              <w:rPr>
                <w:rFonts w:ascii="Arial" w:eastAsia="Times New Roman" w:hAnsi="Arial" w:cs="Arial"/>
                <w:color w:val="000000"/>
                <w:sz w:val="20"/>
                <w:szCs w:val="20"/>
                <w:lang w:eastAsia="en-GB"/>
              </w:rPr>
            </w:pPr>
          </w:p>
        </w:tc>
        <w:tc>
          <w:tcPr>
            <w:tcW w:w="1900" w:type="dxa"/>
            <w:tcBorders>
              <w:top w:val="nil"/>
              <w:left w:val="single" w:sz="4" w:space="0" w:color="auto"/>
              <w:bottom w:val="single" w:sz="4" w:space="0" w:color="auto"/>
              <w:right w:val="single" w:sz="4" w:space="0" w:color="auto"/>
            </w:tcBorders>
            <w:vAlign w:val="center"/>
            <w:hideMark/>
          </w:tcPr>
          <w:p w14:paraId="1A82A6E0" w14:textId="77777777" w:rsidR="00AF3661" w:rsidRPr="00C9207C" w:rsidRDefault="00AF3661" w:rsidP="00AF366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AF3661" w:rsidRPr="00C9207C" w14:paraId="5A51A808" w14:textId="77777777" w:rsidTr="00E045EE">
        <w:trPr>
          <w:trHeight w:val="250"/>
        </w:trPr>
        <w:tc>
          <w:tcPr>
            <w:tcW w:w="1820" w:type="dxa"/>
            <w:tcBorders>
              <w:top w:val="nil"/>
              <w:left w:val="single" w:sz="4" w:space="0" w:color="auto"/>
              <w:bottom w:val="single" w:sz="4" w:space="0" w:color="auto"/>
              <w:right w:val="single" w:sz="4" w:space="0" w:color="auto"/>
            </w:tcBorders>
            <w:vAlign w:val="center"/>
            <w:hideMark/>
          </w:tcPr>
          <w:p w14:paraId="24D6984A" w14:textId="77777777" w:rsidR="00AF3661" w:rsidRPr="00153AF6" w:rsidRDefault="00AF3661" w:rsidP="00AF3661">
            <w:pPr>
              <w:spacing w:after="0" w:line="240" w:lineRule="auto"/>
              <w:jc w:val="right"/>
              <w:rPr>
                <w:rFonts w:ascii="Arial" w:eastAsia="Times New Roman" w:hAnsi="Arial" w:cs="Arial"/>
                <w:color w:val="000000"/>
                <w:sz w:val="20"/>
                <w:szCs w:val="20"/>
                <w:lang w:eastAsia="en-GB"/>
              </w:rPr>
            </w:pPr>
            <w:r w:rsidRPr="00153AF6">
              <w:rPr>
                <w:rFonts w:ascii="Arial" w:eastAsia="Times New Roman" w:hAnsi="Arial" w:cs="Arial"/>
                <w:color w:val="000000"/>
                <w:sz w:val="20"/>
                <w:szCs w:val="20"/>
                <w:lang w:eastAsia="en-GB"/>
              </w:rPr>
              <w:t>(18,368,031)</w:t>
            </w:r>
          </w:p>
        </w:tc>
        <w:tc>
          <w:tcPr>
            <w:tcW w:w="5180" w:type="dxa"/>
            <w:tcBorders>
              <w:top w:val="nil"/>
              <w:left w:val="single" w:sz="4" w:space="0" w:color="auto"/>
              <w:bottom w:val="single" w:sz="4" w:space="0" w:color="auto"/>
              <w:right w:val="single" w:sz="4" w:space="0" w:color="auto"/>
            </w:tcBorders>
            <w:vAlign w:val="center"/>
            <w:hideMark/>
          </w:tcPr>
          <w:p w14:paraId="579D0894" w14:textId="77777777" w:rsidR="00AF3661" w:rsidRPr="00C9207C" w:rsidRDefault="00AF3661" w:rsidP="00AF3661">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Aberdeen City Council</w:t>
            </w:r>
          </w:p>
        </w:tc>
        <w:tc>
          <w:tcPr>
            <w:tcW w:w="1900" w:type="dxa"/>
            <w:tcBorders>
              <w:top w:val="nil"/>
              <w:left w:val="single" w:sz="4" w:space="0" w:color="auto"/>
              <w:bottom w:val="single" w:sz="4" w:space="0" w:color="auto"/>
              <w:right w:val="single" w:sz="4" w:space="0" w:color="auto"/>
            </w:tcBorders>
            <w:noWrap/>
            <w:vAlign w:val="bottom"/>
            <w:hideMark/>
          </w:tcPr>
          <w:p w14:paraId="3E5EEA5C" w14:textId="196134DF" w:rsidR="00AF3661" w:rsidRPr="00C9207C" w:rsidRDefault="00153AF6" w:rsidP="00AF3661">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p>
        </w:tc>
      </w:tr>
      <w:tr w:rsidR="00AF3661" w:rsidRPr="00C9207C" w14:paraId="358C7215" w14:textId="77777777" w:rsidTr="00E045EE">
        <w:trPr>
          <w:trHeight w:val="270"/>
        </w:trPr>
        <w:tc>
          <w:tcPr>
            <w:tcW w:w="1820" w:type="dxa"/>
            <w:tcBorders>
              <w:top w:val="single" w:sz="4" w:space="0" w:color="auto"/>
              <w:left w:val="single" w:sz="4" w:space="0" w:color="auto"/>
              <w:bottom w:val="single" w:sz="4" w:space="0" w:color="auto"/>
              <w:right w:val="single" w:sz="4" w:space="0" w:color="auto"/>
            </w:tcBorders>
            <w:vAlign w:val="center"/>
            <w:hideMark/>
          </w:tcPr>
          <w:p w14:paraId="3DA0D392" w14:textId="77777777" w:rsidR="00AF3661" w:rsidRPr="00153AF6" w:rsidRDefault="00AF3661" w:rsidP="00AF3661">
            <w:pPr>
              <w:spacing w:after="0" w:line="240" w:lineRule="auto"/>
              <w:jc w:val="right"/>
              <w:rPr>
                <w:rFonts w:ascii="Arial" w:eastAsia="Times New Roman" w:hAnsi="Arial" w:cs="Arial"/>
                <w:color w:val="000000"/>
                <w:sz w:val="20"/>
                <w:szCs w:val="20"/>
                <w:lang w:eastAsia="en-GB"/>
              </w:rPr>
            </w:pPr>
            <w:r w:rsidRPr="00153AF6">
              <w:rPr>
                <w:rFonts w:ascii="Arial" w:eastAsia="Times New Roman" w:hAnsi="Arial" w:cs="Arial"/>
                <w:color w:val="000000"/>
                <w:sz w:val="20"/>
                <w:szCs w:val="20"/>
                <w:lang w:eastAsia="en-GB"/>
              </w:rPr>
              <w:t>(18,368,031)</w:t>
            </w:r>
          </w:p>
        </w:tc>
        <w:tc>
          <w:tcPr>
            <w:tcW w:w="5180" w:type="dxa"/>
            <w:tcBorders>
              <w:top w:val="single" w:sz="4" w:space="0" w:color="auto"/>
              <w:left w:val="single" w:sz="4" w:space="0" w:color="auto"/>
              <w:bottom w:val="single" w:sz="4" w:space="0" w:color="auto"/>
              <w:right w:val="single" w:sz="4" w:space="0" w:color="auto"/>
            </w:tcBorders>
            <w:vAlign w:val="center"/>
            <w:hideMark/>
          </w:tcPr>
          <w:p w14:paraId="5DE16180" w14:textId="77777777" w:rsidR="00AF3661" w:rsidRPr="00C9207C" w:rsidRDefault="00AF3661" w:rsidP="00AF3661">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Debtors</w:t>
            </w:r>
          </w:p>
        </w:tc>
        <w:tc>
          <w:tcPr>
            <w:tcW w:w="1900" w:type="dxa"/>
            <w:tcBorders>
              <w:top w:val="single" w:sz="4" w:space="0" w:color="auto"/>
              <w:left w:val="single" w:sz="4" w:space="0" w:color="auto"/>
              <w:bottom w:val="single" w:sz="4" w:space="0" w:color="auto"/>
              <w:right w:val="single" w:sz="4" w:space="0" w:color="auto"/>
            </w:tcBorders>
            <w:vAlign w:val="center"/>
            <w:hideMark/>
          </w:tcPr>
          <w:p w14:paraId="2A66670F" w14:textId="517D1666" w:rsidR="00AF3661" w:rsidRPr="00C9207C" w:rsidRDefault="00153AF6" w:rsidP="00AF3661">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r>
    </w:tbl>
    <w:p w14:paraId="1D917D65" w14:textId="77777777" w:rsidR="00E32393" w:rsidRPr="00C9207C" w:rsidRDefault="00E32393" w:rsidP="00A51927">
      <w:pPr>
        <w:spacing w:after="0" w:line="240" w:lineRule="auto"/>
        <w:outlineLvl w:val="2"/>
        <w:rPr>
          <w:rFonts w:ascii="Arial" w:hAnsi="Arial" w:cs="Arial"/>
          <w:b/>
          <w:bCs/>
          <w:sz w:val="20"/>
          <w:szCs w:val="20"/>
          <w:highlight w:val="yellow"/>
          <w:u w:val="single"/>
        </w:rPr>
      </w:pPr>
    </w:p>
    <w:p w14:paraId="52CFE500" w14:textId="2BA42212" w:rsidR="00F47F9C" w:rsidRPr="00153AF6" w:rsidRDefault="00F47F9C" w:rsidP="00A51927">
      <w:pPr>
        <w:tabs>
          <w:tab w:val="left" w:pos="1210"/>
        </w:tabs>
        <w:spacing w:after="0" w:line="240" w:lineRule="auto"/>
        <w:rPr>
          <w:rFonts w:ascii="Arial" w:hAnsi="Arial" w:cs="Arial"/>
          <w:sz w:val="20"/>
          <w:szCs w:val="20"/>
        </w:rPr>
      </w:pPr>
      <w:r w:rsidRPr="00153AF6">
        <w:rPr>
          <w:rFonts w:ascii="Arial" w:hAnsi="Arial" w:cs="Arial"/>
          <w:sz w:val="20"/>
          <w:szCs w:val="20"/>
        </w:rPr>
        <w:t xml:space="preserve">Creditor and debtor balances at year-end represent the net position of funds to be transferred between the IJB’s funding partners. These balances arise as part of the process to reconcile each partner’s share of the year’s expenditure, including any overspend or underspend. Where one partner has incurred expenditure on behalf of the IJB in excess of their funding contribution, a creditor balance is recognised, reflecting amounts owed to that partner. Conversely, a debtor balance indicates funds due from a partner to settle their share of the IJB’s spend. This approach ensures that </w:t>
      </w:r>
      <w:r w:rsidRPr="00153AF6">
        <w:rPr>
          <w:rFonts w:ascii="Arial" w:hAnsi="Arial" w:cs="Arial"/>
          <w:sz w:val="20"/>
          <w:szCs w:val="20"/>
        </w:rPr>
        <w:lastRenderedPageBreak/>
        <w:t>the financial statements accurately reflect the outstanding transfers required to balance the year’s financial activity between partners.</w:t>
      </w:r>
    </w:p>
    <w:p w14:paraId="2B91B370" w14:textId="77777777" w:rsidR="00BF1DBD" w:rsidRPr="007B00E2" w:rsidRDefault="00BF1DBD" w:rsidP="00A51927">
      <w:pPr>
        <w:spacing w:after="0" w:line="240" w:lineRule="auto"/>
        <w:ind w:left="720"/>
        <w:rPr>
          <w:rFonts w:ascii="Arial" w:hAnsi="Arial" w:cs="Arial"/>
          <w:sz w:val="20"/>
          <w:szCs w:val="20"/>
          <w:highlight w:val="yellow"/>
        </w:rPr>
      </w:pPr>
    </w:p>
    <w:p w14:paraId="2DA2FB8C" w14:textId="16C71472" w:rsidR="00D470FD" w:rsidRPr="00A4528C" w:rsidRDefault="75938C11" w:rsidP="006D5013">
      <w:pPr>
        <w:pStyle w:val="ListParagraph"/>
        <w:numPr>
          <w:ilvl w:val="2"/>
          <w:numId w:val="11"/>
        </w:numPr>
        <w:spacing w:after="0" w:line="240" w:lineRule="auto"/>
        <w:outlineLvl w:val="2"/>
        <w:rPr>
          <w:rFonts w:ascii="Arial" w:hAnsi="Arial" w:cs="Arial"/>
          <w:b/>
          <w:sz w:val="20"/>
          <w:szCs w:val="20"/>
        </w:rPr>
      </w:pPr>
      <w:bookmarkStart w:id="46" w:name="_Toc11249443"/>
      <w:bookmarkStart w:id="47" w:name="_Toc232169363"/>
      <w:r w:rsidRPr="00A4528C">
        <w:rPr>
          <w:rFonts w:ascii="Arial" w:hAnsi="Arial" w:cs="Arial"/>
          <w:b/>
          <w:sz w:val="20"/>
          <w:szCs w:val="20"/>
          <w:u w:val="single"/>
        </w:rPr>
        <w:t>Usable Reserve: General Fund</w:t>
      </w:r>
      <w:bookmarkEnd w:id="46"/>
      <w:bookmarkEnd w:id="47"/>
    </w:p>
    <w:p w14:paraId="6098E32E" w14:textId="77777777" w:rsidR="001A237C" w:rsidRPr="00C9207C" w:rsidRDefault="001A237C" w:rsidP="00A51927">
      <w:pPr>
        <w:spacing w:after="0" w:line="240" w:lineRule="auto"/>
        <w:ind w:left="720"/>
        <w:rPr>
          <w:rFonts w:ascii="Arial" w:hAnsi="Arial" w:cs="Arial"/>
          <w:sz w:val="20"/>
          <w:szCs w:val="20"/>
        </w:rPr>
      </w:pPr>
    </w:p>
    <w:p w14:paraId="645033D3" w14:textId="77777777" w:rsidR="00B01330" w:rsidRPr="00C9207C" w:rsidRDefault="00B01330" w:rsidP="00A51927">
      <w:pPr>
        <w:spacing w:after="0" w:line="240" w:lineRule="auto"/>
        <w:rPr>
          <w:rFonts w:ascii="Arial" w:hAnsi="Arial" w:cs="Arial"/>
          <w:sz w:val="20"/>
          <w:szCs w:val="20"/>
        </w:rPr>
      </w:pPr>
      <w:r w:rsidRPr="00C9207C">
        <w:rPr>
          <w:rFonts w:ascii="Arial" w:hAnsi="Arial" w:cs="Arial"/>
          <w:sz w:val="20"/>
          <w:szCs w:val="20"/>
        </w:rPr>
        <w:t>The IJB holds a balance on the General Fund for two main purposes:</w:t>
      </w:r>
    </w:p>
    <w:p w14:paraId="73E116DE" w14:textId="77777777" w:rsidR="00B01330" w:rsidRPr="00C9207C" w:rsidRDefault="00B01330" w:rsidP="00A51927">
      <w:pPr>
        <w:spacing w:after="0" w:line="240" w:lineRule="auto"/>
        <w:ind w:left="720"/>
        <w:rPr>
          <w:rFonts w:ascii="Arial" w:hAnsi="Arial" w:cs="Arial"/>
          <w:sz w:val="20"/>
          <w:szCs w:val="20"/>
        </w:rPr>
      </w:pPr>
    </w:p>
    <w:p w14:paraId="1D372E19" w14:textId="77777777" w:rsidR="00B01330" w:rsidRPr="00C9207C" w:rsidRDefault="00B01330" w:rsidP="006D5013">
      <w:pPr>
        <w:numPr>
          <w:ilvl w:val="0"/>
          <w:numId w:val="4"/>
        </w:numPr>
        <w:spacing w:after="0" w:line="240" w:lineRule="auto"/>
        <w:rPr>
          <w:rFonts w:ascii="Arial" w:hAnsi="Arial" w:cs="Arial"/>
          <w:sz w:val="20"/>
          <w:szCs w:val="20"/>
        </w:rPr>
      </w:pPr>
      <w:r w:rsidRPr="00C9207C">
        <w:rPr>
          <w:rFonts w:ascii="Arial" w:hAnsi="Arial" w:cs="Arial"/>
          <w:sz w:val="20"/>
          <w:szCs w:val="20"/>
        </w:rPr>
        <w:t>To earmark, or build up, funds which are to be used for specific purposes in the future, such as known or predicted future expenditure needs. This supports strategic financial management.</w:t>
      </w:r>
    </w:p>
    <w:p w14:paraId="68F03AD7" w14:textId="77777777" w:rsidR="00B01330" w:rsidRPr="00C9207C" w:rsidRDefault="00B01330" w:rsidP="00A51927">
      <w:pPr>
        <w:spacing w:after="0" w:line="240" w:lineRule="auto"/>
        <w:ind w:left="1440"/>
        <w:rPr>
          <w:rFonts w:ascii="Arial" w:hAnsi="Arial" w:cs="Arial"/>
          <w:sz w:val="20"/>
          <w:szCs w:val="20"/>
        </w:rPr>
      </w:pPr>
    </w:p>
    <w:p w14:paraId="630E2810" w14:textId="77777777" w:rsidR="00B01330" w:rsidRPr="00C9207C" w:rsidRDefault="00B01330" w:rsidP="006D5013">
      <w:pPr>
        <w:numPr>
          <w:ilvl w:val="0"/>
          <w:numId w:val="4"/>
        </w:numPr>
        <w:spacing w:after="0" w:line="240" w:lineRule="auto"/>
        <w:rPr>
          <w:rFonts w:ascii="Arial" w:hAnsi="Arial" w:cs="Arial"/>
          <w:sz w:val="20"/>
          <w:szCs w:val="20"/>
        </w:rPr>
      </w:pPr>
      <w:r w:rsidRPr="00C9207C">
        <w:rPr>
          <w:rFonts w:ascii="Arial" w:hAnsi="Arial" w:cs="Arial"/>
          <w:sz w:val="20"/>
          <w:szCs w:val="20"/>
        </w:rPr>
        <w:t xml:space="preserve">To provide a </w:t>
      </w:r>
      <w:r w:rsidR="00BB7893" w:rsidRPr="00C9207C">
        <w:rPr>
          <w:rFonts w:ascii="Arial" w:hAnsi="Arial" w:cs="Arial"/>
          <w:sz w:val="20"/>
          <w:szCs w:val="20"/>
        </w:rPr>
        <w:t>risk</w:t>
      </w:r>
      <w:r w:rsidRPr="00C9207C">
        <w:rPr>
          <w:rFonts w:ascii="Arial" w:hAnsi="Arial" w:cs="Arial"/>
          <w:sz w:val="20"/>
          <w:szCs w:val="20"/>
        </w:rPr>
        <w:t xml:space="preserve"> fund to cushion the impact of unexpected events or emergencies. This is regarded as a key part of the IJB’s risk management framework.</w:t>
      </w:r>
    </w:p>
    <w:p w14:paraId="3123E579" w14:textId="77777777" w:rsidR="001A237C" w:rsidRPr="00C9207C" w:rsidRDefault="001A237C" w:rsidP="00A51927">
      <w:pPr>
        <w:spacing w:after="0" w:line="240" w:lineRule="auto"/>
        <w:rPr>
          <w:rFonts w:ascii="Arial" w:hAnsi="Arial" w:cs="Arial"/>
          <w:sz w:val="20"/>
          <w:szCs w:val="20"/>
        </w:rPr>
      </w:pPr>
    </w:p>
    <w:p w14:paraId="57EDB5F4" w14:textId="39700B9B" w:rsidR="00A170BB" w:rsidRDefault="3AB454E8" w:rsidP="00B52D66">
      <w:pPr>
        <w:spacing w:after="0" w:line="240" w:lineRule="auto"/>
        <w:rPr>
          <w:rFonts w:ascii="Arial" w:hAnsi="Arial" w:cs="Arial"/>
          <w:sz w:val="20"/>
          <w:szCs w:val="20"/>
        </w:rPr>
      </w:pPr>
      <w:r w:rsidRPr="00C9207C">
        <w:rPr>
          <w:rFonts w:ascii="Arial" w:hAnsi="Arial" w:cs="Arial"/>
          <w:sz w:val="20"/>
          <w:szCs w:val="20"/>
        </w:rPr>
        <w:t xml:space="preserve">The table below shows the movements on the General Fund balance, analysed between those elements earmarked for specific planned future expenditure, and the amount held as a </w:t>
      </w:r>
      <w:r w:rsidR="6BF0FF2B" w:rsidRPr="00C9207C">
        <w:rPr>
          <w:rFonts w:ascii="Arial" w:hAnsi="Arial" w:cs="Arial"/>
          <w:sz w:val="20"/>
          <w:szCs w:val="20"/>
        </w:rPr>
        <w:t>risk fund</w:t>
      </w:r>
      <w:r w:rsidR="7B6AAC13" w:rsidRPr="00C9207C">
        <w:rPr>
          <w:rFonts w:ascii="Arial" w:hAnsi="Arial" w:cs="Arial"/>
          <w:sz w:val="20"/>
          <w:szCs w:val="20"/>
        </w:rPr>
        <w:t>.</w:t>
      </w:r>
      <w:bookmarkStart w:id="48" w:name="_Toc11249444"/>
    </w:p>
    <w:p w14:paraId="17545201" w14:textId="77777777" w:rsidR="00646703" w:rsidRPr="00C9207C" w:rsidRDefault="00646703" w:rsidP="00B52D66">
      <w:pPr>
        <w:spacing w:after="0" w:line="240" w:lineRule="auto"/>
        <w:rPr>
          <w:rFonts w:ascii="Arial" w:hAnsi="Arial" w:cs="Arial"/>
          <w:sz w:val="20"/>
          <w:szCs w:val="20"/>
          <w:highlight w:val="yellow"/>
        </w:rPr>
      </w:pPr>
    </w:p>
    <w:tbl>
      <w:tblPr>
        <w:tblpPr w:leftFromText="180" w:rightFromText="180" w:vertAnchor="text" w:tblpXSpec="center"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128"/>
        <w:gridCol w:w="1134"/>
        <w:gridCol w:w="995"/>
        <w:gridCol w:w="1548"/>
        <w:gridCol w:w="1351"/>
        <w:gridCol w:w="1134"/>
        <w:gridCol w:w="1351"/>
      </w:tblGrid>
      <w:tr w:rsidR="00715FF5" w:rsidRPr="00791AB0" w14:paraId="36F7EE31" w14:textId="77777777" w:rsidTr="00F245FC">
        <w:trPr>
          <w:trHeight w:val="300"/>
        </w:trPr>
        <w:tc>
          <w:tcPr>
            <w:tcW w:w="4496" w:type="dxa"/>
            <w:gridSpan w:val="4"/>
            <w:vAlign w:val="center"/>
            <w:hideMark/>
          </w:tcPr>
          <w:p w14:paraId="3DBEE262" w14:textId="77777777" w:rsidR="00715FF5" w:rsidRPr="00791AB0" w:rsidRDefault="00715FF5" w:rsidP="008C5D64">
            <w:pPr>
              <w:spacing w:after="0" w:line="240" w:lineRule="auto"/>
              <w:jc w:val="center"/>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2024/25</w:t>
            </w:r>
          </w:p>
        </w:tc>
        <w:tc>
          <w:tcPr>
            <w:tcW w:w="1548" w:type="dxa"/>
            <w:vAlign w:val="center"/>
            <w:hideMark/>
          </w:tcPr>
          <w:p w14:paraId="5EFFA04B" w14:textId="77777777" w:rsidR="00715FF5" w:rsidRPr="00791AB0" w:rsidRDefault="00715FF5" w:rsidP="00715FF5">
            <w:pPr>
              <w:spacing w:after="0" w:line="240" w:lineRule="auto"/>
              <w:rPr>
                <w:rFonts w:ascii="Arial" w:eastAsia="Times New Roman" w:hAnsi="Arial" w:cs="Arial"/>
                <w:b/>
                <w:bCs/>
                <w:color w:val="000000"/>
                <w:sz w:val="18"/>
                <w:szCs w:val="18"/>
                <w:lang w:eastAsia="en-GB"/>
              </w:rPr>
            </w:pPr>
          </w:p>
        </w:tc>
        <w:tc>
          <w:tcPr>
            <w:tcW w:w="3836" w:type="dxa"/>
            <w:gridSpan w:val="3"/>
            <w:vAlign w:val="center"/>
            <w:hideMark/>
          </w:tcPr>
          <w:p w14:paraId="0FB53D28" w14:textId="77777777" w:rsidR="00715FF5" w:rsidRPr="00791AB0" w:rsidRDefault="00715FF5" w:rsidP="00963967">
            <w:pPr>
              <w:spacing w:after="0" w:line="240" w:lineRule="auto"/>
              <w:jc w:val="center"/>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2025/26</w:t>
            </w:r>
          </w:p>
        </w:tc>
      </w:tr>
      <w:tr w:rsidR="00791AB0" w:rsidRPr="00791AB0" w14:paraId="317D15EE" w14:textId="77777777" w:rsidTr="00F245FC">
        <w:trPr>
          <w:trHeight w:val="520"/>
        </w:trPr>
        <w:tc>
          <w:tcPr>
            <w:tcW w:w="1239" w:type="dxa"/>
            <w:vMerge w:val="restart"/>
            <w:vAlign w:val="center"/>
            <w:hideMark/>
          </w:tcPr>
          <w:p w14:paraId="60798C4A"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Balance at 1 April 2024</w:t>
            </w:r>
          </w:p>
        </w:tc>
        <w:tc>
          <w:tcPr>
            <w:tcW w:w="2262" w:type="dxa"/>
            <w:gridSpan w:val="2"/>
            <w:vAlign w:val="center"/>
            <w:hideMark/>
          </w:tcPr>
          <w:p w14:paraId="7314468B" w14:textId="5DE4AE01" w:rsidR="00791AB0" w:rsidRPr="00791AB0" w:rsidRDefault="00791AB0" w:rsidP="007200B6">
            <w:pPr>
              <w:spacing w:after="0" w:line="240" w:lineRule="auto"/>
              <w:jc w:val="center"/>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Transfers</w:t>
            </w:r>
          </w:p>
        </w:tc>
        <w:tc>
          <w:tcPr>
            <w:tcW w:w="995" w:type="dxa"/>
            <w:vMerge w:val="restart"/>
            <w:vAlign w:val="center"/>
            <w:hideMark/>
          </w:tcPr>
          <w:p w14:paraId="1F19FEE8"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xml:space="preserve">Balance at </w:t>
            </w:r>
          </w:p>
          <w:p w14:paraId="6BE347CB" w14:textId="4354BBE2" w:rsidR="00791AB0" w:rsidRPr="00791AB0" w:rsidRDefault="00791AB0">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31-Mar-25</w:t>
            </w:r>
          </w:p>
        </w:tc>
        <w:tc>
          <w:tcPr>
            <w:tcW w:w="1548" w:type="dxa"/>
            <w:vMerge w:val="restart"/>
            <w:vAlign w:val="center"/>
            <w:hideMark/>
          </w:tcPr>
          <w:p w14:paraId="094615FC"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w:t>
            </w:r>
          </w:p>
        </w:tc>
        <w:tc>
          <w:tcPr>
            <w:tcW w:w="1351" w:type="dxa"/>
            <w:vAlign w:val="center"/>
            <w:hideMark/>
          </w:tcPr>
          <w:p w14:paraId="60C612ED"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Transfers</w:t>
            </w:r>
          </w:p>
        </w:tc>
        <w:tc>
          <w:tcPr>
            <w:tcW w:w="1134" w:type="dxa"/>
            <w:vAlign w:val="center"/>
            <w:hideMark/>
          </w:tcPr>
          <w:p w14:paraId="29D0F8A6"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xml:space="preserve">Transfers </w:t>
            </w:r>
          </w:p>
        </w:tc>
        <w:tc>
          <w:tcPr>
            <w:tcW w:w="1351" w:type="dxa"/>
            <w:vMerge w:val="restart"/>
            <w:vAlign w:val="center"/>
            <w:hideMark/>
          </w:tcPr>
          <w:p w14:paraId="1881BE40"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xml:space="preserve">Balance at </w:t>
            </w:r>
          </w:p>
          <w:p w14:paraId="50DFB705" w14:textId="446C6D33" w:rsidR="00791AB0" w:rsidRPr="00791AB0" w:rsidRDefault="00791AB0">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31-Mar-26</w:t>
            </w:r>
          </w:p>
        </w:tc>
      </w:tr>
      <w:tr w:rsidR="00791AB0" w:rsidRPr="00791AB0" w14:paraId="4A920EFE" w14:textId="77777777" w:rsidTr="00F245FC">
        <w:trPr>
          <w:trHeight w:val="290"/>
        </w:trPr>
        <w:tc>
          <w:tcPr>
            <w:tcW w:w="1239" w:type="dxa"/>
            <w:vMerge/>
            <w:vAlign w:val="center"/>
            <w:hideMark/>
          </w:tcPr>
          <w:p w14:paraId="26BF2082" w14:textId="77777777" w:rsidR="00791AB0" w:rsidRPr="00791AB0" w:rsidRDefault="00791AB0" w:rsidP="00715FF5">
            <w:pPr>
              <w:spacing w:after="0" w:line="240" w:lineRule="auto"/>
              <w:rPr>
                <w:rFonts w:ascii="Arial" w:eastAsia="Times New Roman" w:hAnsi="Arial" w:cs="Arial"/>
                <w:b/>
                <w:bCs/>
                <w:color w:val="000000"/>
                <w:sz w:val="18"/>
                <w:szCs w:val="18"/>
                <w:lang w:eastAsia="en-GB"/>
              </w:rPr>
            </w:pPr>
          </w:p>
        </w:tc>
        <w:tc>
          <w:tcPr>
            <w:tcW w:w="1128" w:type="dxa"/>
            <w:vAlign w:val="center"/>
            <w:hideMark/>
          </w:tcPr>
          <w:p w14:paraId="0D4ED4ED"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In</w:t>
            </w:r>
          </w:p>
        </w:tc>
        <w:tc>
          <w:tcPr>
            <w:tcW w:w="1134" w:type="dxa"/>
            <w:vAlign w:val="center"/>
            <w:hideMark/>
          </w:tcPr>
          <w:p w14:paraId="244B3655"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Out</w:t>
            </w:r>
          </w:p>
        </w:tc>
        <w:tc>
          <w:tcPr>
            <w:tcW w:w="995" w:type="dxa"/>
            <w:vMerge/>
            <w:vAlign w:val="center"/>
            <w:hideMark/>
          </w:tcPr>
          <w:p w14:paraId="74701120" w14:textId="03E7BB5B"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p>
        </w:tc>
        <w:tc>
          <w:tcPr>
            <w:tcW w:w="1548" w:type="dxa"/>
            <w:vMerge/>
            <w:vAlign w:val="center"/>
            <w:hideMark/>
          </w:tcPr>
          <w:p w14:paraId="0A4DE5F3" w14:textId="77777777" w:rsidR="00791AB0" w:rsidRPr="00791AB0" w:rsidRDefault="00791AB0" w:rsidP="00715FF5">
            <w:pPr>
              <w:spacing w:after="0" w:line="240" w:lineRule="auto"/>
              <w:rPr>
                <w:rFonts w:ascii="Arial" w:eastAsia="Times New Roman" w:hAnsi="Arial" w:cs="Arial"/>
                <w:b/>
                <w:bCs/>
                <w:color w:val="000000"/>
                <w:sz w:val="18"/>
                <w:szCs w:val="18"/>
                <w:lang w:eastAsia="en-GB"/>
              </w:rPr>
            </w:pPr>
          </w:p>
        </w:tc>
        <w:tc>
          <w:tcPr>
            <w:tcW w:w="1351" w:type="dxa"/>
            <w:vAlign w:val="center"/>
            <w:hideMark/>
          </w:tcPr>
          <w:p w14:paraId="697B4F5A"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In</w:t>
            </w:r>
          </w:p>
        </w:tc>
        <w:tc>
          <w:tcPr>
            <w:tcW w:w="1134" w:type="dxa"/>
            <w:vAlign w:val="center"/>
            <w:hideMark/>
          </w:tcPr>
          <w:p w14:paraId="3AA012C0" w14:textId="77777777"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Out</w:t>
            </w:r>
          </w:p>
        </w:tc>
        <w:tc>
          <w:tcPr>
            <w:tcW w:w="1351" w:type="dxa"/>
            <w:vMerge/>
            <w:vAlign w:val="center"/>
            <w:hideMark/>
          </w:tcPr>
          <w:p w14:paraId="29FC2E89" w14:textId="3402C792" w:rsidR="00791AB0" w:rsidRPr="00791AB0" w:rsidRDefault="00791AB0" w:rsidP="00715FF5">
            <w:pPr>
              <w:spacing w:after="0" w:line="240" w:lineRule="auto"/>
              <w:jc w:val="right"/>
              <w:rPr>
                <w:rFonts w:ascii="Arial" w:eastAsia="Times New Roman" w:hAnsi="Arial" w:cs="Arial"/>
                <w:b/>
                <w:bCs/>
                <w:color w:val="000000"/>
                <w:sz w:val="18"/>
                <w:szCs w:val="18"/>
                <w:lang w:eastAsia="en-GB"/>
              </w:rPr>
            </w:pPr>
          </w:p>
        </w:tc>
      </w:tr>
      <w:tr w:rsidR="00715FF5" w:rsidRPr="00791AB0" w14:paraId="0C0BA338" w14:textId="77777777" w:rsidTr="00F245FC">
        <w:trPr>
          <w:trHeight w:val="290"/>
        </w:trPr>
        <w:tc>
          <w:tcPr>
            <w:tcW w:w="1239" w:type="dxa"/>
            <w:vAlign w:val="center"/>
            <w:hideMark/>
          </w:tcPr>
          <w:p w14:paraId="79CD7C01"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1128" w:type="dxa"/>
            <w:vAlign w:val="center"/>
            <w:hideMark/>
          </w:tcPr>
          <w:p w14:paraId="5B1B199D"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1134" w:type="dxa"/>
            <w:vAlign w:val="center"/>
            <w:hideMark/>
          </w:tcPr>
          <w:p w14:paraId="39B28190"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995" w:type="dxa"/>
            <w:vAlign w:val="center"/>
            <w:hideMark/>
          </w:tcPr>
          <w:p w14:paraId="10214FE0"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1548" w:type="dxa"/>
            <w:vAlign w:val="center"/>
            <w:hideMark/>
          </w:tcPr>
          <w:p w14:paraId="690200B1"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p>
        </w:tc>
        <w:tc>
          <w:tcPr>
            <w:tcW w:w="1351" w:type="dxa"/>
            <w:vAlign w:val="center"/>
            <w:hideMark/>
          </w:tcPr>
          <w:p w14:paraId="0CE1689C"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1134" w:type="dxa"/>
            <w:vAlign w:val="center"/>
            <w:hideMark/>
          </w:tcPr>
          <w:p w14:paraId="3E76E823"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c>
          <w:tcPr>
            <w:tcW w:w="1351" w:type="dxa"/>
            <w:vAlign w:val="center"/>
            <w:hideMark/>
          </w:tcPr>
          <w:p w14:paraId="72B45AC8" w14:textId="77777777" w:rsidR="00715FF5" w:rsidRPr="00791AB0" w:rsidRDefault="00715FF5" w:rsidP="00715FF5">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w:t>
            </w:r>
          </w:p>
        </w:tc>
      </w:tr>
      <w:tr w:rsidR="00F4118F" w:rsidRPr="00791AB0" w14:paraId="16AE94A1" w14:textId="77777777" w:rsidTr="00F245FC">
        <w:trPr>
          <w:trHeight w:val="520"/>
        </w:trPr>
        <w:tc>
          <w:tcPr>
            <w:tcW w:w="1239" w:type="dxa"/>
            <w:vAlign w:val="center"/>
            <w:hideMark/>
          </w:tcPr>
          <w:p w14:paraId="340EE61A" w14:textId="6AE6353B" w:rsidR="00F4118F" w:rsidRPr="00791AB0" w:rsidRDefault="00F4118F"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28" w:type="dxa"/>
            <w:vAlign w:val="center"/>
            <w:hideMark/>
          </w:tcPr>
          <w:p w14:paraId="3A9E4F02" w14:textId="48230A9F" w:rsidR="00F4118F" w:rsidRPr="00791AB0" w:rsidRDefault="00F4118F"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34" w:type="dxa"/>
            <w:vAlign w:val="center"/>
            <w:hideMark/>
          </w:tcPr>
          <w:p w14:paraId="6649D837" w14:textId="035B4C9C" w:rsidR="00F4118F" w:rsidRPr="00791AB0" w:rsidRDefault="00F4118F"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995" w:type="dxa"/>
            <w:vAlign w:val="center"/>
            <w:hideMark/>
          </w:tcPr>
          <w:p w14:paraId="39F8A3AD" w14:textId="6096A941" w:rsidR="00F4118F" w:rsidRPr="00791AB0" w:rsidRDefault="00F4118F"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548" w:type="dxa"/>
            <w:vAlign w:val="center"/>
            <w:hideMark/>
          </w:tcPr>
          <w:p w14:paraId="12ABFAB1"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HSCP Digital Innovation Fund</w:t>
            </w:r>
          </w:p>
        </w:tc>
        <w:tc>
          <w:tcPr>
            <w:tcW w:w="1351" w:type="dxa"/>
            <w:vAlign w:val="center"/>
            <w:hideMark/>
          </w:tcPr>
          <w:p w14:paraId="6ABD1FC8"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(637,660)</w:t>
            </w:r>
          </w:p>
        </w:tc>
        <w:tc>
          <w:tcPr>
            <w:tcW w:w="1134" w:type="dxa"/>
            <w:vAlign w:val="center"/>
            <w:hideMark/>
          </w:tcPr>
          <w:p w14:paraId="7479206F" w14:textId="0F624A81"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65DE27ED"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(637,660)</w:t>
            </w:r>
          </w:p>
        </w:tc>
      </w:tr>
      <w:tr w:rsidR="00F4118F" w:rsidRPr="00791AB0" w14:paraId="497EEC6F" w14:textId="77777777" w:rsidTr="00F245FC">
        <w:trPr>
          <w:trHeight w:val="520"/>
        </w:trPr>
        <w:tc>
          <w:tcPr>
            <w:tcW w:w="1239" w:type="dxa"/>
            <w:vAlign w:val="center"/>
            <w:hideMark/>
          </w:tcPr>
          <w:p w14:paraId="42889CAF"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(1,034,295)</w:t>
            </w:r>
          </w:p>
        </w:tc>
        <w:tc>
          <w:tcPr>
            <w:tcW w:w="1128" w:type="dxa"/>
            <w:vAlign w:val="center"/>
            <w:hideMark/>
          </w:tcPr>
          <w:p w14:paraId="0DEFC842" w14:textId="0BE8B03A"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42E247EB"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1,034,295</w:t>
            </w:r>
          </w:p>
        </w:tc>
        <w:tc>
          <w:tcPr>
            <w:tcW w:w="995" w:type="dxa"/>
            <w:vAlign w:val="center"/>
            <w:hideMark/>
          </w:tcPr>
          <w:p w14:paraId="7DEDE832" w14:textId="20C8AC8F"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2AF1C099"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Earmarked External Funding</w:t>
            </w:r>
          </w:p>
        </w:tc>
        <w:tc>
          <w:tcPr>
            <w:tcW w:w="1351" w:type="dxa"/>
            <w:vAlign w:val="center"/>
            <w:hideMark/>
          </w:tcPr>
          <w:p w14:paraId="17767FEE"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(2,663,000)</w:t>
            </w:r>
          </w:p>
        </w:tc>
        <w:tc>
          <w:tcPr>
            <w:tcW w:w="1134" w:type="dxa"/>
            <w:vAlign w:val="center"/>
            <w:hideMark/>
          </w:tcPr>
          <w:p w14:paraId="381698D7" w14:textId="126A3564"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55F23F9A"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(2,663,000)</w:t>
            </w:r>
          </w:p>
        </w:tc>
      </w:tr>
      <w:tr w:rsidR="00F4118F" w:rsidRPr="00791AB0" w14:paraId="5D393A1E" w14:textId="77777777" w:rsidTr="00F245FC">
        <w:trPr>
          <w:trHeight w:val="290"/>
        </w:trPr>
        <w:tc>
          <w:tcPr>
            <w:tcW w:w="1239" w:type="dxa"/>
            <w:vAlign w:val="center"/>
            <w:hideMark/>
          </w:tcPr>
          <w:p w14:paraId="254130F9"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(219)</w:t>
            </w:r>
          </w:p>
        </w:tc>
        <w:tc>
          <w:tcPr>
            <w:tcW w:w="1128" w:type="dxa"/>
            <w:vAlign w:val="center"/>
            <w:hideMark/>
          </w:tcPr>
          <w:p w14:paraId="51008158" w14:textId="10CC02C5"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1B6EF259"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219</w:t>
            </w:r>
          </w:p>
        </w:tc>
        <w:tc>
          <w:tcPr>
            <w:tcW w:w="995" w:type="dxa"/>
            <w:vAlign w:val="center"/>
            <w:hideMark/>
          </w:tcPr>
          <w:p w14:paraId="0A5410F5" w14:textId="437AC7A9"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561B4B90"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PCIP</w:t>
            </w:r>
          </w:p>
        </w:tc>
        <w:tc>
          <w:tcPr>
            <w:tcW w:w="1351" w:type="dxa"/>
            <w:vAlign w:val="center"/>
            <w:hideMark/>
          </w:tcPr>
          <w:p w14:paraId="702EB4DE" w14:textId="2CD2AD32"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34" w:type="dxa"/>
            <w:vAlign w:val="center"/>
            <w:hideMark/>
          </w:tcPr>
          <w:p w14:paraId="4ADD9585" w14:textId="7C39E3AA"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31BDE64F" w14:textId="41EC2455"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r>
      <w:tr w:rsidR="00F4118F" w:rsidRPr="00791AB0" w14:paraId="34232E52" w14:textId="77777777" w:rsidTr="00F245FC">
        <w:trPr>
          <w:trHeight w:val="290"/>
        </w:trPr>
        <w:tc>
          <w:tcPr>
            <w:tcW w:w="1239" w:type="dxa"/>
            <w:vAlign w:val="center"/>
            <w:hideMark/>
          </w:tcPr>
          <w:p w14:paraId="77776D6F"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(5,396)</w:t>
            </w:r>
          </w:p>
        </w:tc>
        <w:tc>
          <w:tcPr>
            <w:tcW w:w="1128" w:type="dxa"/>
            <w:vAlign w:val="center"/>
            <w:hideMark/>
          </w:tcPr>
          <w:p w14:paraId="3BAE21AD" w14:textId="0A4BF59E"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224EC87C"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5,396</w:t>
            </w:r>
          </w:p>
        </w:tc>
        <w:tc>
          <w:tcPr>
            <w:tcW w:w="995" w:type="dxa"/>
            <w:vAlign w:val="center"/>
            <w:hideMark/>
          </w:tcPr>
          <w:p w14:paraId="436E0055" w14:textId="3D6ED666"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6E0F9B10"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Action 15</w:t>
            </w:r>
          </w:p>
        </w:tc>
        <w:tc>
          <w:tcPr>
            <w:tcW w:w="1351" w:type="dxa"/>
            <w:vAlign w:val="center"/>
            <w:hideMark/>
          </w:tcPr>
          <w:p w14:paraId="67BC9B03"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(117,182)</w:t>
            </w:r>
          </w:p>
        </w:tc>
        <w:tc>
          <w:tcPr>
            <w:tcW w:w="1134" w:type="dxa"/>
            <w:vAlign w:val="center"/>
            <w:hideMark/>
          </w:tcPr>
          <w:p w14:paraId="4993B900" w14:textId="515CBCD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432D18F4"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(117,182)</w:t>
            </w:r>
          </w:p>
        </w:tc>
      </w:tr>
      <w:tr w:rsidR="00F4118F" w:rsidRPr="00791AB0" w14:paraId="41FFADF3" w14:textId="77777777" w:rsidTr="00F245FC">
        <w:trPr>
          <w:trHeight w:val="520"/>
        </w:trPr>
        <w:tc>
          <w:tcPr>
            <w:tcW w:w="1239" w:type="dxa"/>
            <w:vAlign w:val="center"/>
            <w:hideMark/>
          </w:tcPr>
          <w:p w14:paraId="44B4C5EC"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(829,816)</w:t>
            </w:r>
          </w:p>
        </w:tc>
        <w:tc>
          <w:tcPr>
            <w:tcW w:w="1128" w:type="dxa"/>
            <w:vAlign w:val="center"/>
            <w:hideMark/>
          </w:tcPr>
          <w:p w14:paraId="6619C92C" w14:textId="54DB8102"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0647800B"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829,816</w:t>
            </w:r>
          </w:p>
        </w:tc>
        <w:tc>
          <w:tcPr>
            <w:tcW w:w="995" w:type="dxa"/>
            <w:vAlign w:val="center"/>
            <w:hideMark/>
          </w:tcPr>
          <w:p w14:paraId="0007DE6C" w14:textId="5A5DCF89"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48EC8018"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MH Recovery and Renewal</w:t>
            </w:r>
          </w:p>
        </w:tc>
        <w:tc>
          <w:tcPr>
            <w:tcW w:w="1351" w:type="dxa"/>
            <w:vAlign w:val="center"/>
            <w:hideMark/>
          </w:tcPr>
          <w:p w14:paraId="33FAEEAA"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(109,467)</w:t>
            </w:r>
          </w:p>
        </w:tc>
        <w:tc>
          <w:tcPr>
            <w:tcW w:w="1134" w:type="dxa"/>
            <w:vAlign w:val="center"/>
            <w:hideMark/>
          </w:tcPr>
          <w:p w14:paraId="3CA2BDFC" w14:textId="48A073DA"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4A5F384D"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(109,467)</w:t>
            </w:r>
          </w:p>
        </w:tc>
      </w:tr>
      <w:tr w:rsidR="00F4118F" w:rsidRPr="00791AB0" w14:paraId="6298A899" w14:textId="77777777" w:rsidTr="00F245FC">
        <w:trPr>
          <w:trHeight w:val="290"/>
        </w:trPr>
        <w:tc>
          <w:tcPr>
            <w:tcW w:w="1239" w:type="dxa"/>
            <w:vAlign w:val="center"/>
            <w:hideMark/>
          </w:tcPr>
          <w:p w14:paraId="08C1242A"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(1,168,459)</w:t>
            </w:r>
          </w:p>
        </w:tc>
        <w:tc>
          <w:tcPr>
            <w:tcW w:w="1128" w:type="dxa"/>
            <w:vAlign w:val="center"/>
            <w:hideMark/>
          </w:tcPr>
          <w:p w14:paraId="74950D69" w14:textId="515355A3"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15307127"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1,168,459</w:t>
            </w:r>
          </w:p>
        </w:tc>
        <w:tc>
          <w:tcPr>
            <w:tcW w:w="995" w:type="dxa"/>
            <w:vAlign w:val="center"/>
            <w:hideMark/>
          </w:tcPr>
          <w:p w14:paraId="7E71B051" w14:textId="141BD434"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6A861ABE"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ADP</w:t>
            </w:r>
          </w:p>
        </w:tc>
        <w:tc>
          <w:tcPr>
            <w:tcW w:w="1351" w:type="dxa"/>
            <w:vAlign w:val="center"/>
            <w:hideMark/>
          </w:tcPr>
          <w:p w14:paraId="35BCED06" w14:textId="62154861"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34" w:type="dxa"/>
            <w:vAlign w:val="center"/>
            <w:hideMark/>
          </w:tcPr>
          <w:p w14:paraId="2BDDDEA4" w14:textId="04A40208"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79B2FCC9" w14:textId="7ADF12E4"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r>
      <w:tr w:rsidR="00F4118F" w:rsidRPr="00791AB0" w14:paraId="0BC62313" w14:textId="77777777" w:rsidTr="00F245FC">
        <w:trPr>
          <w:trHeight w:val="530"/>
        </w:trPr>
        <w:tc>
          <w:tcPr>
            <w:tcW w:w="1239" w:type="dxa"/>
            <w:vAlign w:val="center"/>
            <w:hideMark/>
          </w:tcPr>
          <w:p w14:paraId="1588DFE8"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(4,296,651)</w:t>
            </w:r>
          </w:p>
        </w:tc>
        <w:tc>
          <w:tcPr>
            <w:tcW w:w="1128" w:type="dxa"/>
            <w:vAlign w:val="center"/>
            <w:hideMark/>
          </w:tcPr>
          <w:p w14:paraId="3F029774" w14:textId="4EC7CAED"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6179249D"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4,296,651</w:t>
            </w:r>
          </w:p>
        </w:tc>
        <w:tc>
          <w:tcPr>
            <w:tcW w:w="995" w:type="dxa"/>
            <w:vAlign w:val="center"/>
            <w:hideMark/>
          </w:tcPr>
          <w:p w14:paraId="7F7E9551" w14:textId="013BB82E"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36332F0D" w14:textId="77777777" w:rsidR="00F4118F" w:rsidRPr="00791AB0" w:rsidRDefault="00F4118F" w:rsidP="00F4118F">
            <w:pPr>
              <w:spacing w:after="0" w:line="240" w:lineRule="auto"/>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Integration &amp; Change</w:t>
            </w:r>
          </w:p>
        </w:tc>
        <w:tc>
          <w:tcPr>
            <w:tcW w:w="1351" w:type="dxa"/>
            <w:vAlign w:val="center"/>
            <w:hideMark/>
          </w:tcPr>
          <w:p w14:paraId="64A0CB7B" w14:textId="14A572C6"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34" w:type="dxa"/>
            <w:vAlign w:val="center"/>
            <w:hideMark/>
          </w:tcPr>
          <w:p w14:paraId="07AB0BA6" w14:textId="2F772C41"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47EA8A3D" w14:textId="5C6C6D1E" w:rsidR="00F4118F" w:rsidRPr="00791AB0" w:rsidRDefault="00F245FC"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r>
      <w:tr w:rsidR="00F4118F" w:rsidRPr="00791AB0" w14:paraId="2F0FB42B" w14:textId="77777777" w:rsidTr="00F245FC">
        <w:trPr>
          <w:trHeight w:val="290"/>
        </w:trPr>
        <w:tc>
          <w:tcPr>
            <w:tcW w:w="1239" w:type="dxa"/>
            <w:vAlign w:val="center"/>
            <w:hideMark/>
          </w:tcPr>
          <w:p w14:paraId="4B3C4C5E"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(7,334,836)</w:t>
            </w:r>
          </w:p>
        </w:tc>
        <w:tc>
          <w:tcPr>
            <w:tcW w:w="1128" w:type="dxa"/>
            <w:vAlign w:val="center"/>
            <w:hideMark/>
          </w:tcPr>
          <w:p w14:paraId="634AA264" w14:textId="3A007254"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4144B3EA"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7,334,836</w:t>
            </w:r>
          </w:p>
        </w:tc>
        <w:tc>
          <w:tcPr>
            <w:tcW w:w="995" w:type="dxa"/>
            <w:vAlign w:val="center"/>
            <w:hideMark/>
          </w:tcPr>
          <w:p w14:paraId="03B6ECD5" w14:textId="32C818BB"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1BA84C2C" w14:textId="77777777" w:rsidR="00F4118F" w:rsidRPr="00791AB0" w:rsidRDefault="00F4118F" w:rsidP="00F4118F">
            <w:pPr>
              <w:spacing w:after="0" w:line="240" w:lineRule="auto"/>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Total Earmarked</w:t>
            </w:r>
          </w:p>
        </w:tc>
        <w:tc>
          <w:tcPr>
            <w:tcW w:w="1351" w:type="dxa"/>
            <w:vAlign w:val="center"/>
            <w:hideMark/>
          </w:tcPr>
          <w:p w14:paraId="227EEE95"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(3,527,309)</w:t>
            </w:r>
          </w:p>
        </w:tc>
        <w:tc>
          <w:tcPr>
            <w:tcW w:w="1134" w:type="dxa"/>
            <w:vAlign w:val="center"/>
            <w:hideMark/>
          </w:tcPr>
          <w:p w14:paraId="7A937F40" w14:textId="1C99E3C9"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0785B224"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(3,527,309)</w:t>
            </w:r>
          </w:p>
        </w:tc>
      </w:tr>
      <w:tr w:rsidR="00F4118F" w:rsidRPr="00791AB0" w14:paraId="725E927E" w14:textId="77777777" w:rsidTr="00F245FC">
        <w:trPr>
          <w:trHeight w:val="290"/>
        </w:trPr>
        <w:tc>
          <w:tcPr>
            <w:tcW w:w="1239" w:type="dxa"/>
            <w:vAlign w:val="center"/>
            <w:hideMark/>
          </w:tcPr>
          <w:p w14:paraId="087FAC18" w14:textId="77777777" w:rsidR="00F4118F" w:rsidRPr="00791AB0" w:rsidRDefault="00F4118F" w:rsidP="00F4118F">
            <w:pPr>
              <w:spacing w:after="0" w:line="240" w:lineRule="auto"/>
              <w:jc w:val="right"/>
              <w:rPr>
                <w:rFonts w:ascii="Arial" w:eastAsia="Times New Roman" w:hAnsi="Arial" w:cs="Arial"/>
                <w:color w:val="000000"/>
                <w:sz w:val="18"/>
                <w:szCs w:val="18"/>
                <w:lang w:eastAsia="en-GB"/>
              </w:rPr>
            </w:pPr>
          </w:p>
        </w:tc>
        <w:tc>
          <w:tcPr>
            <w:tcW w:w="1128" w:type="dxa"/>
            <w:vAlign w:val="center"/>
          </w:tcPr>
          <w:p w14:paraId="24F9B95C" w14:textId="23D89B03" w:rsidR="00F4118F" w:rsidRPr="00791AB0" w:rsidRDefault="00F4118F" w:rsidP="00F4118F">
            <w:pPr>
              <w:spacing w:after="0" w:line="240" w:lineRule="auto"/>
              <w:jc w:val="right"/>
              <w:rPr>
                <w:rFonts w:ascii="Arial" w:eastAsia="Times New Roman" w:hAnsi="Arial" w:cs="Arial"/>
                <w:sz w:val="18"/>
                <w:szCs w:val="18"/>
                <w:lang w:eastAsia="en-GB"/>
              </w:rPr>
            </w:pPr>
          </w:p>
        </w:tc>
        <w:tc>
          <w:tcPr>
            <w:tcW w:w="1134" w:type="dxa"/>
            <w:vAlign w:val="center"/>
          </w:tcPr>
          <w:p w14:paraId="1B48D172" w14:textId="77777777" w:rsidR="00F4118F" w:rsidRPr="00791AB0" w:rsidRDefault="00F4118F" w:rsidP="00F4118F">
            <w:pPr>
              <w:spacing w:after="0" w:line="240" w:lineRule="auto"/>
              <w:jc w:val="right"/>
              <w:rPr>
                <w:rFonts w:ascii="Arial" w:eastAsia="Times New Roman" w:hAnsi="Arial" w:cs="Arial"/>
                <w:sz w:val="18"/>
                <w:szCs w:val="18"/>
                <w:lang w:eastAsia="en-GB"/>
              </w:rPr>
            </w:pPr>
          </w:p>
        </w:tc>
        <w:tc>
          <w:tcPr>
            <w:tcW w:w="995" w:type="dxa"/>
            <w:vAlign w:val="center"/>
          </w:tcPr>
          <w:p w14:paraId="5397BFC8" w14:textId="4D57294F" w:rsidR="00F4118F" w:rsidRPr="00791AB0" w:rsidRDefault="00F4118F" w:rsidP="00F4118F">
            <w:pPr>
              <w:spacing w:after="0" w:line="240" w:lineRule="auto"/>
              <w:jc w:val="right"/>
              <w:rPr>
                <w:rFonts w:ascii="Arial" w:eastAsia="Times New Roman" w:hAnsi="Arial" w:cs="Arial"/>
                <w:sz w:val="18"/>
                <w:szCs w:val="18"/>
                <w:lang w:eastAsia="en-GB"/>
              </w:rPr>
            </w:pPr>
          </w:p>
        </w:tc>
        <w:tc>
          <w:tcPr>
            <w:tcW w:w="1548" w:type="dxa"/>
            <w:vAlign w:val="center"/>
            <w:hideMark/>
          </w:tcPr>
          <w:p w14:paraId="7FA52C6D" w14:textId="77777777" w:rsidR="00F4118F" w:rsidRPr="00791AB0" w:rsidRDefault="00F4118F" w:rsidP="00F4118F">
            <w:pPr>
              <w:spacing w:after="0" w:line="240" w:lineRule="auto"/>
              <w:jc w:val="right"/>
              <w:rPr>
                <w:rFonts w:ascii="Arial" w:eastAsia="Times New Roman" w:hAnsi="Arial" w:cs="Arial"/>
                <w:sz w:val="18"/>
                <w:szCs w:val="18"/>
                <w:lang w:eastAsia="en-GB"/>
              </w:rPr>
            </w:pPr>
          </w:p>
        </w:tc>
        <w:tc>
          <w:tcPr>
            <w:tcW w:w="1351" w:type="dxa"/>
            <w:vAlign w:val="center"/>
            <w:hideMark/>
          </w:tcPr>
          <w:p w14:paraId="7EA64A74" w14:textId="77777777" w:rsidR="00F4118F" w:rsidRPr="00791AB0" w:rsidRDefault="00F4118F" w:rsidP="00F4118F">
            <w:pPr>
              <w:spacing w:after="0" w:line="240" w:lineRule="auto"/>
              <w:rPr>
                <w:rFonts w:ascii="Arial" w:eastAsia="Times New Roman" w:hAnsi="Arial" w:cs="Arial"/>
                <w:b/>
                <w:bCs/>
                <w:sz w:val="18"/>
                <w:szCs w:val="18"/>
                <w:lang w:eastAsia="en-GB"/>
              </w:rPr>
            </w:pPr>
          </w:p>
        </w:tc>
        <w:tc>
          <w:tcPr>
            <w:tcW w:w="1134" w:type="dxa"/>
            <w:vAlign w:val="center"/>
          </w:tcPr>
          <w:p w14:paraId="4C8343E5" w14:textId="47BF775D" w:rsidR="00F4118F" w:rsidRPr="00791AB0" w:rsidRDefault="00F4118F" w:rsidP="00F4118F">
            <w:pPr>
              <w:spacing w:after="0" w:line="240" w:lineRule="auto"/>
              <w:jc w:val="right"/>
              <w:rPr>
                <w:rFonts w:ascii="Arial" w:eastAsia="Times New Roman" w:hAnsi="Arial" w:cs="Arial"/>
                <w:b/>
                <w:bCs/>
                <w:sz w:val="18"/>
                <w:szCs w:val="18"/>
                <w:lang w:eastAsia="en-GB"/>
              </w:rPr>
            </w:pPr>
          </w:p>
        </w:tc>
        <w:tc>
          <w:tcPr>
            <w:tcW w:w="1351" w:type="dxa"/>
            <w:vAlign w:val="center"/>
          </w:tcPr>
          <w:p w14:paraId="62D0767D" w14:textId="77777777" w:rsidR="00F4118F" w:rsidRPr="00791AB0" w:rsidRDefault="00F4118F" w:rsidP="00F4118F">
            <w:pPr>
              <w:spacing w:after="0" w:line="240" w:lineRule="auto"/>
              <w:jc w:val="right"/>
              <w:rPr>
                <w:rFonts w:ascii="Arial" w:eastAsia="Times New Roman" w:hAnsi="Arial" w:cs="Arial"/>
                <w:b/>
                <w:bCs/>
                <w:sz w:val="18"/>
                <w:szCs w:val="18"/>
                <w:lang w:eastAsia="en-GB"/>
              </w:rPr>
            </w:pPr>
          </w:p>
        </w:tc>
      </w:tr>
      <w:tr w:rsidR="00666B97" w:rsidRPr="00791AB0" w14:paraId="1E24179F" w14:textId="77777777" w:rsidTr="00F245FC">
        <w:trPr>
          <w:trHeight w:val="520"/>
        </w:trPr>
        <w:tc>
          <w:tcPr>
            <w:tcW w:w="1239" w:type="dxa"/>
            <w:vAlign w:val="center"/>
          </w:tcPr>
          <w:p w14:paraId="31CF90E3" w14:textId="54033950" w:rsidR="00666B97" w:rsidRPr="00791AB0" w:rsidRDefault="00666B97" w:rsidP="00666B97">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(2,500,000)</w:t>
            </w:r>
          </w:p>
        </w:tc>
        <w:tc>
          <w:tcPr>
            <w:tcW w:w="1128" w:type="dxa"/>
            <w:noWrap/>
            <w:vAlign w:val="center"/>
          </w:tcPr>
          <w:p w14:paraId="02F61E33" w14:textId="1ABA82C3" w:rsidR="00666B97" w:rsidRPr="0042116D" w:rsidRDefault="00666B97" w:rsidP="00666B97">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tcPr>
          <w:p w14:paraId="36F133D0" w14:textId="00373E5F" w:rsidR="00666B97" w:rsidRPr="00791AB0" w:rsidRDefault="00666B97" w:rsidP="00666B97">
            <w:pPr>
              <w:spacing w:after="0" w:line="240" w:lineRule="auto"/>
              <w:jc w:val="right"/>
              <w:rPr>
                <w:rFonts w:ascii="Arial" w:eastAsia="Times New Roman" w:hAnsi="Arial" w:cs="Arial"/>
                <w:color w:val="000000"/>
                <w:sz w:val="18"/>
                <w:szCs w:val="18"/>
                <w:lang w:eastAsia="en-GB"/>
              </w:rPr>
            </w:pPr>
            <w:r w:rsidRPr="00791AB0">
              <w:rPr>
                <w:rFonts w:ascii="Arial" w:eastAsia="Times New Roman" w:hAnsi="Arial" w:cs="Arial"/>
                <w:color w:val="000000"/>
                <w:sz w:val="18"/>
                <w:szCs w:val="18"/>
                <w:lang w:eastAsia="en-GB"/>
              </w:rPr>
              <w:t>2,500,000</w:t>
            </w:r>
          </w:p>
        </w:tc>
        <w:tc>
          <w:tcPr>
            <w:tcW w:w="995" w:type="dxa"/>
            <w:vAlign w:val="center"/>
          </w:tcPr>
          <w:p w14:paraId="5E5D8FA0" w14:textId="62607995" w:rsidR="00666B97" w:rsidRPr="00F31A3C" w:rsidRDefault="00666B97" w:rsidP="00666B97">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tcPr>
          <w:p w14:paraId="465BCE88" w14:textId="00BBEBA4" w:rsidR="00666B97" w:rsidRPr="00791AB0" w:rsidRDefault="00666B97" w:rsidP="00666B97">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Risk Fund</w:t>
            </w:r>
          </w:p>
        </w:tc>
        <w:tc>
          <w:tcPr>
            <w:tcW w:w="1351" w:type="dxa"/>
            <w:vAlign w:val="center"/>
          </w:tcPr>
          <w:p w14:paraId="4B0F1657" w14:textId="444BA022" w:rsidR="00666B97" w:rsidRPr="00791AB0" w:rsidRDefault="00666B97" w:rsidP="00666B97">
            <w:pPr>
              <w:spacing w:after="0" w:line="240" w:lineRule="auto"/>
              <w:jc w:val="right"/>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t>
            </w:r>
          </w:p>
        </w:tc>
        <w:tc>
          <w:tcPr>
            <w:tcW w:w="1134" w:type="dxa"/>
            <w:vAlign w:val="center"/>
          </w:tcPr>
          <w:p w14:paraId="1CD8E6C4" w14:textId="244B22FA" w:rsidR="00666B97" w:rsidRPr="001F5DEB" w:rsidRDefault="00666B97" w:rsidP="00666B97">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351" w:type="dxa"/>
            <w:vAlign w:val="center"/>
          </w:tcPr>
          <w:p w14:paraId="4819BAE7" w14:textId="7189A1F7" w:rsidR="00666B97" w:rsidRPr="00791AB0" w:rsidRDefault="00666B97" w:rsidP="00666B97">
            <w:pPr>
              <w:spacing w:after="0" w:line="240" w:lineRule="auto"/>
              <w:jc w:val="right"/>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t>
            </w:r>
          </w:p>
        </w:tc>
      </w:tr>
      <w:tr w:rsidR="00F4118F" w:rsidRPr="00791AB0" w14:paraId="728819D5" w14:textId="77777777" w:rsidTr="00F245FC">
        <w:trPr>
          <w:trHeight w:val="520"/>
        </w:trPr>
        <w:tc>
          <w:tcPr>
            <w:tcW w:w="1239" w:type="dxa"/>
            <w:vAlign w:val="center"/>
            <w:hideMark/>
          </w:tcPr>
          <w:p w14:paraId="3126D9FF" w14:textId="66C3E982" w:rsidR="00F4118F" w:rsidRPr="00791AB0" w:rsidRDefault="00666B97"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1128" w:type="dxa"/>
            <w:noWrap/>
            <w:vAlign w:val="center"/>
            <w:hideMark/>
          </w:tcPr>
          <w:p w14:paraId="3A85C69B" w14:textId="26808130"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39210046" w14:textId="6DAA7FAE" w:rsidR="00F4118F" w:rsidRPr="00791AB0" w:rsidRDefault="00666B97" w:rsidP="00F4118F">
            <w:pPr>
              <w:spacing w:after="0" w:line="240" w:lineRule="auto"/>
              <w:jc w:val="right"/>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c>
          <w:tcPr>
            <w:tcW w:w="995" w:type="dxa"/>
            <w:vAlign w:val="center"/>
            <w:hideMark/>
          </w:tcPr>
          <w:p w14:paraId="421460B6" w14:textId="697F8852" w:rsidR="00F4118F" w:rsidRPr="00791AB0" w:rsidRDefault="00F4118F" w:rsidP="00F4118F">
            <w:pPr>
              <w:spacing w:after="0" w:line="240" w:lineRule="auto"/>
              <w:jc w:val="right"/>
              <w:rPr>
                <w:rFonts w:ascii="Arial" w:eastAsia="Times New Roman" w:hAnsi="Arial" w:cs="Arial"/>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22CEF372" w14:textId="77777777" w:rsidR="00F4118F" w:rsidRPr="00791AB0" w:rsidRDefault="00F4118F" w:rsidP="00F4118F">
            <w:pPr>
              <w:spacing w:after="0" w:line="240" w:lineRule="auto"/>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xml:space="preserve">Uncommitted Reserves </w:t>
            </w:r>
          </w:p>
        </w:tc>
        <w:tc>
          <w:tcPr>
            <w:tcW w:w="1351" w:type="dxa"/>
            <w:vAlign w:val="center"/>
            <w:hideMark/>
          </w:tcPr>
          <w:p w14:paraId="785E2145"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(7,704,110)</w:t>
            </w:r>
          </w:p>
        </w:tc>
        <w:tc>
          <w:tcPr>
            <w:tcW w:w="1134" w:type="dxa"/>
            <w:vAlign w:val="center"/>
            <w:hideMark/>
          </w:tcPr>
          <w:p w14:paraId="4E2F517F" w14:textId="4E764A6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085651AD"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(7,704,110)</w:t>
            </w:r>
          </w:p>
        </w:tc>
      </w:tr>
      <w:tr w:rsidR="00F4118F" w:rsidRPr="00791AB0" w14:paraId="65602D2E" w14:textId="77777777" w:rsidTr="00F245FC">
        <w:trPr>
          <w:trHeight w:val="300"/>
        </w:trPr>
        <w:tc>
          <w:tcPr>
            <w:tcW w:w="1239" w:type="dxa"/>
            <w:vAlign w:val="center"/>
            <w:hideMark/>
          </w:tcPr>
          <w:p w14:paraId="643D6092"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(9,834,836)</w:t>
            </w:r>
          </w:p>
        </w:tc>
        <w:tc>
          <w:tcPr>
            <w:tcW w:w="1128" w:type="dxa"/>
            <w:vAlign w:val="center"/>
            <w:hideMark/>
          </w:tcPr>
          <w:p w14:paraId="21AEBBB3" w14:textId="413B3EF6"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42116D">
              <w:rPr>
                <w:rFonts w:ascii="Arial" w:eastAsia="Times New Roman" w:hAnsi="Arial" w:cs="Arial"/>
                <w:color w:val="000000"/>
                <w:sz w:val="18"/>
                <w:szCs w:val="18"/>
                <w:lang w:eastAsia="en-GB"/>
              </w:rPr>
              <w:t>-</w:t>
            </w:r>
          </w:p>
        </w:tc>
        <w:tc>
          <w:tcPr>
            <w:tcW w:w="1134" w:type="dxa"/>
            <w:vAlign w:val="center"/>
            <w:hideMark/>
          </w:tcPr>
          <w:p w14:paraId="476382C4"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9,834,836</w:t>
            </w:r>
          </w:p>
        </w:tc>
        <w:tc>
          <w:tcPr>
            <w:tcW w:w="995" w:type="dxa"/>
            <w:vAlign w:val="center"/>
            <w:hideMark/>
          </w:tcPr>
          <w:p w14:paraId="4F9C70A5" w14:textId="264CAB45"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F31A3C">
              <w:rPr>
                <w:rFonts w:ascii="Arial" w:eastAsia="Times New Roman" w:hAnsi="Arial" w:cs="Arial"/>
                <w:color w:val="000000"/>
                <w:sz w:val="18"/>
                <w:szCs w:val="18"/>
                <w:lang w:eastAsia="en-GB"/>
              </w:rPr>
              <w:t>-</w:t>
            </w:r>
          </w:p>
        </w:tc>
        <w:tc>
          <w:tcPr>
            <w:tcW w:w="1548" w:type="dxa"/>
            <w:vAlign w:val="center"/>
            <w:hideMark/>
          </w:tcPr>
          <w:p w14:paraId="3F9A42CF" w14:textId="77777777" w:rsidR="00F4118F" w:rsidRPr="00791AB0" w:rsidRDefault="00F4118F" w:rsidP="00F4118F">
            <w:pPr>
              <w:spacing w:after="0" w:line="240" w:lineRule="auto"/>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 xml:space="preserve">General Fund </w:t>
            </w:r>
          </w:p>
        </w:tc>
        <w:tc>
          <w:tcPr>
            <w:tcW w:w="1351" w:type="dxa"/>
            <w:vAlign w:val="center"/>
            <w:hideMark/>
          </w:tcPr>
          <w:p w14:paraId="1C01C303"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(11,231,419)</w:t>
            </w:r>
          </w:p>
        </w:tc>
        <w:tc>
          <w:tcPr>
            <w:tcW w:w="1134" w:type="dxa"/>
            <w:vAlign w:val="center"/>
            <w:hideMark/>
          </w:tcPr>
          <w:p w14:paraId="0AA30C54" w14:textId="4C173BC3"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1F5DEB">
              <w:rPr>
                <w:rFonts w:ascii="Arial" w:eastAsia="Times New Roman" w:hAnsi="Arial" w:cs="Arial"/>
                <w:color w:val="000000"/>
                <w:sz w:val="18"/>
                <w:szCs w:val="18"/>
                <w:lang w:eastAsia="en-GB"/>
              </w:rPr>
              <w:t>-</w:t>
            </w:r>
          </w:p>
        </w:tc>
        <w:tc>
          <w:tcPr>
            <w:tcW w:w="1351" w:type="dxa"/>
            <w:vAlign w:val="center"/>
            <w:hideMark/>
          </w:tcPr>
          <w:p w14:paraId="2C1CBBDF" w14:textId="77777777" w:rsidR="00F4118F" w:rsidRPr="00791AB0" w:rsidRDefault="00F4118F" w:rsidP="00F4118F">
            <w:pPr>
              <w:spacing w:after="0" w:line="240" w:lineRule="auto"/>
              <w:jc w:val="right"/>
              <w:rPr>
                <w:rFonts w:ascii="Arial" w:eastAsia="Times New Roman" w:hAnsi="Arial" w:cs="Arial"/>
                <w:b/>
                <w:bCs/>
                <w:color w:val="000000"/>
                <w:sz w:val="18"/>
                <w:szCs w:val="18"/>
                <w:lang w:eastAsia="en-GB"/>
              </w:rPr>
            </w:pPr>
            <w:r w:rsidRPr="00791AB0">
              <w:rPr>
                <w:rFonts w:ascii="Arial" w:eastAsia="Times New Roman" w:hAnsi="Arial" w:cs="Arial"/>
                <w:b/>
                <w:bCs/>
                <w:color w:val="000000"/>
                <w:sz w:val="18"/>
                <w:szCs w:val="18"/>
                <w:lang w:eastAsia="en-GB"/>
              </w:rPr>
              <w:t>(11,231,419)</w:t>
            </w:r>
          </w:p>
        </w:tc>
      </w:tr>
    </w:tbl>
    <w:p w14:paraId="29719D91" w14:textId="0CEF93EC" w:rsidR="00E34552" w:rsidRDefault="00E34552" w:rsidP="00E34552">
      <w:pPr>
        <w:pStyle w:val="ListParagraph"/>
        <w:spacing w:after="0" w:line="240" w:lineRule="auto"/>
        <w:ind w:left="1440"/>
        <w:outlineLvl w:val="2"/>
        <w:rPr>
          <w:rFonts w:ascii="Arial" w:hAnsi="Arial" w:cs="Arial"/>
          <w:b/>
          <w:sz w:val="20"/>
          <w:szCs w:val="20"/>
          <w:u w:val="single"/>
        </w:rPr>
      </w:pPr>
    </w:p>
    <w:p w14:paraId="5E0A8AB7" w14:textId="77777777" w:rsidR="00E34552" w:rsidRDefault="00E34552">
      <w:pPr>
        <w:spacing w:after="0" w:line="240" w:lineRule="auto"/>
        <w:rPr>
          <w:rFonts w:ascii="Arial" w:hAnsi="Arial" w:cs="Arial"/>
          <w:b/>
          <w:sz w:val="20"/>
          <w:szCs w:val="20"/>
          <w:u w:val="single"/>
        </w:rPr>
      </w:pPr>
      <w:r>
        <w:rPr>
          <w:rFonts w:ascii="Arial" w:hAnsi="Arial" w:cs="Arial"/>
          <w:b/>
          <w:sz w:val="20"/>
          <w:szCs w:val="20"/>
          <w:u w:val="single"/>
        </w:rPr>
        <w:br w:type="page"/>
      </w:r>
    </w:p>
    <w:p w14:paraId="54BC4B95" w14:textId="0B21C43A" w:rsidR="00E83030" w:rsidRPr="00C9207C" w:rsidRDefault="41A1B9DF" w:rsidP="006D5013">
      <w:pPr>
        <w:pStyle w:val="ListParagraph"/>
        <w:numPr>
          <w:ilvl w:val="2"/>
          <w:numId w:val="11"/>
        </w:numPr>
        <w:spacing w:after="0" w:line="240" w:lineRule="auto"/>
        <w:outlineLvl w:val="2"/>
        <w:rPr>
          <w:rFonts w:ascii="Arial" w:hAnsi="Arial" w:cs="Arial"/>
          <w:b/>
          <w:sz w:val="20"/>
          <w:szCs w:val="20"/>
          <w:u w:val="single"/>
        </w:rPr>
      </w:pPr>
      <w:bookmarkStart w:id="49" w:name="_Toc232169364"/>
      <w:r w:rsidRPr="00C9207C">
        <w:rPr>
          <w:rFonts w:ascii="Arial" w:hAnsi="Arial" w:cs="Arial"/>
          <w:b/>
          <w:sz w:val="20"/>
          <w:szCs w:val="20"/>
          <w:u w:val="single"/>
        </w:rPr>
        <w:lastRenderedPageBreak/>
        <w:t>Agency Income and Expenditure</w:t>
      </w:r>
      <w:bookmarkEnd w:id="48"/>
      <w:bookmarkEnd w:id="49"/>
    </w:p>
    <w:p w14:paraId="56AC81B9" w14:textId="77777777" w:rsidR="00E83030" w:rsidRPr="00C9207C" w:rsidRDefault="00E83030" w:rsidP="00A51927">
      <w:pPr>
        <w:spacing w:after="0" w:line="240" w:lineRule="auto"/>
        <w:ind w:left="720"/>
        <w:rPr>
          <w:rFonts w:ascii="Arial" w:hAnsi="Arial" w:cs="Arial"/>
          <w:sz w:val="20"/>
          <w:szCs w:val="20"/>
        </w:rPr>
      </w:pPr>
    </w:p>
    <w:p w14:paraId="32F973F2" w14:textId="77777777" w:rsidR="00E83030" w:rsidRPr="00C9207C" w:rsidRDefault="00E83030" w:rsidP="00A51927">
      <w:pPr>
        <w:spacing w:after="0" w:line="240" w:lineRule="auto"/>
        <w:rPr>
          <w:rFonts w:ascii="Arial" w:hAnsi="Arial" w:cs="Arial"/>
          <w:sz w:val="20"/>
          <w:szCs w:val="20"/>
        </w:rPr>
      </w:pPr>
      <w:r w:rsidRPr="00C9207C">
        <w:rPr>
          <w:rFonts w:ascii="Arial" w:hAnsi="Arial" w:cs="Arial"/>
          <w:sz w:val="20"/>
          <w:szCs w:val="20"/>
        </w:rPr>
        <w:t xml:space="preserve">On behalf of all IJBs within the NHS Grampian area, the IJB acts as the lead manager for </w:t>
      </w:r>
      <w:r w:rsidR="008044FE" w:rsidRPr="00C9207C">
        <w:rPr>
          <w:rFonts w:ascii="Arial" w:hAnsi="Arial" w:cs="Arial"/>
          <w:sz w:val="20"/>
          <w:szCs w:val="20"/>
        </w:rPr>
        <w:t>Sexual Health Service</w:t>
      </w:r>
      <w:r w:rsidR="00466C65" w:rsidRPr="00C9207C">
        <w:rPr>
          <w:rFonts w:ascii="Arial" w:hAnsi="Arial" w:cs="Arial"/>
          <w:sz w:val="20"/>
          <w:szCs w:val="20"/>
        </w:rPr>
        <w:t>s</w:t>
      </w:r>
      <w:r w:rsidR="008044FE" w:rsidRPr="00C9207C">
        <w:rPr>
          <w:rFonts w:ascii="Arial" w:hAnsi="Arial" w:cs="Arial"/>
          <w:sz w:val="20"/>
          <w:szCs w:val="20"/>
        </w:rPr>
        <w:t xml:space="preserve"> and Woodend Rehabilitation Services.</w:t>
      </w:r>
      <w:r w:rsidRPr="00C9207C">
        <w:rPr>
          <w:rFonts w:ascii="Arial" w:hAnsi="Arial" w:cs="Arial"/>
          <w:sz w:val="20"/>
          <w:szCs w:val="20"/>
        </w:rPr>
        <w:t xml:space="preserve"> It commissions services on behalf of the other IJBs and reclaims the costs involved. The payments that are made on behalf of the other IJBs, and the consequential reimbursement, are not included in the Comprehensive Income and Expenditure Statement (CIES) since the IJB is not acting as principal in these transactions. </w:t>
      </w:r>
    </w:p>
    <w:p w14:paraId="26E1C74F" w14:textId="77777777" w:rsidR="00E83030" w:rsidRPr="00C9207C" w:rsidRDefault="00E83030" w:rsidP="00A51927">
      <w:pPr>
        <w:spacing w:after="0" w:line="240" w:lineRule="auto"/>
        <w:rPr>
          <w:rFonts w:ascii="Arial" w:hAnsi="Arial" w:cs="Arial"/>
          <w:sz w:val="20"/>
          <w:szCs w:val="20"/>
        </w:rPr>
      </w:pPr>
    </w:p>
    <w:p w14:paraId="49FA1661" w14:textId="654C902C" w:rsidR="00E83030" w:rsidRPr="00C9207C" w:rsidRDefault="00E83030" w:rsidP="00A51927">
      <w:pPr>
        <w:spacing w:after="0" w:line="240" w:lineRule="auto"/>
        <w:rPr>
          <w:rFonts w:ascii="Arial" w:hAnsi="Arial" w:cs="Arial"/>
          <w:sz w:val="20"/>
          <w:szCs w:val="20"/>
        </w:rPr>
      </w:pPr>
      <w:r w:rsidRPr="00C9207C">
        <w:rPr>
          <w:rFonts w:ascii="Arial" w:hAnsi="Arial" w:cs="Arial"/>
          <w:sz w:val="20"/>
          <w:szCs w:val="20"/>
        </w:rPr>
        <w:t>The amount of expenditure and income relating to the</w:t>
      </w:r>
      <w:r w:rsidR="00466C65" w:rsidRPr="00C9207C">
        <w:rPr>
          <w:rFonts w:ascii="Arial" w:hAnsi="Arial" w:cs="Arial"/>
          <w:sz w:val="20"/>
          <w:szCs w:val="20"/>
        </w:rPr>
        <w:t xml:space="preserve"> Sexual Health Services</w:t>
      </w:r>
      <w:r w:rsidRPr="00C9207C">
        <w:rPr>
          <w:rFonts w:ascii="Arial" w:hAnsi="Arial" w:cs="Arial"/>
          <w:sz w:val="20"/>
          <w:szCs w:val="20"/>
        </w:rPr>
        <w:t xml:space="preserve"> agency arrangement is shown below. </w:t>
      </w:r>
    </w:p>
    <w:p w14:paraId="54EA7BF8" w14:textId="77777777" w:rsidR="00C16D61" w:rsidRPr="00C9207C" w:rsidRDefault="00C16D61" w:rsidP="00A51927">
      <w:pPr>
        <w:spacing w:after="0" w:line="240" w:lineRule="auto"/>
        <w:rPr>
          <w:rFonts w:ascii="Arial" w:hAnsi="Arial" w:cs="Arial"/>
          <w:sz w:val="20"/>
          <w:szCs w:val="20"/>
          <w:highlight w:val="yellow"/>
        </w:rPr>
      </w:pPr>
    </w:p>
    <w:tbl>
      <w:tblPr>
        <w:tblW w:w="894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36"/>
        <w:gridCol w:w="5196"/>
        <w:gridCol w:w="1916"/>
      </w:tblGrid>
      <w:tr w:rsidR="00525125" w:rsidRPr="00C9207C" w14:paraId="43C6B997" w14:textId="77777777" w:rsidTr="0001349E">
        <w:trPr>
          <w:trHeight w:val="260"/>
        </w:trPr>
        <w:tc>
          <w:tcPr>
            <w:tcW w:w="1836" w:type="dxa"/>
            <w:tcBorders>
              <w:top w:val="single" w:sz="4" w:space="0" w:color="auto"/>
              <w:left w:val="single" w:sz="4" w:space="0" w:color="auto"/>
              <w:bottom w:val="nil"/>
              <w:right w:val="single" w:sz="4" w:space="0" w:color="auto"/>
            </w:tcBorders>
            <w:noWrap/>
            <w:vAlign w:val="center"/>
            <w:hideMark/>
          </w:tcPr>
          <w:p w14:paraId="56DE47AD" w14:textId="04A731BE" w:rsidR="00525125" w:rsidRPr="00C9207C" w:rsidRDefault="00F012F8" w:rsidP="0052512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2024/25</w:t>
            </w:r>
          </w:p>
        </w:tc>
        <w:tc>
          <w:tcPr>
            <w:tcW w:w="5196" w:type="dxa"/>
            <w:tcBorders>
              <w:top w:val="single" w:sz="4" w:space="0" w:color="auto"/>
              <w:left w:val="single" w:sz="4" w:space="0" w:color="auto"/>
              <w:bottom w:val="nil"/>
              <w:right w:val="single" w:sz="4" w:space="0" w:color="auto"/>
            </w:tcBorders>
            <w:noWrap/>
            <w:vAlign w:val="center"/>
            <w:hideMark/>
          </w:tcPr>
          <w:p w14:paraId="2870A7F1" w14:textId="77777777" w:rsidR="00525125" w:rsidRPr="00C9207C" w:rsidRDefault="00525125" w:rsidP="00525125">
            <w:pPr>
              <w:spacing w:after="0" w:line="240" w:lineRule="auto"/>
              <w:jc w:val="right"/>
              <w:rPr>
                <w:rFonts w:ascii="Arial" w:eastAsia="Times New Roman" w:hAnsi="Arial" w:cs="Arial"/>
                <w:b/>
                <w:bCs/>
                <w:color w:val="000000"/>
                <w:sz w:val="20"/>
                <w:szCs w:val="20"/>
                <w:lang w:eastAsia="en-GB"/>
              </w:rPr>
            </w:pPr>
          </w:p>
        </w:tc>
        <w:tc>
          <w:tcPr>
            <w:tcW w:w="1916" w:type="dxa"/>
            <w:tcBorders>
              <w:top w:val="single" w:sz="4" w:space="0" w:color="auto"/>
              <w:left w:val="single" w:sz="4" w:space="0" w:color="auto"/>
              <w:bottom w:val="nil"/>
              <w:right w:val="single" w:sz="4" w:space="0" w:color="auto"/>
            </w:tcBorders>
            <w:noWrap/>
            <w:vAlign w:val="bottom"/>
            <w:hideMark/>
          </w:tcPr>
          <w:p w14:paraId="04E79834" w14:textId="7F1253AD" w:rsidR="00525125" w:rsidRPr="00C9207C" w:rsidRDefault="00F012F8" w:rsidP="0052512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2025/26</w:t>
            </w:r>
          </w:p>
        </w:tc>
      </w:tr>
      <w:tr w:rsidR="00C16D61" w:rsidRPr="00C9207C" w14:paraId="50B3304E" w14:textId="77777777" w:rsidTr="0001349E">
        <w:trPr>
          <w:trHeight w:val="260"/>
        </w:trPr>
        <w:tc>
          <w:tcPr>
            <w:tcW w:w="1836" w:type="dxa"/>
            <w:tcBorders>
              <w:top w:val="nil"/>
              <w:left w:val="single" w:sz="4" w:space="0" w:color="auto"/>
              <w:bottom w:val="single" w:sz="4" w:space="0" w:color="auto"/>
              <w:right w:val="single" w:sz="4" w:space="0" w:color="auto"/>
            </w:tcBorders>
            <w:noWrap/>
            <w:vAlign w:val="bottom"/>
            <w:hideMark/>
          </w:tcPr>
          <w:p w14:paraId="39CAA043" w14:textId="77777777" w:rsidR="00C16D61" w:rsidRPr="00C9207C" w:rsidRDefault="00C16D61" w:rsidP="00C16D6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5196" w:type="dxa"/>
            <w:tcBorders>
              <w:top w:val="nil"/>
              <w:left w:val="single" w:sz="4" w:space="0" w:color="auto"/>
              <w:bottom w:val="single" w:sz="4" w:space="0" w:color="auto"/>
              <w:right w:val="single" w:sz="4" w:space="0" w:color="auto"/>
            </w:tcBorders>
            <w:noWrap/>
            <w:vAlign w:val="bottom"/>
            <w:hideMark/>
          </w:tcPr>
          <w:p w14:paraId="2D72EBFA" w14:textId="77777777" w:rsidR="00C16D61" w:rsidRPr="00C9207C" w:rsidRDefault="00C16D61" w:rsidP="00C16D61">
            <w:pPr>
              <w:spacing w:after="0" w:line="240" w:lineRule="auto"/>
              <w:jc w:val="right"/>
              <w:rPr>
                <w:rFonts w:ascii="Arial" w:eastAsia="Times New Roman" w:hAnsi="Arial" w:cs="Arial"/>
                <w:b/>
                <w:bCs/>
                <w:color w:val="000000"/>
                <w:sz w:val="20"/>
                <w:szCs w:val="20"/>
                <w:lang w:eastAsia="en-GB"/>
              </w:rPr>
            </w:pPr>
          </w:p>
        </w:tc>
        <w:tc>
          <w:tcPr>
            <w:tcW w:w="1916" w:type="dxa"/>
            <w:tcBorders>
              <w:top w:val="nil"/>
              <w:left w:val="single" w:sz="4" w:space="0" w:color="auto"/>
              <w:bottom w:val="single" w:sz="4" w:space="0" w:color="auto"/>
              <w:right w:val="single" w:sz="4" w:space="0" w:color="auto"/>
            </w:tcBorders>
            <w:noWrap/>
            <w:vAlign w:val="bottom"/>
            <w:hideMark/>
          </w:tcPr>
          <w:p w14:paraId="2CD3B428" w14:textId="77777777" w:rsidR="00C16D61" w:rsidRPr="00C9207C" w:rsidRDefault="00C16D61" w:rsidP="00C16D6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C16D61" w:rsidRPr="00C9207C" w14:paraId="182B5EDA" w14:textId="77777777" w:rsidTr="0001349E">
        <w:trPr>
          <w:trHeight w:val="250"/>
        </w:trPr>
        <w:tc>
          <w:tcPr>
            <w:tcW w:w="1836" w:type="dxa"/>
            <w:tcBorders>
              <w:top w:val="single" w:sz="4" w:space="0" w:color="auto"/>
              <w:left w:val="single" w:sz="4" w:space="0" w:color="auto"/>
              <w:bottom w:val="nil"/>
              <w:right w:val="single" w:sz="4" w:space="0" w:color="auto"/>
            </w:tcBorders>
            <w:noWrap/>
            <w:vAlign w:val="bottom"/>
            <w:hideMark/>
          </w:tcPr>
          <w:p w14:paraId="05510F02" w14:textId="77777777" w:rsidR="00C16D61" w:rsidRPr="00C9207C" w:rsidRDefault="00C16D61" w:rsidP="00C16D6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1,977,596</w:t>
            </w:r>
          </w:p>
        </w:tc>
        <w:tc>
          <w:tcPr>
            <w:tcW w:w="5196" w:type="dxa"/>
            <w:tcBorders>
              <w:top w:val="single" w:sz="4" w:space="0" w:color="auto"/>
              <w:left w:val="single" w:sz="4" w:space="0" w:color="auto"/>
              <w:bottom w:val="nil"/>
              <w:right w:val="single" w:sz="4" w:space="0" w:color="auto"/>
            </w:tcBorders>
            <w:noWrap/>
            <w:vAlign w:val="bottom"/>
            <w:hideMark/>
          </w:tcPr>
          <w:p w14:paraId="11B97E12" w14:textId="77777777" w:rsidR="00C16D61" w:rsidRPr="00C9207C" w:rsidRDefault="00C16D61" w:rsidP="00C16D61">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Expenditure on Agency Services</w:t>
            </w:r>
          </w:p>
        </w:tc>
        <w:tc>
          <w:tcPr>
            <w:tcW w:w="1916" w:type="dxa"/>
            <w:tcBorders>
              <w:top w:val="single" w:sz="4" w:space="0" w:color="auto"/>
              <w:left w:val="single" w:sz="4" w:space="0" w:color="auto"/>
              <w:bottom w:val="nil"/>
              <w:right w:val="single" w:sz="4" w:space="0" w:color="auto"/>
            </w:tcBorders>
            <w:noWrap/>
            <w:vAlign w:val="bottom"/>
            <w:hideMark/>
          </w:tcPr>
          <w:p w14:paraId="142630D0" w14:textId="77777777" w:rsidR="00C16D61" w:rsidRPr="00A67AEB" w:rsidRDefault="00C16D61" w:rsidP="00C16D61">
            <w:pPr>
              <w:spacing w:after="0" w:line="240" w:lineRule="auto"/>
              <w:jc w:val="right"/>
              <w:rPr>
                <w:rFonts w:ascii="Arial" w:eastAsia="Times New Roman" w:hAnsi="Arial" w:cs="Arial"/>
                <w:b/>
                <w:bCs/>
                <w:color w:val="000000"/>
                <w:sz w:val="20"/>
                <w:szCs w:val="20"/>
                <w:lang w:eastAsia="en-GB"/>
              </w:rPr>
            </w:pPr>
            <w:r w:rsidRPr="00A67AEB">
              <w:rPr>
                <w:rFonts w:ascii="Arial" w:eastAsia="Times New Roman" w:hAnsi="Arial" w:cs="Arial"/>
                <w:b/>
                <w:bCs/>
                <w:color w:val="000000"/>
                <w:sz w:val="20"/>
                <w:szCs w:val="20"/>
                <w:lang w:eastAsia="en-GB"/>
              </w:rPr>
              <w:t>2,118,947</w:t>
            </w:r>
          </w:p>
        </w:tc>
      </w:tr>
      <w:tr w:rsidR="00C16D61" w:rsidRPr="00C9207C" w14:paraId="154E5EB9" w14:textId="77777777" w:rsidTr="0001349E">
        <w:trPr>
          <w:trHeight w:val="250"/>
        </w:trPr>
        <w:tc>
          <w:tcPr>
            <w:tcW w:w="1836" w:type="dxa"/>
            <w:tcBorders>
              <w:top w:val="nil"/>
              <w:left w:val="single" w:sz="4" w:space="0" w:color="auto"/>
              <w:bottom w:val="single" w:sz="4" w:space="0" w:color="auto"/>
              <w:right w:val="single" w:sz="4" w:space="0" w:color="auto"/>
            </w:tcBorders>
            <w:vAlign w:val="center"/>
            <w:hideMark/>
          </w:tcPr>
          <w:p w14:paraId="52E28904" w14:textId="77777777" w:rsidR="00C16D61" w:rsidRPr="00C9207C" w:rsidRDefault="00C16D61" w:rsidP="00C16D6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(1,977,596)</w:t>
            </w:r>
          </w:p>
        </w:tc>
        <w:tc>
          <w:tcPr>
            <w:tcW w:w="5196" w:type="dxa"/>
            <w:tcBorders>
              <w:top w:val="nil"/>
              <w:left w:val="single" w:sz="4" w:space="0" w:color="auto"/>
              <w:bottom w:val="single" w:sz="4" w:space="0" w:color="auto"/>
              <w:right w:val="single" w:sz="4" w:space="0" w:color="auto"/>
            </w:tcBorders>
            <w:noWrap/>
            <w:vAlign w:val="bottom"/>
            <w:hideMark/>
          </w:tcPr>
          <w:p w14:paraId="57AF44A7" w14:textId="77777777" w:rsidR="00C16D61" w:rsidRPr="00C9207C" w:rsidRDefault="00C16D61" w:rsidP="00C16D61">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Reimbursement for Agency Services</w:t>
            </w:r>
          </w:p>
        </w:tc>
        <w:tc>
          <w:tcPr>
            <w:tcW w:w="1916" w:type="dxa"/>
            <w:tcBorders>
              <w:top w:val="nil"/>
              <w:left w:val="single" w:sz="4" w:space="0" w:color="auto"/>
              <w:bottom w:val="single" w:sz="4" w:space="0" w:color="auto"/>
              <w:right w:val="single" w:sz="4" w:space="0" w:color="auto"/>
            </w:tcBorders>
            <w:vAlign w:val="center"/>
            <w:hideMark/>
          </w:tcPr>
          <w:p w14:paraId="79E9B193" w14:textId="77777777" w:rsidR="00C16D61" w:rsidRPr="00A67AEB" w:rsidRDefault="00C16D61" w:rsidP="00C16D61">
            <w:pPr>
              <w:spacing w:after="0" w:line="240" w:lineRule="auto"/>
              <w:jc w:val="right"/>
              <w:rPr>
                <w:rFonts w:ascii="Arial" w:eastAsia="Times New Roman" w:hAnsi="Arial" w:cs="Arial"/>
                <w:b/>
                <w:bCs/>
                <w:color w:val="000000"/>
                <w:sz w:val="20"/>
                <w:szCs w:val="20"/>
                <w:lang w:eastAsia="en-GB"/>
              </w:rPr>
            </w:pPr>
            <w:r w:rsidRPr="00A67AEB">
              <w:rPr>
                <w:rFonts w:ascii="Arial" w:eastAsia="Times New Roman" w:hAnsi="Arial" w:cs="Arial"/>
                <w:b/>
                <w:bCs/>
                <w:color w:val="000000"/>
                <w:sz w:val="20"/>
                <w:szCs w:val="20"/>
                <w:lang w:eastAsia="en-GB"/>
              </w:rPr>
              <w:t>(2,118,947)</w:t>
            </w:r>
          </w:p>
        </w:tc>
      </w:tr>
      <w:tr w:rsidR="00C16D61" w:rsidRPr="00C9207C" w14:paraId="08C33A2A" w14:textId="77777777" w:rsidTr="0001349E">
        <w:trPr>
          <w:trHeight w:val="270"/>
        </w:trPr>
        <w:tc>
          <w:tcPr>
            <w:tcW w:w="1836" w:type="dxa"/>
            <w:tcBorders>
              <w:top w:val="single" w:sz="4" w:space="0" w:color="auto"/>
              <w:left w:val="single" w:sz="4" w:space="0" w:color="auto"/>
              <w:bottom w:val="single" w:sz="4" w:space="0" w:color="auto"/>
              <w:right w:val="single" w:sz="4" w:space="0" w:color="auto"/>
            </w:tcBorders>
            <w:noWrap/>
            <w:vAlign w:val="bottom"/>
            <w:hideMark/>
          </w:tcPr>
          <w:p w14:paraId="1117E765" w14:textId="53CB7ADF" w:rsidR="00C16D61" w:rsidRPr="00C9207C" w:rsidRDefault="0001349E" w:rsidP="00C16D61">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5196" w:type="dxa"/>
            <w:tcBorders>
              <w:top w:val="single" w:sz="4" w:space="0" w:color="auto"/>
              <w:left w:val="single" w:sz="4" w:space="0" w:color="auto"/>
              <w:bottom w:val="single" w:sz="4" w:space="0" w:color="auto"/>
              <w:right w:val="single" w:sz="4" w:space="0" w:color="auto"/>
            </w:tcBorders>
            <w:vAlign w:val="center"/>
            <w:hideMark/>
          </w:tcPr>
          <w:p w14:paraId="5D14B687" w14:textId="77777777" w:rsidR="00C16D61" w:rsidRPr="00C9207C" w:rsidRDefault="00C16D61" w:rsidP="00C16D61">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Agency Expenditure excluded from the CIES</w:t>
            </w:r>
          </w:p>
        </w:tc>
        <w:tc>
          <w:tcPr>
            <w:tcW w:w="1916" w:type="dxa"/>
            <w:tcBorders>
              <w:top w:val="single" w:sz="4" w:space="0" w:color="auto"/>
              <w:left w:val="single" w:sz="4" w:space="0" w:color="auto"/>
              <w:bottom w:val="single" w:sz="4" w:space="0" w:color="auto"/>
              <w:right w:val="single" w:sz="4" w:space="0" w:color="auto"/>
            </w:tcBorders>
            <w:noWrap/>
            <w:vAlign w:val="bottom"/>
            <w:hideMark/>
          </w:tcPr>
          <w:p w14:paraId="7EAB32A7" w14:textId="67050B88" w:rsidR="00C16D61" w:rsidRPr="00A67AEB" w:rsidRDefault="0001349E" w:rsidP="00C16D61">
            <w:pPr>
              <w:spacing w:after="0" w:line="240" w:lineRule="auto"/>
              <w:jc w:val="right"/>
              <w:rPr>
                <w:rFonts w:ascii="Arial" w:eastAsia="Times New Roman" w:hAnsi="Arial" w:cs="Arial"/>
                <w:b/>
                <w:bCs/>
                <w:color w:val="000000"/>
                <w:sz w:val="20"/>
                <w:szCs w:val="20"/>
                <w:lang w:eastAsia="en-GB"/>
              </w:rPr>
            </w:pPr>
            <w:r w:rsidRPr="00A67AEB">
              <w:rPr>
                <w:rFonts w:ascii="Arial" w:eastAsia="Times New Roman" w:hAnsi="Arial" w:cs="Arial"/>
                <w:b/>
                <w:bCs/>
                <w:color w:val="000000"/>
                <w:sz w:val="20"/>
                <w:szCs w:val="20"/>
                <w:lang w:eastAsia="en-GB"/>
              </w:rPr>
              <w:t>-</w:t>
            </w:r>
          </w:p>
        </w:tc>
      </w:tr>
    </w:tbl>
    <w:p w14:paraId="790A51B9" w14:textId="77777777" w:rsidR="00C16D61" w:rsidRPr="00C9207C" w:rsidRDefault="00C16D61" w:rsidP="00A51927">
      <w:pPr>
        <w:spacing w:after="0" w:line="240" w:lineRule="auto"/>
        <w:rPr>
          <w:rFonts w:ascii="Arial" w:hAnsi="Arial" w:cs="Arial"/>
          <w:sz w:val="20"/>
          <w:szCs w:val="20"/>
          <w:highlight w:val="yellow"/>
        </w:rPr>
      </w:pPr>
    </w:p>
    <w:p w14:paraId="50CC5EAD" w14:textId="2FC310CA" w:rsidR="00466C65" w:rsidRPr="00C9207C" w:rsidRDefault="00466C65" w:rsidP="00A51927">
      <w:pPr>
        <w:spacing w:after="0" w:line="240" w:lineRule="auto"/>
        <w:rPr>
          <w:rFonts w:ascii="Arial" w:hAnsi="Arial" w:cs="Arial"/>
          <w:sz w:val="20"/>
          <w:szCs w:val="20"/>
        </w:rPr>
      </w:pPr>
      <w:r w:rsidRPr="00C9207C">
        <w:rPr>
          <w:rFonts w:ascii="Arial" w:hAnsi="Arial" w:cs="Arial"/>
          <w:sz w:val="20"/>
          <w:szCs w:val="20"/>
        </w:rPr>
        <w:t xml:space="preserve">The amount of expenditure and income relating to the Woodend Rehabilitation Services agency arrangement is shown below. </w:t>
      </w:r>
    </w:p>
    <w:p w14:paraId="4B58F753" w14:textId="77777777" w:rsidR="00466C65" w:rsidRPr="00C9207C" w:rsidRDefault="00466C65" w:rsidP="00A51927">
      <w:pPr>
        <w:spacing w:after="0" w:line="240" w:lineRule="auto"/>
        <w:ind w:left="720"/>
        <w:rPr>
          <w:rFonts w:ascii="Arial" w:hAnsi="Arial" w:cs="Arial"/>
          <w:sz w:val="20"/>
          <w:szCs w:val="20"/>
          <w:highlight w:val="yellow"/>
        </w:rPr>
      </w:pPr>
    </w:p>
    <w:tbl>
      <w:tblPr>
        <w:tblW w:w="894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36"/>
        <w:gridCol w:w="5196"/>
        <w:gridCol w:w="1916"/>
      </w:tblGrid>
      <w:tr w:rsidR="00525125" w:rsidRPr="00C9207C" w14:paraId="2C2A83E0" w14:textId="77777777" w:rsidTr="006B25E4">
        <w:trPr>
          <w:trHeight w:val="260"/>
        </w:trPr>
        <w:tc>
          <w:tcPr>
            <w:tcW w:w="1836" w:type="dxa"/>
            <w:tcBorders>
              <w:top w:val="single" w:sz="4" w:space="0" w:color="auto"/>
              <w:left w:val="single" w:sz="4" w:space="0" w:color="auto"/>
              <w:bottom w:val="nil"/>
              <w:right w:val="single" w:sz="4" w:space="0" w:color="auto"/>
            </w:tcBorders>
            <w:noWrap/>
            <w:vAlign w:val="center"/>
            <w:hideMark/>
          </w:tcPr>
          <w:p w14:paraId="4BA86982" w14:textId="06206E79" w:rsidR="00525125" w:rsidRPr="00C9207C" w:rsidRDefault="00F012F8" w:rsidP="0052512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2024/25</w:t>
            </w:r>
          </w:p>
        </w:tc>
        <w:tc>
          <w:tcPr>
            <w:tcW w:w="5196" w:type="dxa"/>
            <w:tcBorders>
              <w:top w:val="single" w:sz="4" w:space="0" w:color="auto"/>
              <w:left w:val="single" w:sz="4" w:space="0" w:color="auto"/>
              <w:bottom w:val="nil"/>
              <w:right w:val="single" w:sz="4" w:space="0" w:color="auto"/>
            </w:tcBorders>
            <w:noWrap/>
            <w:vAlign w:val="center"/>
            <w:hideMark/>
          </w:tcPr>
          <w:p w14:paraId="16E47007" w14:textId="77777777" w:rsidR="00525125" w:rsidRPr="00C9207C" w:rsidRDefault="00525125" w:rsidP="00525125">
            <w:pPr>
              <w:spacing w:after="0" w:line="240" w:lineRule="auto"/>
              <w:jc w:val="right"/>
              <w:rPr>
                <w:rFonts w:ascii="Arial" w:eastAsia="Times New Roman" w:hAnsi="Arial" w:cs="Arial"/>
                <w:b/>
                <w:bCs/>
                <w:color w:val="000000"/>
                <w:sz w:val="20"/>
                <w:szCs w:val="20"/>
                <w:lang w:eastAsia="en-GB"/>
              </w:rPr>
            </w:pPr>
          </w:p>
        </w:tc>
        <w:tc>
          <w:tcPr>
            <w:tcW w:w="1916" w:type="dxa"/>
            <w:tcBorders>
              <w:top w:val="single" w:sz="4" w:space="0" w:color="auto"/>
              <w:left w:val="single" w:sz="4" w:space="0" w:color="auto"/>
              <w:bottom w:val="nil"/>
              <w:right w:val="single" w:sz="4" w:space="0" w:color="auto"/>
            </w:tcBorders>
            <w:noWrap/>
            <w:vAlign w:val="center"/>
            <w:hideMark/>
          </w:tcPr>
          <w:p w14:paraId="54AA812D" w14:textId="29DB17BE" w:rsidR="00525125" w:rsidRPr="00C9207C" w:rsidRDefault="00F012F8" w:rsidP="00525125">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2025/26</w:t>
            </w:r>
          </w:p>
        </w:tc>
      </w:tr>
      <w:tr w:rsidR="00611CA6" w:rsidRPr="00C9207C" w14:paraId="154C0F15" w14:textId="77777777" w:rsidTr="006B25E4">
        <w:trPr>
          <w:trHeight w:val="260"/>
        </w:trPr>
        <w:tc>
          <w:tcPr>
            <w:tcW w:w="1836" w:type="dxa"/>
            <w:tcBorders>
              <w:top w:val="nil"/>
              <w:left w:val="single" w:sz="4" w:space="0" w:color="auto"/>
              <w:bottom w:val="single" w:sz="4" w:space="0" w:color="auto"/>
              <w:right w:val="single" w:sz="4" w:space="0" w:color="auto"/>
            </w:tcBorders>
            <w:noWrap/>
            <w:vAlign w:val="center"/>
            <w:hideMark/>
          </w:tcPr>
          <w:p w14:paraId="7611EAC2" w14:textId="77777777" w:rsidR="00611CA6" w:rsidRPr="00C9207C" w:rsidRDefault="00611CA6" w:rsidP="00611CA6">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c>
          <w:tcPr>
            <w:tcW w:w="5196" w:type="dxa"/>
            <w:tcBorders>
              <w:top w:val="nil"/>
              <w:left w:val="single" w:sz="4" w:space="0" w:color="auto"/>
              <w:bottom w:val="single" w:sz="4" w:space="0" w:color="auto"/>
              <w:right w:val="single" w:sz="4" w:space="0" w:color="auto"/>
            </w:tcBorders>
            <w:noWrap/>
            <w:vAlign w:val="center"/>
            <w:hideMark/>
          </w:tcPr>
          <w:p w14:paraId="28681222" w14:textId="77777777" w:rsidR="00611CA6" w:rsidRPr="00C9207C" w:rsidRDefault="00611CA6" w:rsidP="00611CA6">
            <w:pPr>
              <w:spacing w:after="0" w:line="240" w:lineRule="auto"/>
              <w:jc w:val="right"/>
              <w:rPr>
                <w:rFonts w:ascii="Arial" w:eastAsia="Times New Roman" w:hAnsi="Arial" w:cs="Arial"/>
                <w:b/>
                <w:bCs/>
                <w:color w:val="000000"/>
                <w:sz w:val="20"/>
                <w:szCs w:val="20"/>
                <w:lang w:eastAsia="en-GB"/>
              </w:rPr>
            </w:pPr>
          </w:p>
        </w:tc>
        <w:tc>
          <w:tcPr>
            <w:tcW w:w="1916" w:type="dxa"/>
            <w:tcBorders>
              <w:top w:val="nil"/>
              <w:left w:val="single" w:sz="4" w:space="0" w:color="auto"/>
              <w:bottom w:val="single" w:sz="4" w:space="0" w:color="auto"/>
              <w:right w:val="single" w:sz="4" w:space="0" w:color="auto"/>
            </w:tcBorders>
            <w:noWrap/>
            <w:vAlign w:val="center"/>
            <w:hideMark/>
          </w:tcPr>
          <w:p w14:paraId="3B8C6D5B" w14:textId="77777777" w:rsidR="00611CA6" w:rsidRPr="00C9207C" w:rsidRDefault="00611CA6" w:rsidP="00611CA6">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611CA6" w:rsidRPr="00C9207C" w14:paraId="04D52AE6" w14:textId="77777777" w:rsidTr="006B25E4">
        <w:trPr>
          <w:trHeight w:val="250"/>
        </w:trPr>
        <w:tc>
          <w:tcPr>
            <w:tcW w:w="1836" w:type="dxa"/>
            <w:tcBorders>
              <w:top w:val="single" w:sz="4" w:space="0" w:color="auto"/>
              <w:left w:val="single" w:sz="4" w:space="0" w:color="auto"/>
              <w:bottom w:val="nil"/>
              <w:right w:val="single" w:sz="4" w:space="0" w:color="auto"/>
            </w:tcBorders>
            <w:vAlign w:val="center"/>
            <w:hideMark/>
          </w:tcPr>
          <w:p w14:paraId="21EB55FF" w14:textId="77777777" w:rsidR="00611CA6" w:rsidRPr="00C9207C" w:rsidRDefault="00611CA6" w:rsidP="00611CA6">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9,433,729</w:t>
            </w:r>
          </w:p>
        </w:tc>
        <w:tc>
          <w:tcPr>
            <w:tcW w:w="5196" w:type="dxa"/>
            <w:tcBorders>
              <w:top w:val="single" w:sz="4" w:space="0" w:color="auto"/>
              <w:left w:val="single" w:sz="4" w:space="0" w:color="auto"/>
              <w:bottom w:val="nil"/>
              <w:right w:val="single" w:sz="4" w:space="0" w:color="auto"/>
            </w:tcBorders>
            <w:vAlign w:val="center"/>
            <w:hideMark/>
          </w:tcPr>
          <w:p w14:paraId="5C4EE868" w14:textId="77777777" w:rsidR="00611CA6" w:rsidRPr="00C9207C" w:rsidRDefault="00611CA6" w:rsidP="00611CA6">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xml:space="preserve">Expenditure on Agency Services </w:t>
            </w:r>
          </w:p>
        </w:tc>
        <w:tc>
          <w:tcPr>
            <w:tcW w:w="1916" w:type="dxa"/>
            <w:tcBorders>
              <w:top w:val="single" w:sz="4" w:space="0" w:color="auto"/>
              <w:left w:val="single" w:sz="4" w:space="0" w:color="auto"/>
              <w:bottom w:val="nil"/>
              <w:right w:val="single" w:sz="4" w:space="0" w:color="auto"/>
            </w:tcBorders>
            <w:vAlign w:val="center"/>
            <w:hideMark/>
          </w:tcPr>
          <w:p w14:paraId="5A36D6A4" w14:textId="77777777" w:rsidR="00611CA6" w:rsidRPr="006B25E4" w:rsidRDefault="00611CA6" w:rsidP="00611CA6">
            <w:pPr>
              <w:spacing w:after="0" w:line="240" w:lineRule="auto"/>
              <w:jc w:val="right"/>
              <w:rPr>
                <w:rFonts w:ascii="Arial" w:eastAsia="Times New Roman" w:hAnsi="Arial" w:cs="Arial"/>
                <w:b/>
                <w:bCs/>
                <w:color w:val="000000"/>
                <w:sz w:val="20"/>
                <w:szCs w:val="20"/>
                <w:lang w:eastAsia="en-GB"/>
              </w:rPr>
            </w:pPr>
            <w:r w:rsidRPr="006B25E4">
              <w:rPr>
                <w:rFonts w:ascii="Arial" w:eastAsia="Times New Roman" w:hAnsi="Arial" w:cs="Arial"/>
                <w:b/>
                <w:bCs/>
                <w:color w:val="000000"/>
                <w:sz w:val="20"/>
                <w:szCs w:val="20"/>
                <w:lang w:eastAsia="en-GB"/>
              </w:rPr>
              <w:t>11,517,178</w:t>
            </w:r>
          </w:p>
        </w:tc>
      </w:tr>
      <w:tr w:rsidR="00611CA6" w:rsidRPr="00C9207C" w14:paraId="534EF615" w14:textId="77777777" w:rsidTr="006B25E4">
        <w:trPr>
          <w:trHeight w:val="250"/>
        </w:trPr>
        <w:tc>
          <w:tcPr>
            <w:tcW w:w="1836" w:type="dxa"/>
            <w:tcBorders>
              <w:top w:val="nil"/>
              <w:left w:val="single" w:sz="4" w:space="0" w:color="auto"/>
              <w:bottom w:val="single" w:sz="4" w:space="0" w:color="auto"/>
              <w:right w:val="single" w:sz="4" w:space="0" w:color="auto"/>
            </w:tcBorders>
            <w:vAlign w:val="center"/>
            <w:hideMark/>
          </w:tcPr>
          <w:p w14:paraId="00DB5A74" w14:textId="77777777" w:rsidR="00611CA6" w:rsidRPr="00C9207C" w:rsidRDefault="00611CA6" w:rsidP="00611CA6">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(9,433,729)</w:t>
            </w:r>
          </w:p>
        </w:tc>
        <w:tc>
          <w:tcPr>
            <w:tcW w:w="5196" w:type="dxa"/>
            <w:tcBorders>
              <w:top w:val="nil"/>
              <w:left w:val="single" w:sz="4" w:space="0" w:color="auto"/>
              <w:bottom w:val="single" w:sz="4" w:space="0" w:color="auto"/>
              <w:right w:val="single" w:sz="4" w:space="0" w:color="auto"/>
            </w:tcBorders>
            <w:vAlign w:val="center"/>
            <w:hideMark/>
          </w:tcPr>
          <w:p w14:paraId="7A29BDA6" w14:textId="77777777" w:rsidR="00611CA6" w:rsidRPr="00C9207C" w:rsidRDefault="00611CA6" w:rsidP="00611CA6">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Reimbursement for Agency Services</w:t>
            </w:r>
          </w:p>
        </w:tc>
        <w:tc>
          <w:tcPr>
            <w:tcW w:w="1916" w:type="dxa"/>
            <w:tcBorders>
              <w:top w:val="nil"/>
              <w:left w:val="single" w:sz="4" w:space="0" w:color="auto"/>
              <w:bottom w:val="single" w:sz="4" w:space="0" w:color="auto"/>
              <w:right w:val="single" w:sz="4" w:space="0" w:color="auto"/>
            </w:tcBorders>
            <w:vAlign w:val="center"/>
            <w:hideMark/>
          </w:tcPr>
          <w:p w14:paraId="2E5D7B46" w14:textId="77777777" w:rsidR="00611CA6" w:rsidRPr="006B25E4" w:rsidRDefault="00611CA6" w:rsidP="00611CA6">
            <w:pPr>
              <w:spacing w:after="0" w:line="240" w:lineRule="auto"/>
              <w:jc w:val="right"/>
              <w:rPr>
                <w:rFonts w:ascii="Arial" w:eastAsia="Times New Roman" w:hAnsi="Arial" w:cs="Arial"/>
                <w:b/>
                <w:bCs/>
                <w:color w:val="000000"/>
                <w:sz w:val="20"/>
                <w:szCs w:val="20"/>
                <w:lang w:eastAsia="en-GB"/>
              </w:rPr>
            </w:pPr>
            <w:r w:rsidRPr="006B25E4">
              <w:rPr>
                <w:rFonts w:ascii="Arial" w:eastAsia="Times New Roman" w:hAnsi="Arial" w:cs="Arial"/>
                <w:b/>
                <w:bCs/>
                <w:color w:val="000000"/>
                <w:sz w:val="20"/>
                <w:szCs w:val="20"/>
                <w:lang w:eastAsia="en-GB"/>
              </w:rPr>
              <w:t>(11,517,178)</w:t>
            </w:r>
          </w:p>
        </w:tc>
      </w:tr>
      <w:tr w:rsidR="00611CA6" w:rsidRPr="00C9207C" w14:paraId="7AA3097C" w14:textId="77777777" w:rsidTr="006B25E4">
        <w:trPr>
          <w:trHeight w:val="270"/>
        </w:trPr>
        <w:tc>
          <w:tcPr>
            <w:tcW w:w="1836" w:type="dxa"/>
            <w:tcBorders>
              <w:top w:val="single" w:sz="4" w:space="0" w:color="auto"/>
              <w:left w:val="single" w:sz="4" w:space="0" w:color="auto"/>
              <w:bottom w:val="single" w:sz="4" w:space="0" w:color="auto"/>
              <w:right w:val="single" w:sz="4" w:space="0" w:color="auto"/>
            </w:tcBorders>
            <w:vAlign w:val="center"/>
            <w:hideMark/>
          </w:tcPr>
          <w:p w14:paraId="37BCFB18" w14:textId="02E6CA2C" w:rsidR="00611CA6" w:rsidRPr="00C9207C" w:rsidRDefault="006B25E4" w:rsidP="00611CA6">
            <w:pPr>
              <w:spacing w:after="0" w:line="240" w:lineRule="auto"/>
              <w:jc w:val="right"/>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w:t>
            </w:r>
          </w:p>
        </w:tc>
        <w:tc>
          <w:tcPr>
            <w:tcW w:w="5196" w:type="dxa"/>
            <w:tcBorders>
              <w:top w:val="single" w:sz="4" w:space="0" w:color="auto"/>
              <w:left w:val="single" w:sz="4" w:space="0" w:color="auto"/>
              <w:bottom w:val="single" w:sz="4" w:space="0" w:color="auto"/>
              <w:right w:val="single" w:sz="4" w:space="0" w:color="auto"/>
            </w:tcBorders>
            <w:vAlign w:val="center"/>
            <w:hideMark/>
          </w:tcPr>
          <w:p w14:paraId="67F9939E" w14:textId="77777777" w:rsidR="00611CA6" w:rsidRPr="00C9207C" w:rsidRDefault="00611CA6" w:rsidP="00611CA6">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Agency Expenditure excluded from the CIES</w:t>
            </w:r>
          </w:p>
        </w:tc>
        <w:tc>
          <w:tcPr>
            <w:tcW w:w="1916" w:type="dxa"/>
            <w:tcBorders>
              <w:top w:val="single" w:sz="4" w:space="0" w:color="auto"/>
              <w:left w:val="single" w:sz="4" w:space="0" w:color="auto"/>
              <w:bottom w:val="single" w:sz="4" w:space="0" w:color="auto"/>
              <w:right w:val="single" w:sz="4" w:space="0" w:color="auto"/>
            </w:tcBorders>
            <w:vAlign w:val="center"/>
            <w:hideMark/>
          </w:tcPr>
          <w:p w14:paraId="6CA114AC" w14:textId="2DB08405" w:rsidR="00611CA6" w:rsidRPr="006B25E4" w:rsidRDefault="006B25E4" w:rsidP="00611CA6">
            <w:pPr>
              <w:spacing w:after="0" w:line="240" w:lineRule="auto"/>
              <w:jc w:val="right"/>
              <w:rPr>
                <w:rFonts w:ascii="Arial" w:eastAsia="Times New Roman" w:hAnsi="Arial" w:cs="Arial"/>
                <w:b/>
                <w:bCs/>
                <w:color w:val="000000"/>
                <w:sz w:val="20"/>
                <w:szCs w:val="20"/>
                <w:lang w:eastAsia="en-GB"/>
              </w:rPr>
            </w:pPr>
            <w:r w:rsidRPr="006B25E4">
              <w:rPr>
                <w:rFonts w:ascii="Arial" w:eastAsia="Times New Roman" w:hAnsi="Arial" w:cs="Arial"/>
                <w:b/>
                <w:bCs/>
                <w:color w:val="000000"/>
                <w:sz w:val="20"/>
                <w:szCs w:val="20"/>
                <w:lang w:eastAsia="en-GB"/>
              </w:rPr>
              <w:t>-</w:t>
            </w:r>
          </w:p>
        </w:tc>
      </w:tr>
    </w:tbl>
    <w:p w14:paraId="57D455F1" w14:textId="77777777" w:rsidR="00E21EEA" w:rsidRPr="00C9207C" w:rsidRDefault="00E21EEA" w:rsidP="00A51927">
      <w:pPr>
        <w:spacing w:after="0" w:line="240" w:lineRule="auto"/>
        <w:rPr>
          <w:rFonts w:ascii="Arial" w:hAnsi="Arial" w:cs="Arial"/>
          <w:sz w:val="20"/>
          <w:szCs w:val="20"/>
        </w:rPr>
      </w:pPr>
    </w:p>
    <w:p w14:paraId="6848B4FC" w14:textId="228F1F25" w:rsidR="00297EF8" w:rsidRPr="00A43CE8" w:rsidRDefault="09F258F4" w:rsidP="006D5013">
      <w:pPr>
        <w:pStyle w:val="ListParagraph"/>
        <w:numPr>
          <w:ilvl w:val="2"/>
          <w:numId w:val="11"/>
        </w:numPr>
        <w:spacing w:after="0" w:line="240" w:lineRule="auto"/>
        <w:ind w:left="720"/>
        <w:outlineLvl w:val="2"/>
        <w:rPr>
          <w:rFonts w:ascii="Arial" w:hAnsi="Arial" w:cs="Arial"/>
          <w:b/>
          <w:sz w:val="20"/>
          <w:szCs w:val="20"/>
        </w:rPr>
      </w:pPr>
      <w:bookmarkStart w:id="50" w:name="_Toc11249445"/>
      <w:bookmarkStart w:id="51" w:name="_Toc232169365"/>
      <w:r w:rsidRPr="00A43CE8">
        <w:rPr>
          <w:rFonts w:ascii="Arial" w:hAnsi="Arial" w:cs="Arial"/>
          <w:b/>
          <w:sz w:val="20"/>
          <w:szCs w:val="20"/>
          <w:u w:val="single"/>
        </w:rPr>
        <w:t>Related Part</w:t>
      </w:r>
      <w:r w:rsidR="2EA11E53" w:rsidRPr="00A43CE8">
        <w:rPr>
          <w:rFonts w:ascii="Arial" w:hAnsi="Arial" w:cs="Arial"/>
          <w:b/>
          <w:sz w:val="20"/>
          <w:szCs w:val="20"/>
          <w:u w:val="single"/>
        </w:rPr>
        <w:t>y Transactions</w:t>
      </w:r>
      <w:bookmarkEnd w:id="50"/>
      <w:bookmarkEnd w:id="51"/>
    </w:p>
    <w:p w14:paraId="48540BF3" w14:textId="77777777" w:rsidR="00297EF8" w:rsidRPr="00C9207C" w:rsidRDefault="00297EF8" w:rsidP="00A51927">
      <w:pPr>
        <w:spacing w:after="0" w:line="240" w:lineRule="auto"/>
        <w:rPr>
          <w:rFonts w:ascii="Arial" w:hAnsi="Arial" w:cs="Arial"/>
          <w:sz w:val="20"/>
          <w:szCs w:val="20"/>
        </w:rPr>
      </w:pPr>
    </w:p>
    <w:p w14:paraId="5B5B5267" w14:textId="77777777" w:rsidR="00297EF8" w:rsidRDefault="00297EF8" w:rsidP="00A51927">
      <w:pPr>
        <w:spacing w:after="0" w:line="240" w:lineRule="auto"/>
        <w:rPr>
          <w:rFonts w:ascii="Arial" w:hAnsi="Arial" w:cs="Arial"/>
          <w:sz w:val="20"/>
          <w:szCs w:val="20"/>
        </w:rPr>
      </w:pPr>
      <w:r w:rsidRPr="00C9207C">
        <w:rPr>
          <w:rFonts w:ascii="Arial" w:hAnsi="Arial" w:cs="Arial"/>
          <w:sz w:val="20"/>
          <w:szCs w:val="20"/>
        </w:rPr>
        <w:t xml:space="preserve">The IJB has related party </w:t>
      </w:r>
      <w:r w:rsidR="00C95CC5" w:rsidRPr="00C9207C">
        <w:rPr>
          <w:rFonts w:ascii="Arial" w:hAnsi="Arial" w:cs="Arial"/>
          <w:sz w:val="20"/>
          <w:szCs w:val="20"/>
        </w:rPr>
        <w:t>relationship</w:t>
      </w:r>
      <w:r w:rsidRPr="00C9207C">
        <w:rPr>
          <w:rFonts w:ascii="Arial" w:hAnsi="Arial" w:cs="Arial"/>
          <w:sz w:val="20"/>
          <w:szCs w:val="20"/>
        </w:rPr>
        <w:t xml:space="preserve">s with the </w:t>
      </w:r>
      <w:r w:rsidR="003D4AC6" w:rsidRPr="00C9207C">
        <w:rPr>
          <w:rFonts w:ascii="Arial" w:hAnsi="Arial" w:cs="Arial"/>
          <w:sz w:val="20"/>
          <w:szCs w:val="20"/>
        </w:rPr>
        <w:t>NHS Grampian</w:t>
      </w:r>
      <w:r w:rsidR="009A3149" w:rsidRPr="00C9207C">
        <w:rPr>
          <w:rFonts w:ascii="Arial" w:hAnsi="Arial" w:cs="Arial"/>
          <w:sz w:val="20"/>
          <w:szCs w:val="20"/>
        </w:rPr>
        <w:t>,</w:t>
      </w:r>
      <w:r w:rsidRPr="00C9207C">
        <w:rPr>
          <w:rFonts w:ascii="Arial" w:hAnsi="Arial" w:cs="Arial"/>
          <w:sz w:val="20"/>
          <w:szCs w:val="20"/>
        </w:rPr>
        <w:t xml:space="preserve"> </w:t>
      </w:r>
      <w:r w:rsidR="003D4AC6" w:rsidRPr="00C9207C">
        <w:rPr>
          <w:rFonts w:ascii="Arial" w:hAnsi="Arial" w:cs="Arial"/>
          <w:sz w:val="20"/>
          <w:szCs w:val="20"/>
        </w:rPr>
        <w:t>Aberdeen City Council</w:t>
      </w:r>
      <w:r w:rsidR="002068D1" w:rsidRPr="00C9207C">
        <w:rPr>
          <w:rFonts w:ascii="Arial" w:hAnsi="Arial" w:cs="Arial"/>
          <w:sz w:val="20"/>
          <w:szCs w:val="20"/>
        </w:rPr>
        <w:t xml:space="preserve"> and Bon Accord Care/Bon Accord Support Services</w:t>
      </w:r>
      <w:r w:rsidR="003D4AC6" w:rsidRPr="00C9207C">
        <w:rPr>
          <w:rFonts w:ascii="Arial" w:hAnsi="Arial" w:cs="Arial"/>
          <w:sz w:val="20"/>
          <w:szCs w:val="20"/>
        </w:rPr>
        <w:t>.</w:t>
      </w:r>
      <w:r w:rsidRPr="00C9207C">
        <w:rPr>
          <w:rFonts w:ascii="Arial" w:hAnsi="Arial" w:cs="Arial"/>
          <w:sz w:val="20"/>
          <w:szCs w:val="20"/>
        </w:rPr>
        <w:t xml:space="preserve"> </w:t>
      </w:r>
      <w:r w:rsidR="00EB7A4F" w:rsidRPr="00C9207C">
        <w:rPr>
          <w:rFonts w:ascii="Arial" w:hAnsi="Arial" w:cs="Arial"/>
          <w:sz w:val="20"/>
          <w:szCs w:val="20"/>
        </w:rPr>
        <w:t>T</w:t>
      </w:r>
      <w:r w:rsidRPr="00C9207C">
        <w:rPr>
          <w:rFonts w:ascii="Arial" w:hAnsi="Arial" w:cs="Arial"/>
          <w:sz w:val="20"/>
          <w:szCs w:val="20"/>
        </w:rPr>
        <w:t xml:space="preserve">he nature of </w:t>
      </w:r>
      <w:r w:rsidR="00EB7A4F" w:rsidRPr="00C9207C">
        <w:rPr>
          <w:rFonts w:ascii="Arial" w:hAnsi="Arial" w:cs="Arial"/>
          <w:sz w:val="20"/>
          <w:szCs w:val="20"/>
        </w:rPr>
        <w:t>these relationships</w:t>
      </w:r>
      <w:r w:rsidRPr="00C9207C">
        <w:rPr>
          <w:rFonts w:ascii="Arial" w:hAnsi="Arial" w:cs="Arial"/>
          <w:sz w:val="20"/>
          <w:szCs w:val="20"/>
        </w:rPr>
        <w:t xml:space="preserve"> means that the IJB may influence, and be influenced by</w:t>
      </w:r>
      <w:r w:rsidR="00EB7A4F" w:rsidRPr="00C9207C">
        <w:rPr>
          <w:rFonts w:ascii="Arial" w:hAnsi="Arial" w:cs="Arial"/>
          <w:sz w:val="20"/>
          <w:szCs w:val="20"/>
        </w:rPr>
        <w:t>, these parties</w:t>
      </w:r>
      <w:r w:rsidRPr="00C9207C">
        <w:rPr>
          <w:rFonts w:ascii="Arial" w:hAnsi="Arial" w:cs="Arial"/>
          <w:sz w:val="20"/>
          <w:szCs w:val="20"/>
        </w:rPr>
        <w:t xml:space="preserve">. The following transactions and balances </w:t>
      </w:r>
      <w:r w:rsidR="00C55583" w:rsidRPr="00C9207C">
        <w:rPr>
          <w:rFonts w:ascii="Arial" w:hAnsi="Arial" w:cs="Arial"/>
          <w:sz w:val="20"/>
          <w:szCs w:val="20"/>
        </w:rPr>
        <w:t xml:space="preserve">included in the IJB’s accounts </w:t>
      </w:r>
      <w:r w:rsidRPr="00C9207C">
        <w:rPr>
          <w:rFonts w:ascii="Arial" w:hAnsi="Arial" w:cs="Arial"/>
          <w:sz w:val="20"/>
          <w:szCs w:val="20"/>
        </w:rPr>
        <w:t>are presented to provide additional information on the relationships.</w:t>
      </w:r>
      <w:r w:rsidR="00CB6B3F" w:rsidRPr="00C9207C">
        <w:rPr>
          <w:rFonts w:ascii="Arial" w:hAnsi="Arial" w:cs="Arial"/>
          <w:sz w:val="20"/>
          <w:szCs w:val="20"/>
        </w:rPr>
        <w:t xml:space="preserve">  </w:t>
      </w:r>
    </w:p>
    <w:p w14:paraId="7A87C71F" w14:textId="77777777" w:rsidR="00297EF8" w:rsidRPr="00C9207C" w:rsidRDefault="003D4AC6"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NHS Grampian</w:t>
      </w:r>
    </w:p>
    <w:p w14:paraId="45EEE48D" w14:textId="77777777" w:rsidR="00297EF8" w:rsidRPr="00C9207C" w:rsidRDefault="00297EF8" w:rsidP="00A51927">
      <w:pPr>
        <w:spacing w:after="0" w:line="240" w:lineRule="auto"/>
        <w:ind w:left="720"/>
        <w:rPr>
          <w:rFonts w:ascii="Arial" w:hAnsi="Arial" w:cs="Arial"/>
          <w:sz w:val="20"/>
          <w:szCs w:val="20"/>
          <w:highlight w:val="yellow"/>
        </w:rPr>
      </w:pPr>
    </w:p>
    <w:tbl>
      <w:tblPr>
        <w:tblW w:w="8883"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14"/>
        <w:gridCol w:w="5157"/>
        <w:gridCol w:w="1912"/>
      </w:tblGrid>
      <w:tr w:rsidR="006B70CE" w:rsidRPr="00C9207C" w14:paraId="457D8067" w14:textId="77777777" w:rsidTr="00F61BBF">
        <w:trPr>
          <w:trHeight w:val="261"/>
        </w:trPr>
        <w:tc>
          <w:tcPr>
            <w:tcW w:w="1814" w:type="dxa"/>
            <w:tcBorders>
              <w:top w:val="single" w:sz="4" w:space="0" w:color="auto"/>
              <w:left w:val="single" w:sz="4" w:space="0" w:color="auto"/>
              <w:bottom w:val="nil"/>
              <w:right w:val="single" w:sz="4" w:space="0" w:color="auto"/>
            </w:tcBorders>
            <w:vAlign w:val="center"/>
            <w:hideMark/>
          </w:tcPr>
          <w:p w14:paraId="48D9F820" w14:textId="17F0F537" w:rsidR="006B70CE" w:rsidRPr="00C9207C" w:rsidRDefault="0061011B"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157" w:type="dxa"/>
            <w:tcBorders>
              <w:top w:val="single" w:sz="4" w:space="0" w:color="auto"/>
              <w:left w:val="single" w:sz="4" w:space="0" w:color="auto"/>
              <w:bottom w:val="nil"/>
              <w:right w:val="single" w:sz="4" w:space="0" w:color="auto"/>
            </w:tcBorders>
            <w:vAlign w:val="center"/>
            <w:hideMark/>
          </w:tcPr>
          <w:p w14:paraId="6D10C182" w14:textId="77777777" w:rsidR="006B70CE" w:rsidRPr="00C9207C" w:rsidRDefault="006B70CE" w:rsidP="006B70CE">
            <w:pPr>
              <w:spacing w:after="0" w:line="240" w:lineRule="auto"/>
              <w:jc w:val="right"/>
              <w:rPr>
                <w:rFonts w:ascii="Arial" w:eastAsia="Times New Roman" w:hAnsi="Arial" w:cs="Arial"/>
                <w:b/>
                <w:bCs/>
                <w:color w:val="000000"/>
                <w:sz w:val="20"/>
                <w:szCs w:val="20"/>
                <w:lang w:eastAsia="en-GB"/>
              </w:rPr>
            </w:pPr>
          </w:p>
        </w:tc>
        <w:tc>
          <w:tcPr>
            <w:tcW w:w="1912" w:type="dxa"/>
            <w:tcBorders>
              <w:top w:val="single" w:sz="4" w:space="0" w:color="auto"/>
              <w:left w:val="single" w:sz="4" w:space="0" w:color="auto"/>
              <w:bottom w:val="nil"/>
              <w:right w:val="single" w:sz="4" w:space="0" w:color="auto"/>
            </w:tcBorders>
            <w:noWrap/>
            <w:vAlign w:val="center"/>
            <w:hideMark/>
          </w:tcPr>
          <w:p w14:paraId="36DC88EB" w14:textId="3D3A8999" w:rsidR="006B70CE" w:rsidRPr="00C9207C" w:rsidRDefault="0061011B"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6B70CE" w:rsidRPr="00C9207C" w14:paraId="259CA114" w14:textId="77777777" w:rsidTr="00F61BBF">
        <w:trPr>
          <w:trHeight w:val="251"/>
        </w:trPr>
        <w:tc>
          <w:tcPr>
            <w:tcW w:w="1814" w:type="dxa"/>
            <w:tcBorders>
              <w:top w:val="nil"/>
              <w:left w:val="single" w:sz="4" w:space="0" w:color="auto"/>
              <w:bottom w:val="single" w:sz="4" w:space="0" w:color="auto"/>
              <w:right w:val="single" w:sz="4" w:space="0" w:color="auto"/>
            </w:tcBorders>
            <w:vAlign w:val="center"/>
            <w:hideMark/>
          </w:tcPr>
          <w:p w14:paraId="7AB3D1DF"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57" w:type="dxa"/>
            <w:tcBorders>
              <w:top w:val="nil"/>
              <w:left w:val="single" w:sz="4" w:space="0" w:color="auto"/>
              <w:bottom w:val="single" w:sz="4" w:space="0" w:color="auto"/>
              <w:right w:val="single" w:sz="4" w:space="0" w:color="auto"/>
            </w:tcBorders>
            <w:vAlign w:val="center"/>
            <w:hideMark/>
          </w:tcPr>
          <w:p w14:paraId="5F874BC6"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p>
        </w:tc>
        <w:tc>
          <w:tcPr>
            <w:tcW w:w="1912" w:type="dxa"/>
            <w:tcBorders>
              <w:top w:val="nil"/>
              <w:left w:val="single" w:sz="4" w:space="0" w:color="auto"/>
              <w:bottom w:val="single" w:sz="4" w:space="0" w:color="auto"/>
              <w:right w:val="single" w:sz="4" w:space="0" w:color="auto"/>
            </w:tcBorders>
            <w:vAlign w:val="center"/>
            <w:hideMark/>
          </w:tcPr>
          <w:p w14:paraId="6472DD32"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6B70CE" w:rsidRPr="00C9207C" w14:paraId="6E1AC3D9" w14:textId="77777777" w:rsidTr="00F61BBF">
        <w:trPr>
          <w:trHeight w:val="251"/>
        </w:trPr>
        <w:tc>
          <w:tcPr>
            <w:tcW w:w="1814" w:type="dxa"/>
            <w:tcBorders>
              <w:top w:val="nil"/>
              <w:left w:val="single" w:sz="4" w:space="0" w:color="auto"/>
              <w:bottom w:val="nil"/>
              <w:right w:val="single" w:sz="4" w:space="0" w:color="auto"/>
            </w:tcBorders>
            <w:vAlign w:val="center"/>
            <w:hideMark/>
          </w:tcPr>
          <w:p w14:paraId="2DAE01D7"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(310,890,518)</w:t>
            </w:r>
          </w:p>
        </w:tc>
        <w:tc>
          <w:tcPr>
            <w:tcW w:w="5157" w:type="dxa"/>
            <w:tcBorders>
              <w:top w:val="nil"/>
              <w:left w:val="single" w:sz="4" w:space="0" w:color="auto"/>
              <w:bottom w:val="nil"/>
              <w:right w:val="single" w:sz="4" w:space="0" w:color="auto"/>
            </w:tcBorders>
            <w:vAlign w:val="center"/>
            <w:hideMark/>
          </w:tcPr>
          <w:p w14:paraId="07895180" w14:textId="581E1D9A" w:rsidR="006B70CE" w:rsidRPr="00C9207C" w:rsidRDefault="006B70CE" w:rsidP="006B70C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Funding Contributions received from the NHS Board</w:t>
            </w:r>
            <w:r w:rsidR="00BD52A9">
              <w:rPr>
                <w:rFonts w:ascii="Arial" w:eastAsia="Times New Roman" w:hAnsi="Arial" w:cs="Arial"/>
                <w:color w:val="000000"/>
                <w:sz w:val="20"/>
                <w:szCs w:val="20"/>
                <w:lang w:eastAsia="en-GB"/>
              </w:rPr>
              <w:t>*</w:t>
            </w:r>
          </w:p>
        </w:tc>
        <w:tc>
          <w:tcPr>
            <w:tcW w:w="1912" w:type="dxa"/>
            <w:tcBorders>
              <w:top w:val="nil"/>
              <w:left w:val="single" w:sz="4" w:space="0" w:color="auto"/>
              <w:bottom w:val="nil"/>
              <w:right w:val="single" w:sz="4" w:space="0" w:color="auto"/>
            </w:tcBorders>
            <w:vAlign w:val="center"/>
            <w:hideMark/>
          </w:tcPr>
          <w:p w14:paraId="3A085E69" w14:textId="77777777" w:rsidR="006B70CE" w:rsidRPr="00C9207C" w:rsidRDefault="006B70CE"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(331,239,873)</w:t>
            </w:r>
          </w:p>
        </w:tc>
      </w:tr>
      <w:tr w:rsidR="006B70CE" w:rsidRPr="00C9207C" w14:paraId="0988EB39" w14:textId="77777777" w:rsidTr="00F61BBF">
        <w:trPr>
          <w:trHeight w:val="251"/>
        </w:trPr>
        <w:tc>
          <w:tcPr>
            <w:tcW w:w="1814" w:type="dxa"/>
            <w:tcBorders>
              <w:top w:val="nil"/>
              <w:left w:val="single" w:sz="4" w:space="0" w:color="auto"/>
              <w:bottom w:val="nil"/>
              <w:right w:val="single" w:sz="4" w:space="0" w:color="auto"/>
            </w:tcBorders>
            <w:vAlign w:val="center"/>
            <w:hideMark/>
          </w:tcPr>
          <w:p w14:paraId="13D856A4" w14:textId="162D6131" w:rsidR="006B70CE" w:rsidRPr="00C9207C" w:rsidRDefault="005A577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57" w:type="dxa"/>
            <w:tcBorders>
              <w:top w:val="nil"/>
              <w:left w:val="single" w:sz="4" w:space="0" w:color="auto"/>
              <w:bottom w:val="nil"/>
              <w:right w:val="single" w:sz="4" w:space="0" w:color="auto"/>
            </w:tcBorders>
            <w:vAlign w:val="center"/>
            <w:hideMark/>
          </w:tcPr>
          <w:p w14:paraId="6D80A053" w14:textId="77777777" w:rsidR="006B70CE" w:rsidRPr="00C9207C" w:rsidRDefault="006B70CE" w:rsidP="006B70C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 xml:space="preserve">Service Income received from the NHS Board </w:t>
            </w:r>
          </w:p>
        </w:tc>
        <w:tc>
          <w:tcPr>
            <w:tcW w:w="1912" w:type="dxa"/>
            <w:tcBorders>
              <w:top w:val="nil"/>
              <w:left w:val="single" w:sz="4" w:space="0" w:color="auto"/>
              <w:bottom w:val="nil"/>
              <w:right w:val="single" w:sz="4" w:space="0" w:color="auto"/>
            </w:tcBorders>
            <w:vAlign w:val="center"/>
            <w:hideMark/>
          </w:tcPr>
          <w:p w14:paraId="7A938CAE" w14:textId="14398BE7" w:rsidR="006B70CE" w:rsidRPr="00C9207C" w:rsidRDefault="005A577E"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6B70CE" w:rsidRPr="00C9207C" w14:paraId="23D09DDA" w14:textId="77777777" w:rsidTr="00F61BBF">
        <w:trPr>
          <w:trHeight w:val="251"/>
        </w:trPr>
        <w:tc>
          <w:tcPr>
            <w:tcW w:w="1814" w:type="dxa"/>
            <w:tcBorders>
              <w:top w:val="nil"/>
              <w:left w:val="single" w:sz="4" w:space="0" w:color="auto"/>
              <w:bottom w:val="nil"/>
              <w:right w:val="single" w:sz="4" w:space="0" w:color="auto"/>
            </w:tcBorders>
            <w:vAlign w:val="center"/>
            <w:hideMark/>
          </w:tcPr>
          <w:p w14:paraId="64B48E7F"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274,180,316</w:t>
            </w:r>
          </w:p>
        </w:tc>
        <w:tc>
          <w:tcPr>
            <w:tcW w:w="5157" w:type="dxa"/>
            <w:tcBorders>
              <w:top w:val="nil"/>
              <w:left w:val="single" w:sz="4" w:space="0" w:color="auto"/>
              <w:bottom w:val="nil"/>
              <w:right w:val="single" w:sz="4" w:space="0" w:color="auto"/>
            </w:tcBorders>
            <w:vAlign w:val="center"/>
            <w:hideMark/>
          </w:tcPr>
          <w:p w14:paraId="7DCB7F17" w14:textId="77777777" w:rsidR="006B70CE" w:rsidRPr="00C9207C" w:rsidRDefault="006B70CE" w:rsidP="006B70C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Expenditure on Services Provided by the NHS Board</w:t>
            </w:r>
          </w:p>
        </w:tc>
        <w:tc>
          <w:tcPr>
            <w:tcW w:w="1912" w:type="dxa"/>
            <w:tcBorders>
              <w:top w:val="nil"/>
              <w:left w:val="single" w:sz="4" w:space="0" w:color="auto"/>
              <w:bottom w:val="nil"/>
              <w:right w:val="single" w:sz="4" w:space="0" w:color="auto"/>
            </w:tcBorders>
            <w:vAlign w:val="center"/>
            <w:hideMark/>
          </w:tcPr>
          <w:p w14:paraId="02D79736" w14:textId="77777777" w:rsidR="006B70CE" w:rsidRPr="00C9207C" w:rsidRDefault="006B70CE"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284,553,767</w:t>
            </w:r>
          </w:p>
        </w:tc>
      </w:tr>
      <w:tr w:rsidR="006B70CE" w:rsidRPr="00C9207C" w14:paraId="44D40223" w14:textId="77777777" w:rsidTr="00F61BBF">
        <w:trPr>
          <w:trHeight w:val="251"/>
        </w:trPr>
        <w:tc>
          <w:tcPr>
            <w:tcW w:w="1814" w:type="dxa"/>
            <w:tcBorders>
              <w:top w:val="nil"/>
              <w:left w:val="single" w:sz="4" w:space="0" w:color="auto"/>
              <w:bottom w:val="single" w:sz="4" w:space="0" w:color="auto"/>
              <w:right w:val="single" w:sz="4" w:space="0" w:color="auto"/>
            </w:tcBorders>
            <w:vAlign w:val="center"/>
            <w:hideMark/>
          </w:tcPr>
          <w:p w14:paraId="1544869F"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147,142</w:t>
            </w:r>
          </w:p>
        </w:tc>
        <w:tc>
          <w:tcPr>
            <w:tcW w:w="5157" w:type="dxa"/>
            <w:tcBorders>
              <w:top w:val="nil"/>
              <w:left w:val="single" w:sz="4" w:space="0" w:color="auto"/>
              <w:bottom w:val="single" w:sz="4" w:space="0" w:color="auto"/>
              <w:right w:val="single" w:sz="4" w:space="0" w:color="auto"/>
            </w:tcBorders>
            <w:vAlign w:val="center"/>
            <w:hideMark/>
          </w:tcPr>
          <w:p w14:paraId="00ED44C0" w14:textId="77777777" w:rsidR="006B70CE" w:rsidRPr="00C9207C" w:rsidRDefault="006B70CE" w:rsidP="006B70C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Key Management Personnel: Non-Voting Board Members</w:t>
            </w:r>
          </w:p>
        </w:tc>
        <w:tc>
          <w:tcPr>
            <w:tcW w:w="1912" w:type="dxa"/>
            <w:tcBorders>
              <w:top w:val="nil"/>
              <w:left w:val="single" w:sz="4" w:space="0" w:color="auto"/>
              <w:bottom w:val="single" w:sz="4" w:space="0" w:color="auto"/>
              <w:right w:val="single" w:sz="4" w:space="0" w:color="auto"/>
            </w:tcBorders>
            <w:vAlign w:val="center"/>
            <w:hideMark/>
          </w:tcPr>
          <w:p w14:paraId="29733C10" w14:textId="77777777" w:rsidR="006B70CE" w:rsidRPr="00C9207C" w:rsidRDefault="006B70CE"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225,920</w:t>
            </w:r>
          </w:p>
        </w:tc>
      </w:tr>
      <w:tr w:rsidR="006B70CE" w:rsidRPr="00C9207C" w14:paraId="50AA4FA4" w14:textId="77777777" w:rsidTr="00F61BBF">
        <w:trPr>
          <w:trHeight w:val="271"/>
        </w:trPr>
        <w:tc>
          <w:tcPr>
            <w:tcW w:w="1814" w:type="dxa"/>
            <w:tcBorders>
              <w:top w:val="single" w:sz="4" w:space="0" w:color="auto"/>
              <w:left w:val="single" w:sz="4" w:space="0" w:color="auto"/>
              <w:bottom w:val="single" w:sz="4" w:space="0" w:color="auto"/>
              <w:right w:val="single" w:sz="4" w:space="0" w:color="auto"/>
            </w:tcBorders>
            <w:vAlign w:val="center"/>
            <w:hideMark/>
          </w:tcPr>
          <w:p w14:paraId="71177CBB" w14:textId="77777777" w:rsidR="006B70CE" w:rsidRPr="00C9207C" w:rsidRDefault="006B70CE" w:rsidP="006B70C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(36,563,060)</w:t>
            </w:r>
          </w:p>
        </w:tc>
        <w:tc>
          <w:tcPr>
            <w:tcW w:w="5157" w:type="dxa"/>
            <w:tcBorders>
              <w:top w:val="single" w:sz="4" w:space="0" w:color="auto"/>
              <w:left w:val="single" w:sz="4" w:space="0" w:color="auto"/>
              <w:bottom w:val="single" w:sz="4" w:space="0" w:color="auto"/>
              <w:right w:val="single" w:sz="4" w:space="0" w:color="auto"/>
            </w:tcBorders>
            <w:vAlign w:val="center"/>
            <w:hideMark/>
          </w:tcPr>
          <w:p w14:paraId="2D1911C3" w14:textId="77777777" w:rsidR="006B70CE" w:rsidRPr="00C9207C" w:rsidRDefault="006B70CE" w:rsidP="006B70CE">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Transactions with the NHS Grampian</w:t>
            </w:r>
          </w:p>
        </w:tc>
        <w:tc>
          <w:tcPr>
            <w:tcW w:w="1912" w:type="dxa"/>
            <w:tcBorders>
              <w:top w:val="single" w:sz="4" w:space="0" w:color="auto"/>
              <w:left w:val="single" w:sz="4" w:space="0" w:color="auto"/>
              <w:bottom w:val="single" w:sz="4" w:space="0" w:color="auto"/>
              <w:right w:val="single" w:sz="4" w:space="0" w:color="auto"/>
            </w:tcBorders>
            <w:vAlign w:val="center"/>
            <w:hideMark/>
          </w:tcPr>
          <w:p w14:paraId="35CB3B2F" w14:textId="77777777" w:rsidR="006B70CE" w:rsidRPr="00C9207C" w:rsidRDefault="006B70CE" w:rsidP="006B70C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(46,460,186)</w:t>
            </w:r>
          </w:p>
        </w:tc>
      </w:tr>
    </w:tbl>
    <w:p w14:paraId="77AD860E" w14:textId="77777777" w:rsidR="00297EF8" w:rsidRPr="00C9207C" w:rsidRDefault="00297EF8" w:rsidP="00A51927">
      <w:pPr>
        <w:tabs>
          <w:tab w:val="left" w:pos="2753"/>
        </w:tabs>
        <w:spacing w:after="0" w:line="240" w:lineRule="auto"/>
        <w:ind w:left="720"/>
        <w:rPr>
          <w:rFonts w:ascii="Arial" w:hAnsi="Arial" w:cs="Arial"/>
          <w:sz w:val="20"/>
          <w:szCs w:val="20"/>
          <w:highlight w:val="yellow"/>
        </w:rPr>
      </w:pPr>
    </w:p>
    <w:p w14:paraId="56FCB262" w14:textId="77777777" w:rsidR="00282028" w:rsidRPr="00C9207C" w:rsidRDefault="00282028" w:rsidP="00A51927">
      <w:pPr>
        <w:tabs>
          <w:tab w:val="left" w:pos="2753"/>
        </w:tabs>
        <w:spacing w:after="0" w:line="240" w:lineRule="auto"/>
        <w:ind w:left="720"/>
        <w:rPr>
          <w:rFonts w:ascii="Arial" w:hAnsi="Arial" w:cs="Arial"/>
          <w:sz w:val="20"/>
          <w:szCs w:val="20"/>
          <w:highlight w:val="yellow"/>
        </w:rPr>
      </w:pPr>
    </w:p>
    <w:p w14:paraId="375437A3" w14:textId="2CBBC53A" w:rsidR="00CB3307" w:rsidRPr="00C9207C" w:rsidRDefault="00FB3C2C" w:rsidP="00A51927">
      <w:pPr>
        <w:spacing w:after="0" w:line="240" w:lineRule="auto"/>
        <w:rPr>
          <w:rFonts w:ascii="Arial" w:hAnsi="Arial" w:cs="Arial"/>
          <w:i/>
          <w:color w:val="7030A0"/>
          <w:sz w:val="20"/>
          <w:szCs w:val="20"/>
        </w:rPr>
      </w:pPr>
      <w:r w:rsidRPr="006B25E4">
        <w:rPr>
          <w:rFonts w:ascii="Arial" w:hAnsi="Arial" w:cs="Arial"/>
          <w:b/>
          <w:bCs/>
          <w:sz w:val="20"/>
          <w:szCs w:val="20"/>
        </w:rPr>
        <w:t>Key Management Personnel</w:t>
      </w:r>
      <w:r w:rsidRPr="00C9207C">
        <w:rPr>
          <w:rFonts w:ascii="Arial" w:hAnsi="Arial" w:cs="Arial"/>
          <w:sz w:val="20"/>
          <w:szCs w:val="20"/>
        </w:rPr>
        <w:t xml:space="preserve">: </w:t>
      </w:r>
      <w:r w:rsidR="00C239D9" w:rsidRPr="00C9207C">
        <w:rPr>
          <w:rFonts w:ascii="Arial" w:hAnsi="Arial" w:cs="Arial"/>
          <w:sz w:val="20"/>
          <w:szCs w:val="20"/>
        </w:rPr>
        <w:t xml:space="preserve">The </w:t>
      </w:r>
      <w:r w:rsidR="008561E4" w:rsidRPr="00C9207C">
        <w:rPr>
          <w:rFonts w:ascii="Arial" w:hAnsi="Arial" w:cs="Arial"/>
          <w:sz w:val="20"/>
          <w:szCs w:val="20"/>
        </w:rPr>
        <w:t xml:space="preserve">non-voting Board members employed by the NHS Board and recharged to the IJB </w:t>
      </w:r>
      <w:r w:rsidR="00C239D9" w:rsidRPr="00C9207C">
        <w:rPr>
          <w:rFonts w:ascii="Arial" w:hAnsi="Arial" w:cs="Arial"/>
          <w:sz w:val="20"/>
          <w:szCs w:val="20"/>
        </w:rPr>
        <w:t>include the</w:t>
      </w:r>
      <w:r w:rsidR="003D4AC6" w:rsidRPr="00C9207C">
        <w:rPr>
          <w:rFonts w:ascii="Arial" w:hAnsi="Arial" w:cs="Arial"/>
          <w:sz w:val="20"/>
          <w:szCs w:val="20"/>
        </w:rPr>
        <w:t xml:space="preserve"> Chief Officer</w:t>
      </w:r>
      <w:r w:rsidR="00E9612E" w:rsidRPr="00C9207C">
        <w:rPr>
          <w:rFonts w:ascii="Arial" w:hAnsi="Arial" w:cs="Arial"/>
          <w:sz w:val="20"/>
          <w:szCs w:val="20"/>
        </w:rPr>
        <w:t>, Chief Officer – Social Work</w:t>
      </w:r>
      <w:r w:rsidR="00282028" w:rsidRPr="00C9207C">
        <w:rPr>
          <w:rFonts w:ascii="Arial" w:hAnsi="Arial" w:cs="Arial"/>
          <w:sz w:val="20"/>
          <w:szCs w:val="20"/>
        </w:rPr>
        <w:t xml:space="preserve"> and the Clinical Director</w:t>
      </w:r>
      <w:r w:rsidR="00C239D9" w:rsidRPr="00C9207C">
        <w:rPr>
          <w:rFonts w:ascii="Arial" w:hAnsi="Arial" w:cs="Arial"/>
          <w:sz w:val="20"/>
          <w:szCs w:val="20"/>
        </w:rPr>
        <w:t>.</w:t>
      </w:r>
      <w:r w:rsidR="008561E4" w:rsidRPr="00C9207C">
        <w:rPr>
          <w:rFonts w:ascii="Arial" w:hAnsi="Arial" w:cs="Arial"/>
          <w:sz w:val="20"/>
          <w:szCs w:val="20"/>
        </w:rPr>
        <w:t xml:space="preserve"> </w:t>
      </w:r>
      <w:r w:rsidR="002B55B9" w:rsidRPr="00C9207C">
        <w:rPr>
          <w:rFonts w:ascii="Arial" w:hAnsi="Arial" w:cs="Arial"/>
          <w:sz w:val="20"/>
          <w:szCs w:val="20"/>
        </w:rPr>
        <w:t xml:space="preserve">Details of the remuneration for some specific post-holders is provided in the Remuneration </w:t>
      </w:r>
      <w:r w:rsidR="00227A5B" w:rsidRPr="00C9207C">
        <w:rPr>
          <w:rFonts w:ascii="Arial" w:hAnsi="Arial" w:cs="Arial"/>
          <w:sz w:val="20"/>
          <w:szCs w:val="20"/>
        </w:rPr>
        <w:t>Report.</w:t>
      </w:r>
      <w:r w:rsidR="002B55B9" w:rsidRPr="00C9207C">
        <w:rPr>
          <w:rFonts w:ascii="Arial" w:hAnsi="Arial" w:cs="Arial"/>
          <w:color w:val="7030A0"/>
          <w:sz w:val="20"/>
          <w:szCs w:val="20"/>
        </w:rPr>
        <w:t xml:space="preserve"> </w:t>
      </w:r>
    </w:p>
    <w:p w14:paraId="34E7407B" w14:textId="77777777" w:rsidR="00CB3307" w:rsidRPr="00C9207C" w:rsidRDefault="00CB3307" w:rsidP="00A51927">
      <w:pPr>
        <w:spacing w:after="0" w:line="240" w:lineRule="auto"/>
        <w:ind w:left="720"/>
        <w:rPr>
          <w:rFonts w:ascii="Arial" w:hAnsi="Arial" w:cs="Arial"/>
          <w:sz w:val="20"/>
          <w:szCs w:val="20"/>
          <w:highlight w:val="yellow"/>
        </w:rPr>
      </w:pPr>
    </w:p>
    <w:p w14:paraId="26A1877A" w14:textId="02E960C4" w:rsidR="00DA6E0E" w:rsidRPr="00C9207C" w:rsidRDefault="0062180C" w:rsidP="00A51927">
      <w:pPr>
        <w:spacing w:after="0" w:line="240" w:lineRule="auto"/>
        <w:rPr>
          <w:rFonts w:ascii="Arial" w:hAnsi="Arial" w:cs="Arial"/>
          <w:sz w:val="20"/>
          <w:szCs w:val="20"/>
        </w:rPr>
      </w:pPr>
      <w:r w:rsidRPr="00C9207C">
        <w:rPr>
          <w:rFonts w:ascii="Arial" w:hAnsi="Arial" w:cs="Arial"/>
          <w:sz w:val="20"/>
          <w:szCs w:val="20"/>
        </w:rPr>
        <w:t xml:space="preserve">*Includes resource transfer income of </w:t>
      </w:r>
      <w:r w:rsidR="00227A5B" w:rsidRPr="00C9207C">
        <w:rPr>
          <w:rFonts w:ascii="Arial" w:hAnsi="Arial" w:cs="Arial"/>
          <w:sz w:val="20"/>
          <w:szCs w:val="20"/>
        </w:rPr>
        <w:t>£</w:t>
      </w:r>
      <w:r w:rsidR="00E9612E" w:rsidRPr="00C9207C">
        <w:rPr>
          <w:rFonts w:ascii="Arial" w:hAnsi="Arial" w:cs="Arial"/>
          <w:sz w:val="20"/>
          <w:szCs w:val="20"/>
        </w:rPr>
        <w:t>3</w:t>
      </w:r>
      <w:r w:rsidR="00F61BBF">
        <w:rPr>
          <w:rFonts w:ascii="Arial" w:hAnsi="Arial" w:cs="Arial"/>
          <w:sz w:val="20"/>
          <w:szCs w:val="20"/>
        </w:rPr>
        <w:t>7.3</w:t>
      </w:r>
      <w:r w:rsidR="00D75386" w:rsidRPr="00C9207C">
        <w:rPr>
          <w:rFonts w:ascii="Arial" w:hAnsi="Arial" w:cs="Arial"/>
          <w:sz w:val="20"/>
          <w:szCs w:val="20"/>
        </w:rPr>
        <w:t xml:space="preserve"> </w:t>
      </w:r>
      <w:r w:rsidR="00A6170C" w:rsidRPr="00C9207C">
        <w:rPr>
          <w:rFonts w:ascii="Arial" w:hAnsi="Arial" w:cs="Arial"/>
          <w:sz w:val="20"/>
          <w:szCs w:val="20"/>
        </w:rPr>
        <w:t>million</w:t>
      </w:r>
      <w:r w:rsidR="00227A5B" w:rsidRPr="00C9207C">
        <w:rPr>
          <w:rFonts w:ascii="Arial" w:hAnsi="Arial" w:cs="Arial"/>
          <w:sz w:val="20"/>
          <w:szCs w:val="20"/>
        </w:rPr>
        <w:t>.</w:t>
      </w:r>
      <w:r w:rsidR="0006567B">
        <w:rPr>
          <w:rFonts w:ascii="Arial" w:hAnsi="Arial" w:cs="Arial"/>
          <w:sz w:val="20"/>
          <w:szCs w:val="20"/>
        </w:rPr>
        <w:t xml:space="preserve"> (2024/25: £27.9 million)</w:t>
      </w:r>
    </w:p>
    <w:p w14:paraId="25BA8570" w14:textId="77777777" w:rsidR="00E9612E" w:rsidRPr="00C9207C" w:rsidRDefault="00E9612E" w:rsidP="00A51927">
      <w:pPr>
        <w:spacing w:after="0" w:line="240" w:lineRule="auto"/>
        <w:ind w:left="720"/>
        <w:rPr>
          <w:rFonts w:ascii="Arial" w:hAnsi="Arial" w:cs="Arial"/>
          <w:sz w:val="20"/>
          <w:szCs w:val="20"/>
          <w:highlight w:val="yellow"/>
          <w:u w:val="single"/>
        </w:rPr>
      </w:pPr>
    </w:p>
    <w:p w14:paraId="164A5F87" w14:textId="2DB6B28A" w:rsidR="000B49EC" w:rsidRPr="00C9207C" w:rsidRDefault="000B49EC"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 xml:space="preserve">Balances with </w:t>
      </w:r>
      <w:r w:rsidR="003D4AC6" w:rsidRPr="00C9207C">
        <w:rPr>
          <w:rFonts w:ascii="Arial" w:hAnsi="Arial" w:cs="Arial"/>
          <w:sz w:val="20"/>
          <w:szCs w:val="20"/>
          <w:u w:val="single"/>
        </w:rPr>
        <w:t>NHS Grampian</w:t>
      </w:r>
      <w:r w:rsidRPr="00C9207C">
        <w:rPr>
          <w:rFonts w:ascii="Arial" w:hAnsi="Arial" w:cs="Arial"/>
          <w:sz w:val="20"/>
          <w:szCs w:val="20"/>
          <w:u w:val="single"/>
        </w:rPr>
        <w:t xml:space="preserve"> </w:t>
      </w:r>
    </w:p>
    <w:p w14:paraId="3E3F7D95" w14:textId="77777777" w:rsidR="000B49EC" w:rsidRPr="00C9207C" w:rsidRDefault="000B49EC" w:rsidP="00A51927">
      <w:pPr>
        <w:spacing w:after="0" w:line="240" w:lineRule="auto"/>
        <w:ind w:left="720"/>
        <w:rPr>
          <w:rFonts w:ascii="Arial" w:hAnsi="Arial" w:cs="Arial"/>
          <w:sz w:val="20"/>
          <w:szCs w:val="20"/>
          <w:highlight w:val="yellow"/>
        </w:rPr>
      </w:pPr>
    </w:p>
    <w:tbl>
      <w:tblPr>
        <w:tblW w:w="890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788"/>
        <w:gridCol w:w="5196"/>
        <w:gridCol w:w="1916"/>
      </w:tblGrid>
      <w:tr w:rsidR="00683101" w:rsidRPr="00C9207C" w14:paraId="09EC50CB" w14:textId="77777777" w:rsidTr="00B511A0">
        <w:trPr>
          <w:trHeight w:val="260"/>
        </w:trPr>
        <w:tc>
          <w:tcPr>
            <w:tcW w:w="1788" w:type="dxa"/>
            <w:tcBorders>
              <w:top w:val="single" w:sz="4" w:space="0" w:color="auto"/>
              <w:left w:val="single" w:sz="4" w:space="0" w:color="auto"/>
              <w:bottom w:val="nil"/>
              <w:right w:val="single" w:sz="4" w:space="0" w:color="auto"/>
            </w:tcBorders>
            <w:vAlign w:val="center"/>
            <w:hideMark/>
          </w:tcPr>
          <w:p w14:paraId="0FDB5CA8" w14:textId="77777777" w:rsidR="00683101" w:rsidRPr="00C9207C" w:rsidRDefault="00683101" w:rsidP="0068310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196" w:type="dxa"/>
            <w:tcBorders>
              <w:top w:val="single" w:sz="4" w:space="0" w:color="auto"/>
              <w:left w:val="single" w:sz="4" w:space="0" w:color="auto"/>
              <w:bottom w:val="nil"/>
              <w:right w:val="single" w:sz="4" w:space="0" w:color="auto"/>
            </w:tcBorders>
            <w:noWrap/>
            <w:vAlign w:val="center"/>
            <w:hideMark/>
          </w:tcPr>
          <w:p w14:paraId="6D7E4F5A" w14:textId="77777777" w:rsidR="00683101" w:rsidRPr="00C9207C" w:rsidRDefault="00683101" w:rsidP="00683101">
            <w:pPr>
              <w:spacing w:after="0" w:line="240" w:lineRule="auto"/>
              <w:jc w:val="right"/>
              <w:rPr>
                <w:rFonts w:ascii="Arial" w:eastAsia="Times New Roman" w:hAnsi="Arial" w:cs="Arial"/>
                <w:b/>
                <w:bCs/>
                <w:color w:val="000000"/>
                <w:sz w:val="20"/>
                <w:szCs w:val="20"/>
                <w:lang w:eastAsia="en-GB"/>
              </w:rPr>
            </w:pPr>
          </w:p>
        </w:tc>
        <w:tc>
          <w:tcPr>
            <w:tcW w:w="1916" w:type="dxa"/>
            <w:tcBorders>
              <w:top w:val="single" w:sz="4" w:space="0" w:color="auto"/>
              <w:left w:val="single" w:sz="4" w:space="0" w:color="auto"/>
              <w:bottom w:val="nil"/>
              <w:right w:val="single" w:sz="4" w:space="0" w:color="auto"/>
            </w:tcBorders>
            <w:noWrap/>
            <w:vAlign w:val="center"/>
            <w:hideMark/>
          </w:tcPr>
          <w:p w14:paraId="21B723FC" w14:textId="77777777" w:rsidR="00683101" w:rsidRPr="00C9207C" w:rsidRDefault="00683101" w:rsidP="0068310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683101" w:rsidRPr="00C9207C" w14:paraId="17F0A6D0" w14:textId="77777777" w:rsidTr="00B511A0">
        <w:trPr>
          <w:trHeight w:val="250"/>
        </w:trPr>
        <w:tc>
          <w:tcPr>
            <w:tcW w:w="1788" w:type="dxa"/>
            <w:tcBorders>
              <w:top w:val="nil"/>
              <w:left w:val="single" w:sz="4" w:space="0" w:color="auto"/>
              <w:bottom w:val="single" w:sz="4" w:space="0" w:color="auto"/>
              <w:right w:val="single" w:sz="4" w:space="0" w:color="auto"/>
            </w:tcBorders>
            <w:vAlign w:val="center"/>
            <w:hideMark/>
          </w:tcPr>
          <w:p w14:paraId="49E431D8"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96" w:type="dxa"/>
            <w:tcBorders>
              <w:top w:val="nil"/>
              <w:left w:val="single" w:sz="4" w:space="0" w:color="auto"/>
              <w:bottom w:val="single" w:sz="4" w:space="0" w:color="auto"/>
              <w:right w:val="single" w:sz="4" w:space="0" w:color="auto"/>
            </w:tcBorders>
            <w:vAlign w:val="center"/>
            <w:hideMark/>
          </w:tcPr>
          <w:p w14:paraId="52590ADA"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p>
        </w:tc>
        <w:tc>
          <w:tcPr>
            <w:tcW w:w="1916" w:type="dxa"/>
            <w:tcBorders>
              <w:top w:val="nil"/>
              <w:left w:val="single" w:sz="4" w:space="0" w:color="auto"/>
              <w:bottom w:val="single" w:sz="4" w:space="0" w:color="auto"/>
              <w:right w:val="single" w:sz="4" w:space="0" w:color="auto"/>
            </w:tcBorders>
            <w:vAlign w:val="center"/>
            <w:hideMark/>
          </w:tcPr>
          <w:p w14:paraId="3D022FCD"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683101" w:rsidRPr="00C9207C" w14:paraId="54DF4864" w14:textId="77777777" w:rsidTr="00B511A0">
        <w:trPr>
          <w:trHeight w:val="250"/>
        </w:trPr>
        <w:tc>
          <w:tcPr>
            <w:tcW w:w="1788" w:type="dxa"/>
            <w:tcBorders>
              <w:top w:val="single" w:sz="4" w:space="0" w:color="auto"/>
              <w:left w:val="single" w:sz="4" w:space="0" w:color="auto"/>
              <w:bottom w:val="nil"/>
              <w:right w:val="single" w:sz="4" w:space="0" w:color="auto"/>
            </w:tcBorders>
            <w:vAlign w:val="center"/>
            <w:hideMark/>
          </w:tcPr>
          <w:p w14:paraId="063C3D27"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p>
        </w:tc>
        <w:tc>
          <w:tcPr>
            <w:tcW w:w="5196" w:type="dxa"/>
            <w:tcBorders>
              <w:top w:val="single" w:sz="4" w:space="0" w:color="auto"/>
              <w:left w:val="single" w:sz="4" w:space="0" w:color="auto"/>
              <w:bottom w:val="nil"/>
              <w:right w:val="single" w:sz="4" w:space="0" w:color="auto"/>
            </w:tcBorders>
            <w:vAlign w:val="center"/>
            <w:hideMark/>
          </w:tcPr>
          <w:p w14:paraId="5002AE80" w14:textId="77777777" w:rsidR="00683101" w:rsidRPr="00C9207C" w:rsidRDefault="00683101" w:rsidP="00683101">
            <w:pPr>
              <w:spacing w:after="0" w:line="240" w:lineRule="auto"/>
              <w:rPr>
                <w:rFonts w:ascii="Arial" w:eastAsia="Times New Roman" w:hAnsi="Arial" w:cs="Arial"/>
                <w:sz w:val="20"/>
                <w:szCs w:val="20"/>
                <w:lang w:eastAsia="en-GB"/>
              </w:rPr>
            </w:pPr>
          </w:p>
        </w:tc>
        <w:tc>
          <w:tcPr>
            <w:tcW w:w="1916" w:type="dxa"/>
            <w:tcBorders>
              <w:top w:val="single" w:sz="4" w:space="0" w:color="auto"/>
              <w:left w:val="single" w:sz="4" w:space="0" w:color="auto"/>
              <w:bottom w:val="nil"/>
              <w:right w:val="single" w:sz="4" w:space="0" w:color="auto"/>
            </w:tcBorders>
            <w:vAlign w:val="center"/>
            <w:hideMark/>
          </w:tcPr>
          <w:p w14:paraId="11ED3A39" w14:textId="77777777" w:rsidR="00683101" w:rsidRPr="00C9207C" w:rsidRDefault="00683101" w:rsidP="00683101">
            <w:pPr>
              <w:spacing w:after="0" w:line="240" w:lineRule="auto"/>
              <w:rPr>
                <w:rFonts w:ascii="Arial" w:eastAsia="Times New Roman" w:hAnsi="Arial" w:cs="Arial"/>
                <w:sz w:val="20"/>
                <w:szCs w:val="20"/>
                <w:lang w:eastAsia="en-GB"/>
              </w:rPr>
            </w:pPr>
          </w:p>
        </w:tc>
      </w:tr>
      <w:tr w:rsidR="00683101" w:rsidRPr="00C9207C" w14:paraId="17F02FB2" w14:textId="77777777" w:rsidTr="00ED63E2">
        <w:trPr>
          <w:trHeight w:val="250"/>
        </w:trPr>
        <w:tc>
          <w:tcPr>
            <w:tcW w:w="1788" w:type="dxa"/>
            <w:tcBorders>
              <w:top w:val="nil"/>
              <w:left w:val="single" w:sz="4" w:space="0" w:color="auto"/>
              <w:bottom w:val="single" w:sz="4" w:space="0" w:color="auto"/>
              <w:right w:val="single" w:sz="4" w:space="0" w:color="auto"/>
            </w:tcBorders>
            <w:vAlign w:val="center"/>
            <w:hideMark/>
          </w:tcPr>
          <w:p w14:paraId="14E8FA33"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18,368,031</w:t>
            </w:r>
          </w:p>
        </w:tc>
        <w:tc>
          <w:tcPr>
            <w:tcW w:w="5196" w:type="dxa"/>
            <w:tcBorders>
              <w:top w:val="nil"/>
              <w:left w:val="single" w:sz="4" w:space="0" w:color="auto"/>
              <w:bottom w:val="single" w:sz="4" w:space="0" w:color="auto"/>
              <w:right w:val="single" w:sz="4" w:space="0" w:color="auto"/>
            </w:tcBorders>
            <w:vAlign w:val="center"/>
            <w:hideMark/>
          </w:tcPr>
          <w:p w14:paraId="48D33026" w14:textId="77777777" w:rsidR="00683101" w:rsidRPr="00C9207C" w:rsidRDefault="00683101" w:rsidP="00683101">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Debtor balances: Amounts due from the NHS Board</w:t>
            </w:r>
          </w:p>
        </w:tc>
        <w:tc>
          <w:tcPr>
            <w:tcW w:w="1916" w:type="dxa"/>
            <w:tcBorders>
              <w:top w:val="nil"/>
              <w:left w:val="single" w:sz="4" w:space="0" w:color="auto"/>
              <w:bottom w:val="single" w:sz="4" w:space="0" w:color="auto"/>
              <w:right w:val="single" w:sz="4" w:space="0" w:color="auto"/>
            </w:tcBorders>
            <w:vAlign w:val="center"/>
            <w:hideMark/>
          </w:tcPr>
          <w:p w14:paraId="68EAEF6E"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10,593,760</w:t>
            </w:r>
          </w:p>
        </w:tc>
      </w:tr>
      <w:tr w:rsidR="00683101" w:rsidRPr="00C9207C" w14:paraId="1F136BE9" w14:textId="77777777" w:rsidTr="00ED63E2">
        <w:trPr>
          <w:trHeight w:val="270"/>
        </w:trPr>
        <w:tc>
          <w:tcPr>
            <w:tcW w:w="1788" w:type="dxa"/>
            <w:tcBorders>
              <w:top w:val="single" w:sz="4" w:space="0" w:color="auto"/>
              <w:left w:val="single" w:sz="4" w:space="0" w:color="auto"/>
              <w:bottom w:val="single" w:sz="4" w:space="0" w:color="auto"/>
              <w:right w:val="single" w:sz="4" w:space="0" w:color="auto"/>
            </w:tcBorders>
            <w:vAlign w:val="center"/>
            <w:hideMark/>
          </w:tcPr>
          <w:p w14:paraId="2004D314" w14:textId="77777777" w:rsidR="00683101" w:rsidRPr="00C9207C" w:rsidRDefault="00683101" w:rsidP="00683101">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18,368,031</w:t>
            </w:r>
          </w:p>
        </w:tc>
        <w:tc>
          <w:tcPr>
            <w:tcW w:w="5196" w:type="dxa"/>
            <w:tcBorders>
              <w:top w:val="single" w:sz="4" w:space="0" w:color="auto"/>
              <w:left w:val="single" w:sz="4" w:space="0" w:color="auto"/>
              <w:bottom w:val="single" w:sz="4" w:space="0" w:color="auto"/>
              <w:right w:val="single" w:sz="4" w:space="0" w:color="auto"/>
            </w:tcBorders>
            <w:vAlign w:val="center"/>
            <w:hideMark/>
          </w:tcPr>
          <w:p w14:paraId="74226AF9" w14:textId="77777777" w:rsidR="00683101" w:rsidRPr="00C9207C" w:rsidRDefault="00683101" w:rsidP="00683101">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Balance with the NHS Grampian</w:t>
            </w:r>
          </w:p>
        </w:tc>
        <w:tc>
          <w:tcPr>
            <w:tcW w:w="1916" w:type="dxa"/>
            <w:tcBorders>
              <w:top w:val="single" w:sz="4" w:space="0" w:color="auto"/>
              <w:left w:val="single" w:sz="4" w:space="0" w:color="auto"/>
              <w:bottom w:val="single" w:sz="4" w:space="0" w:color="auto"/>
              <w:right w:val="single" w:sz="4" w:space="0" w:color="auto"/>
            </w:tcBorders>
            <w:vAlign w:val="center"/>
            <w:hideMark/>
          </w:tcPr>
          <w:p w14:paraId="676EC1F3" w14:textId="77777777" w:rsidR="00683101" w:rsidRPr="00C9207C" w:rsidRDefault="00683101" w:rsidP="00683101">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10,593,760</w:t>
            </w:r>
          </w:p>
        </w:tc>
      </w:tr>
    </w:tbl>
    <w:p w14:paraId="73472E32" w14:textId="77777777" w:rsidR="000B49EC" w:rsidRPr="00C9207C" w:rsidRDefault="000B49EC" w:rsidP="00A51927">
      <w:pPr>
        <w:spacing w:after="0" w:line="240" w:lineRule="auto"/>
        <w:ind w:left="720"/>
        <w:rPr>
          <w:rFonts w:ascii="Arial" w:hAnsi="Arial" w:cs="Arial"/>
          <w:sz w:val="20"/>
          <w:szCs w:val="20"/>
          <w:highlight w:val="yellow"/>
        </w:rPr>
      </w:pPr>
    </w:p>
    <w:p w14:paraId="0CC422FD" w14:textId="77777777" w:rsidR="00243D9E" w:rsidRPr="00C9207C" w:rsidRDefault="00243D9E" w:rsidP="00A51927">
      <w:pPr>
        <w:spacing w:after="0" w:line="240" w:lineRule="auto"/>
        <w:ind w:left="720"/>
        <w:rPr>
          <w:rFonts w:ascii="Arial" w:hAnsi="Arial" w:cs="Arial"/>
          <w:sz w:val="20"/>
          <w:szCs w:val="20"/>
          <w:highlight w:val="yellow"/>
        </w:rPr>
      </w:pPr>
    </w:p>
    <w:p w14:paraId="5B7EE9E6" w14:textId="77777777" w:rsidR="00C239D9" w:rsidRPr="00C9207C" w:rsidRDefault="00C239D9" w:rsidP="00A51927">
      <w:pPr>
        <w:spacing w:after="0" w:line="240" w:lineRule="auto"/>
        <w:ind w:left="720"/>
        <w:rPr>
          <w:rFonts w:ascii="Arial" w:hAnsi="Arial" w:cs="Arial"/>
          <w:sz w:val="20"/>
          <w:szCs w:val="20"/>
          <w:u w:val="single"/>
        </w:rPr>
      </w:pPr>
      <w:r w:rsidRPr="00C9207C">
        <w:rPr>
          <w:rFonts w:ascii="Arial" w:hAnsi="Arial" w:cs="Arial"/>
          <w:sz w:val="20"/>
          <w:szCs w:val="20"/>
          <w:u w:val="single"/>
        </w:rPr>
        <w:t xml:space="preserve">Transactions with </w:t>
      </w:r>
      <w:r w:rsidR="003D4AC6" w:rsidRPr="00C9207C">
        <w:rPr>
          <w:rFonts w:ascii="Arial" w:hAnsi="Arial" w:cs="Arial"/>
          <w:sz w:val="20"/>
          <w:szCs w:val="20"/>
          <w:u w:val="single"/>
        </w:rPr>
        <w:t>Aberdeen City Council</w:t>
      </w:r>
      <w:r w:rsidRPr="00C9207C">
        <w:rPr>
          <w:rFonts w:ascii="Arial" w:hAnsi="Arial" w:cs="Arial"/>
          <w:sz w:val="20"/>
          <w:szCs w:val="20"/>
          <w:u w:val="single"/>
        </w:rPr>
        <w:t xml:space="preserve"> </w:t>
      </w:r>
    </w:p>
    <w:p w14:paraId="2EDFF9EB" w14:textId="77777777" w:rsidR="00C239D9" w:rsidRPr="00C9207C" w:rsidRDefault="00C239D9" w:rsidP="00A51927">
      <w:pPr>
        <w:spacing w:after="0" w:line="240" w:lineRule="auto"/>
        <w:ind w:left="720"/>
        <w:rPr>
          <w:rFonts w:ascii="Arial" w:hAnsi="Arial" w:cs="Arial"/>
          <w:sz w:val="20"/>
          <w:szCs w:val="20"/>
          <w:highlight w:val="yellow"/>
        </w:rPr>
      </w:pPr>
    </w:p>
    <w:tbl>
      <w:tblPr>
        <w:tblW w:w="890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18"/>
        <w:gridCol w:w="5166"/>
        <w:gridCol w:w="1916"/>
      </w:tblGrid>
      <w:tr w:rsidR="0061011B" w:rsidRPr="00C9207C" w14:paraId="35294EB0" w14:textId="77777777" w:rsidTr="004702FE">
        <w:trPr>
          <w:trHeight w:val="260"/>
        </w:trPr>
        <w:tc>
          <w:tcPr>
            <w:tcW w:w="1818" w:type="dxa"/>
            <w:tcBorders>
              <w:top w:val="single" w:sz="4" w:space="0" w:color="auto"/>
              <w:left w:val="single" w:sz="4" w:space="0" w:color="auto"/>
              <w:bottom w:val="nil"/>
              <w:right w:val="single" w:sz="4" w:space="0" w:color="auto"/>
            </w:tcBorders>
            <w:vAlign w:val="center"/>
            <w:hideMark/>
          </w:tcPr>
          <w:p w14:paraId="5C3B15C0" w14:textId="60A79299"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166" w:type="dxa"/>
            <w:tcBorders>
              <w:top w:val="single" w:sz="4" w:space="0" w:color="auto"/>
              <w:left w:val="single" w:sz="4" w:space="0" w:color="auto"/>
              <w:bottom w:val="nil"/>
              <w:right w:val="single" w:sz="4" w:space="0" w:color="auto"/>
            </w:tcBorders>
            <w:vAlign w:val="center"/>
            <w:hideMark/>
          </w:tcPr>
          <w:p w14:paraId="61BE4B61"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p>
        </w:tc>
        <w:tc>
          <w:tcPr>
            <w:tcW w:w="1916" w:type="dxa"/>
            <w:tcBorders>
              <w:top w:val="single" w:sz="4" w:space="0" w:color="auto"/>
              <w:left w:val="single" w:sz="4" w:space="0" w:color="auto"/>
              <w:bottom w:val="nil"/>
              <w:right w:val="single" w:sz="4" w:space="0" w:color="auto"/>
            </w:tcBorders>
            <w:noWrap/>
            <w:vAlign w:val="center"/>
            <w:hideMark/>
          </w:tcPr>
          <w:p w14:paraId="5C5E9FE7" w14:textId="4B7913F8"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61011B" w:rsidRPr="00C9207C" w14:paraId="6A011D3B" w14:textId="77777777" w:rsidTr="004702FE">
        <w:trPr>
          <w:trHeight w:val="250"/>
        </w:trPr>
        <w:tc>
          <w:tcPr>
            <w:tcW w:w="1818" w:type="dxa"/>
            <w:tcBorders>
              <w:top w:val="nil"/>
              <w:left w:val="single" w:sz="4" w:space="0" w:color="auto"/>
              <w:bottom w:val="nil"/>
              <w:right w:val="single" w:sz="4" w:space="0" w:color="auto"/>
            </w:tcBorders>
            <w:vAlign w:val="center"/>
            <w:hideMark/>
          </w:tcPr>
          <w:p w14:paraId="0CBC93C0"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66" w:type="dxa"/>
            <w:tcBorders>
              <w:top w:val="nil"/>
              <w:left w:val="single" w:sz="4" w:space="0" w:color="auto"/>
              <w:bottom w:val="nil"/>
              <w:right w:val="single" w:sz="4" w:space="0" w:color="auto"/>
            </w:tcBorders>
            <w:vAlign w:val="center"/>
            <w:hideMark/>
          </w:tcPr>
          <w:p w14:paraId="397CF01C"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p>
        </w:tc>
        <w:tc>
          <w:tcPr>
            <w:tcW w:w="1916" w:type="dxa"/>
            <w:tcBorders>
              <w:top w:val="nil"/>
              <w:left w:val="single" w:sz="4" w:space="0" w:color="auto"/>
              <w:bottom w:val="nil"/>
              <w:right w:val="single" w:sz="4" w:space="0" w:color="auto"/>
            </w:tcBorders>
            <w:vAlign w:val="center"/>
            <w:hideMark/>
          </w:tcPr>
          <w:p w14:paraId="09144754"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61011B" w:rsidRPr="00C9207C" w14:paraId="08A805EE" w14:textId="77777777" w:rsidTr="004702FE">
        <w:trPr>
          <w:trHeight w:val="250"/>
        </w:trPr>
        <w:tc>
          <w:tcPr>
            <w:tcW w:w="1818" w:type="dxa"/>
            <w:tcBorders>
              <w:top w:val="single" w:sz="4" w:space="0" w:color="auto"/>
              <w:left w:val="single" w:sz="4" w:space="0" w:color="auto"/>
              <w:bottom w:val="nil"/>
              <w:right w:val="single" w:sz="4" w:space="0" w:color="auto"/>
            </w:tcBorders>
            <w:vAlign w:val="center"/>
            <w:hideMark/>
          </w:tcPr>
          <w:p w14:paraId="2A5BABDD"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(136,325,258)</w:t>
            </w:r>
          </w:p>
        </w:tc>
        <w:tc>
          <w:tcPr>
            <w:tcW w:w="5166" w:type="dxa"/>
            <w:tcBorders>
              <w:top w:val="single" w:sz="4" w:space="0" w:color="auto"/>
              <w:left w:val="single" w:sz="4" w:space="0" w:color="auto"/>
              <w:bottom w:val="nil"/>
              <w:right w:val="single" w:sz="4" w:space="0" w:color="auto"/>
            </w:tcBorders>
            <w:vAlign w:val="center"/>
            <w:hideMark/>
          </w:tcPr>
          <w:p w14:paraId="19DD060B" w14:textId="77777777" w:rsidR="0061011B" w:rsidRPr="00C9207C" w:rsidRDefault="0061011B" w:rsidP="0061011B">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Funding Contributions received from the Council</w:t>
            </w:r>
          </w:p>
        </w:tc>
        <w:tc>
          <w:tcPr>
            <w:tcW w:w="1916" w:type="dxa"/>
            <w:tcBorders>
              <w:top w:val="single" w:sz="4" w:space="0" w:color="auto"/>
              <w:left w:val="single" w:sz="4" w:space="0" w:color="auto"/>
              <w:bottom w:val="nil"/>
              <w:right w:val="single" w:sz="4" w:space="0" w:color="auto"/>
            </w:tcBorders>
            <w:vAlign w:val="center"/>
            <w:hideMark/>
          </w:tcPr>
          <w:p w14:paraId="4F3D95C8"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(144,104,567)</w:t>
            </w:r>
          </w:p>
        </w:tc>
      </w:tr>
      <w:tr w:rsidR="0061011B" w:rsidRPr="00C9207C" w14:paraId="3A592728" w14:textId="77777777" w:rsidTr="004702FE">
        <w:trPr>
          <w:trHeight w:val="250"/>
        </w:trPr>
        <w:tc>
          <w:tcPr>
            <w:tcW w:w="1818" w:type="dxa"/>
            <w:tcBorders>
              <w:top w:val="nil"/>
              <w:left w:val="single" w:sz="4" w:space="0" w:color="auto"/>
              <w:bottom w:val="nil"/>
              <w:right w:val="single" w:sz="4" w:space="0" w:color="auto"/>
            </w:tcBorders>
            <w:vAlign w:val="center"/>
            <w:hideMark/>
          </w:tcPr>
          <w:p w14:paraId="30F840FF"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(6,384,627)</w:t>
            </w:r>
          </w:p>
        </w:tc>
        <w:tc>
          <w:tcPr>
            <w:tcW w:w="5166" w:type="dxa"/>
            <w:tcBorders>
              <w:top w:val="nil"/>
              <w:left w:val="single" w:sz="4" w:space="0" w:color="auto"/>
              <w:bottom w:val="nil"/>
              <w:right w:val="single" w:sz="4" w:space="0" w:color="auto"/>
            </w:tcBorders>
            <w:vAlign w:val="center"/>
            <w:hideMark/>
          </w:tcPr>
          <w:p w14:paraId="3EE23FB1" w14:textId="77777777" w:rsidR="0061011B" w:rsidRPr="00C9207C" w:rsidRDefault="0061011B" w:rsidP="0061011B">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Service Income received from the Council</w:t>
            </w:r>
          </w:p>
        </w:tc>
        <w:tc>
          <w:tcPr>
            <w:tcW w:w="1916" w:type="dxa"/>
            <w:tcBorders>
              <w:top w:val="nil"/>
              <w:left w:val="single" w:sz="4" w:space="0" w:color="auto"/>
              <w:bottom w:val="nil"/>
              <w:right w:val="single" w:sz="4" w:space="0" w:color="auto"/>
            </w:tcBorders>
            <w:vAlign w:val="center"/>
            <w:hideMark/>
          </w:tcPr>
          <w:p w14:paraId="08B246F7"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(7,042,868)</w:t>
            </w:r>
          </w:p>
        </w:tc>
      </w:tr>
      <w:tr w:rsidR="0061011B" w:rsidRPr="00C9207C" w14:paraId="0689E1B7" w14:textId="77777777" w:rsidTr="004702FE">
        <w:trPr>
          <w:trHeight w:val="250"/>
        </w:trPr>
        <w:tc>
          <w:tcPr>
            <w:tcW w:w="1818" w:type="dxa"/>
            <w:tcBorders>
              <w:top w:val="nil"/>
              <w:left w:val="single" w:sz="4" w:space="0" w:color="auto"/>
              <w:bottom w:val="nil"/>
              <w:right w:val="single" w:sz="4" w:space="0" w:color="auto"/>
            </w:tcBorders>
            <w:vAlign w:val="center"/>
            <w:hideMark/>
          </w:tcPr>
          <w:p w14:paraId="093FF091"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189,036,355</w:t>
            </w:r>
          </w:p>
        </w:tc>
        <w:tc>
          <w:tcPr>
            <w:tcW w:w="5166" w:type="dxa"/>
            <w:tcBorders>
              <w:top w:val="nil"/>
              <w:left w:val="single" w:sz="4" w:space="0" w:color="auto"/>
              <w:bottom w:val="nil"/>
              <w:right w:val="single" w:sz="4" w:space="0" w:color="auto"/>
            </w:tcBorders>
            <w:vAlign w:val="center"/>
            <w:hideMark/>
          </w:tcPr>
          <w:p w14:paraId="74FCA5A4" w14:textId="77777777" w:rsidR="0061011B" w:rsidRPr="00C9207C" w:rsidRDefault="0061011B" w:rsidP="0061011B">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Expenditure on Services Provided by the Council</w:t>
            </w:r>
          </w:p>
        </w:tc>
        <w:tc>
          <w:tcPr>
            <w:tcW w:w="1916" w:type="dxa"/>
            <w:tcBorders>
              <w:top w:val="nil"/>
              <w:left w:val="single" w:sz="4" w:space="0" w:color="auto"/>
              <w:bottom w:val="nil"/>
              <w:right w:val="single" w:sz="4" w:space="0" w:color="auto"/>
            </w:tcBorders>
            <w:vAlign w:val="center"/>
            <w:hideMark/>
          </w:tcPr>
          <w:p w14:paraId="1B6B82E9"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186,363,012</w:t>
            </w:r>
          </w:p>
        </w:tc>
      </w:tr>
      <w:tr w:rsidR="0061011B" w:rsidRPr="00C9207C" w14:paraId="38A0C81C" w14:textId="77777777" w:rsidTr="00ED63E2">
        <w:trPr>
          <w:trHeight w:val="250"/>
        </w:trPr>
        <w:tc>
          <w:tcPr>
            <w:tcW w:w="1818" w:type="dxa"/>
            <w:tcBorders>
              <w:top w:val="nil"/>
              <w:left w:val="single" w:sz="4" w:space="0" w:color="auto"/>
              <w:bottom w:val="single" w:sz="4" w:space="0" w:color="auto"/>
              <w:right w:val="single" w:sz="4" w:space="0" w:color="auto"/>
            </w:tcBorders>
            <w:vAlign w:val="center"/>
            <w:hideMark/>
          </w:tcPr>
          <w:p w14:paraId="72A4DE61"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71,425</w:t>
            </w:r>
          </w:p>
        </w:tc>
        <w:tc>
          <w:tcPr>
            <w:tcW w:w="5166" w:type="dxa"/>
            <w:tcBorders>
              <w:top w:val="nil"/>
              <w:left w:val="single" w:sz="4" w:space="0" w:color="auto"/>
              <w:bottom w:val="single" w:sz="4" w:space="0" w:color="auto"/>
              <w:right w:val="single" w:sz="4" w:space="0" w:color="auto"/>
            </w:tcBorders>
            <w:vAlign w:val="center"/>
            <w:hideMark/>
          </w:tcPr>
          <w:p w14:paraId="39F41238" w14:textId="77777777" w:rsidR="0061011B" w:rsidRPr="00C9207C" w:rsidRDefault="0061011B" w:rsidP="0061011B">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Key Management Personnel: Non-Voting Board Members</w:t>
            </w:r>
          </w:p>
        </w:tc>
        <w:tc>
          <w:tcPr>
            <w:tcW w:w="1916" w:type="dxa"/>
            <w:tcBorders>
              <w:top w:val="nil"/>
              <w:left w:val="single" w:sz="4" w:space="0" w:color="auto"/>
              <w:bottom w:val="single" w:sz="4" w:space="0" w:color="auto"/>
              <w:right w:val="single" w:sz="4" w:space="0" w:color="auto"/>
            </w:tcBorders>
            <w:vAlign w:val="center"/>
            <w:hideMark/>
          </w:tcPr>
          <w:p w14:paraId="636BC63C"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13,190</w:t>
            </w:r>
          </w:p>
        </w:tc>
      </w:tr>
      <w:tr w:rsidR="0061011B" w:rsidRPr="00C9207C" w14:paraId="06FE33B4" w14:textId="77777777" w:rsidTr="00ED63E2">
        <w:trPr>
          <w:trHeight w:val="270"/>
        </w:trPr>
        <w:tc>
          <w:tcPr>
            <w:tcW w:w="1818" w:type="dxa"/>
            <w:tcBorders>
              <w:top w:val="single" w:sz="4" w:space="0" w:color="auto"/>
              <w:left w:val="single" w:sz="4" w:space="0" w:color="auto"/>
              <w:bottom w:val="single" w:sz="4" w:space="0" w:color="auto"/>
              <w:right w:val="single" w:sz="4" w:space="0" w:color="auto"/>
            </w:tcBorders>
            <w:vAlign w:val="center"/>
            <w:hideMark/>
          </w:tcPr>
          <w:p w14:paraId="684F40D2" w14:textId="77777777" w:rsidR="0061011B" w:rsidRPr="00C9207C" w:rsidRDefault="0061011B" w:rsidP="0061011B">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46,397,895</w:t>
            </w:r>
          </w:p>
        </w:tc>
        <w:tc>
          <w:tcPr>
            <w:tcW w:w="5166" w:type="dxa"/>
            <w:tcBorders>
              <w:top w:val="single" w:sz="4" w:space="0" w:color="auto"/>
              <w:left w:val="single" w:sz="4" w:space="0" w:color="auto"/>
              <w:bottom w:val="single" w:sz="4" w:space="0" w:color="auto"/>
              <w:right w:val="single" w:sz="4" w:space="0" w:color="auto"/>
            </w:tcBorders>
            <w:vAlign w:val="center"/>
            <w:hideMark/>
          </w:tcPr>
          <w:p w14:paraId="4376A144" w14:textId="77777777" w:rsidR="0061011B" w:rsidRPr="00C9207C" w:rsidRDefault="0061011B" w:rsidP="0061011B">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Transactions with Aberdeen City Council</w:t>
            </w:r>
          </w:p>
        </w:tc>
        <w:tc>
          <w:tcPr>
            <w:tcW w:w="1916" w:type="dxa"/>
            <w:tcBorders>
              <w:top w:val="single" w:sz="4" w:space="0" w:color="auto"/>
              <w:left w:val="single" w:sz="4" w:space="0" w:color="auto"/>
              <w:bottom w:val="single" w:sz="4" w:space="0" w:color="auto"/>
              <w:right w:val="single" w:sz="4" w:space="0" w:color="auto"/>
            </w:tcBorders>
            <w:vAlign w:val="center"/>
            <w:hideMark/>
          </w:tcPr>
          <w:p w14:paraId="39157389" w14:textId="77777777" w:rsidR="0061011B" w:rsidRPr="00C9207C" w:rsidRDefault="0061011B" w:rsidP="0061011B">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35,228,767</w:t>
            </w:r>
          </w:p>
        </w:tc>
      </w:tr>
    </w:tbl>
    <w:p w14:paraId="7E461A79" w14:textId="77777777" w:rsidR="00C239D9" w:rsidRPr="00C9207C" w:rsidRDefault="00C239D9" w:rsidP="00A51927">
      <w:pPr>
        <w:tabs>
          <w:tab w:val="left" w:pos="2753"/>
        </w:tabs>
        <w:spacing w:after="0" w:line="240" w:lineRule="auto"/>
        <w:ind w:left="720"/>
        <w:rPr>
          <w:rFonts w:ascii="Arial" w:hAnsi="Arial" w:cs="Arial"/>
          <w:sz w:val="20"/>
          <w:szCs w:val="20"/>
          <w:highlight w:val="yellow"/>
        </w:rPr>
      </w:pPr>
    </w:p>
    <w:p w14:paraId="623488D9" w14:textId="77777777" w:rsidR="00D65A6C" w:rsidRPr="00C9207C" w:rsidRDefault="00D65A6C" w:rsidP="00A51927">
      <w:pPr>
        <w:spacing w:after="0" w:line="240" w:lineRule="auto"/>
        <w:rPr>
          <w:rFonts w:ascii="Arial" w:hAnsi="Arial" w:cs="Arial"/>
          <w:sz w:val="20"/>
          <w:szCs w:val="20"/>
          <w:highlight w:val="yellow"/>
        </w:rPr>
      </w:pPr>
    </w:p>
    <w:p w14:paraId="07323376" w14:textId="118EB20B" w:rsidR="00D004EE" w:rsidRPr="00C9207C" w:rsidRDefault="00FB3C2C" w:rsidP="00D004EE">
      <w:pPr>
        <w:spacing w:after="0" w:line="240" w:lineRule="auto"/>
        <w:rPr>
          <w:rFonts w:ascii="Arial" w:hAnsi="Arial" w:cs="Arial"/>
          <w:sz w:val="20"/>
          <w:szCs w:val="20"/>
        </w:rPr>
      </w:pPr>
      <w:r w:rsidRPr="00C9207C">
        <w:rPr>
          <w:rFonts w:ascii="Arial" w:hAnsi="Arial" w:cs="Arial"/>
          <w:sz w:val="20"/>
          <w:szCs w:val="20"/>
        </w:rPr>
        <w:t xml:space="preserve">Key Management Personnel: </w:t>
      </w:r>
      <w:r w:rsidR="008561E4" w:rsidRPr="00C9207C">
        <w:rPr>
          <w:rFonts w:ascii="Arial" w:hAnsi="Arial" w:cs="Arial"/>
          <w:sz w:val="20"/>
          <w:szCs w:val="20"/>
        </w:rPr>
        <w:t xml:space="preserve">The </w:t>
      </w:r>
      <w:r w:rsidR="006E3837" w:rsidRPr="00C9207C">
        <w:rPr>
          <w:rFonts w:ascii="Arial" w:hAnsi="Arial" w:cs="Arial"/>
          <w:sz w:val="20"/>
          <w:szCs w:val="20"/>
        </w:rPr>
        <w:t>n</w:t>
      </w:r>
      <w:r w:rsidR="008561E4" w:rsidRPr="00C9207C">
        <w:rPr>
          <w:rFonts w:ascii="Arial" w:hAnsi="Arial" w:cs="Arial"/>
          <w:sz w:val="20"/>
          <w:szCs w:val="20"/>
        </w:rPr>
        <w:t>on-</w:t>
      </w:r>
      <w:r w:rsidR="006E3837" w:rsidRPr="00C9207C">
        <w:rPr>
          <w:rFonts w:ascii="Arial" w:hAnsi="Arial" w:cs="Arial"/>
          <w:sz w:val="20"/>
          <w:szCs w:val="20"/>
        </w:rPr>
        <w:t>v</w:t>
      </w:r>
      <w:r w:rsidR="008561E4" w:rsidRPr="00C9207C">
        <w:rPr>
          <w:rFonts w:ascii="Arial" w:hAnsi="Arial" w:cs="Arial"/>
          <w:sz w:val="20"/>
          <w:szCs w:val="20"/>
        </w:rPr>
        <w:t xml:space="preserve">oting Board members employed by the </w:t>
      </w:r>
      <w:r w:rsidR="004B04E1" w:rsidRPr="00C9207C">
        <w:rPr>
          <w:rFonts w:ascii="Arial" w:hAnsi="Arial" w:cs="Arial"/>
          <w:sz w:val="20"/>
          <w:szCs w:val="20"/>
        </w:rPr>
        <w:t>Council</w:t>
      </w:r>
      <w:r w:rsidR="008561E4" w:rsidRPr="00C9207C">
        <w:rPr>
          <w:rFonts w:ascii="Arial" w:hAnsi="Arial" w:cs="Arial"/>
          <w:sz w:val="20"/>
          <w:szCs w:val="20"/>
        </w:rPr>
        <w:t xml:space="preserve"> and recharged to the IJB </w:t>
      </w:r>
      <w:r w:rsidR="003F5FE3">
        <w:rPr>
          <w:rFonts w:ascii="Arial" w:hAnsi="Arial" w:cs="Arial"/>
          <w:sz w:val="20"/>
          <w:szCs w:val="20"/>
        </w:rPr>
        <w:t xml:space="preserve">during the year </w:t>
      </w:r>
      <w:r w:rsidR="008561E4" w:rsidRPr="00C9207C">
        <w:rPr>
          <w:rFonts w:ascii="Arial" w:hAnsi="Arial" w:cs="Arial"/>
          <w:sz w:val="20"/>
          <w:szCs w:val="20"/>
        </w:rPr>
        <w:t xml:space="preserve">include </w:t>
      </w:r>
      <w:r w:rsidR="00C239D9" w:rsidRPr="00C9207C">
        <w:rPr>
          <w:rFonts w:ascii="Arial" w:hAnsi="Arial" w:cs="Arial"/>
          <w:sz w:val="20"/>
          <w:szCs w:val="20"/>
        </w:rPr>
        <w:t xml:space="preserve">the </w:t>
      </w:r>
      <w:r w:rsidR="00BA0BAC">
        <w:rPr>
          <w:rFonts w:ascii="Arial" w:hAnsi="Arial" w:cs="Arial"/>
          <w:sz w:val="20"/>
          <w:szCs w:val="20"/>
        </w:rPr>
        <w:t xml:space="preserve">Depute </w:t>
      </w:r>
      <w:r w:rsidR="00C239D9" w:rsidRPr="00C9207C">
        <w:rPr>
          <w:rFonts w:ascii="Arial" w:hAnsi="Arial" w:cs="Arial"/>
          <w:sz w:val="20"/>
          <w:szCs w:val="20"/>
        </w:rPr>
        <w:t>Chief Financial Officer</w:t>
      </w:r>
      <w:r w:rsidR="002B55B9" w:rsidRPr="00C9207C">
        <w:rPr>
          <w:rFonts w:ascii="Arial" w:hAnsi="Arial" w:cs="Arial"/>
          <w:sz w:val="20"/>
          <w:szCs w:val="20"/>
        </w:rPr>
        <w:t>. Details of the remuneration for some specific post-holders is provided in the Remuneration Report</w:t>
      </w:r>
      <w:r w:rsidR="00C239D9" w:rsidRPr="00C9207C">
        <w:rPr>
          <w:rFonts w:ascii="Arial" w:hAnsi="Arial" w:cs="Arial"/>
          <w:sz w:val="20"/>
          <w:szCs w:val="20"/>
        </w:rPr>
        <w:t>.</w:t>
      </w:r>
      <w:r w:rsidR="008561E4" w:rsidRPr="00C9207C">
        <w:rPr>
          <w:rFonts w:ascii="Arial" w:hAnsi="Arial" w:cs="Arial"/>
          <w:sz w:val="20"/>
          <w:szCs w:val="20"/>
        </w:rPr>
        <w:t xml:space="preserve"> </w:t>
      </w:r>
      <w:r w:rsidR="008A0570" w:rsidRPr="00C9207C">
        <w:rPr>
          <w:rFonts w:ascii="Arial" w:hAnsi="Arial" w:cs="Arial"/>
          <w:sz w:val="20"/>
          <w:szCs w:val="20"/>
        </w:rPr>
        <w:t xml:space="preserve"> </w:t>
      </w:r>
    </w:p>
    <w:p w14:paraId="0F179E2E" w14:textId="77777777" w:rsidR="00F56A9C" w:rsidRPr="00C9207C" w:rsidRDefault="00F56A9C" w:rsidP="00A51927">
      <w:pPr>
        <w:spacing w:after="0" w:line="240" w:lineRule="auto"/>
        <w:rPr>
          <w:rFonts w:ascii="Arial" w:hAnsi="Arial" w:cs="Arial"/>
          <w:sz w:val="20"/>
          <w:szCs w:val="20"/>
        </w:rPr>
      </w:pPr>
    </w:p>
    <w:p w14:paraId="033B7CE6" w14:textId="752ECE6B" w:rsidR="00F56A9C" w:rsidRPr="00C9207C" w:rsidRDefault="00F56A9C" w:rsidP="00F56A9C">
      <w:pPr>
        <w:spacing w:after="0" w:line="240" w:lineRule="auto"/>
        <w:ind w:left="720"/>
        <w:rPr>
          <w:rFonts w:ascii="Arial" w:hAnsi="Arial" w:cs="Arial"/>
          <w:sz w:val="20"/>
          <w:szCs w:val="20"/>
          <w:u w:val="single"/>
        </w:rPr>
      </w:pPr>
      <w:r w:rsidRPr="00C9207C">
        <w:rPr>
          <w:rFonts w:ascii="Arial" w:hAnsi="Arial" w:cs="Arial"/>
          <w:sz w:val="20"/>
          <w:szCs w:val="20"/>
          <w:u w:val="single"/>
        </w:rPr>
        <w:t>Balances with Aberdeen City Council</w:t>
      </w:r>
    </w:p>
    <w:p w14:paraId="13CC142F" w14:textId="77777777" w:rsidR="00282028" w:rsidRPr="00C9207C" w:rsidRDefault="00282028" w:rsidP="00A51927">
      <w:pPr>
        <w:spacing w:after="0" w:line="240" w:lineRule="auto"/>
        <w:ind w:left="720"/>
        <w:rPr>
          <w:rFonts w:ascii="Arial" w:hAnsi="Arial" w:cs="Arial"/>
          <w:sz w:val="20"/>
          <w:szCs w:val="20"/>
          <w:highlight w:val="yellow"/>
        </w:rPr>
      </w:pPr>
    </w:p>
    <w:tbl>
      <w:tblPr>
        <w:tblW w:w="890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20"/>
        <w:gridCol w:w="5180"/>
        <w:gridCol w:w="1900"/>
      </w:tblGrid>
      <w:tr w:rsidR="00F44295" w:rsidRPr="00C9207C" w14:paraId="355E3B6D" w14:textId="77777777" w:rsidTr="00B42991">
        <w:trPr>
          <w:trHeight w:val="260"/>
        </w:trPr>
        <w:tc>
          <w:tcPr>
            <w:tcW w:w="1820" w:type="dxa"/>
            <w:tcBorders>
              <w:top w:val="single" w:sz="4" w:space="0" w:color="auto"/>
              <w:left w:val="single" w:sz="4" w:space="0" w:color="auto"/>
              <w:bottom w:val="nil"/>
              <w:right w:val="single" w:sz="4" w:space="0" w:color="auto"/>
            </w:tcBorders>
            <w:vAlign w:val="center"/>
            <w:hideMark/>
          </w:tcPr>
          <w:p w14:paraId="3A01DD08"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31-Mar-25</w:t>
            </w:r>
          </w:p>
        </w:tc>
        <w:tc>
          <w:tcPr>
            <w:tcW w:w="5180" w:type="dxa"/>
            <w:tcBorders>
              <w:top w:val="single" w:sz="4" w:space="0" w:color="auto"/>
              <w:left w:val="single" w:sz="4" w:space="0" w:color="auto"/>
              <w:bottom w:val="nil"/>
              <w:right w:val="single" w:sz="4" w:space="0" w:color="auto"/>
            </w:tcBorders>
            <w:vAlign w:val="center"/>
            <w:hideMark/>
          </w:tcPr>
          <w:p w14:paraId="74895571"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539FD293"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F44295" w:rsidRPr="00C9207C" w14:paraId="041425E5" w14:textId="77777777" w:rsidTr="00B42991">
        <w:trPr>
          <w:trHeight w:val="250"/>
        </w:trPr>
        <w:tc>
          <w:tcPr>
            <w:tcW w:w="1820" w:type="dxa"/>
            <w:tcBorders>
              <w:top w:val="nil"/>
              <w:left w:val="single" w:sz="4" w:space="0" w:color="auto"/>
              <w:bottom w:val="nil"/>
              <w:right w:val="single" w:sz="4" w:space="0" w:color="auto"/>
            </w:tcBorders>
            <w:vAlign w:val="center"/>
            <w:hideMark/>
          </w:tcPr>
          <w:p w14:paraId="7B1A9F42" w14:textId="77777777" w:rsidR="00F44295" w:rsidRPr="00C9207C" w:rsidRDefault="00F44295" w:rsidP="00F44295">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80" w:type="dxa"/>
            <w:tcBorders>
              <w:top w:val="nil"/>
              <w:left w:val="single" w:sz="4" w:space="0" w:color="auto"/>
              <w:bottom w:val="nil"/>
              <w:right w:val="single" w:sz="4" w:space="0" w:color="auto"/>
            </w:tcBorders>
            <w:vAlign w:val="center"/>
            <w:hideMark/>
          </w:tcPr>
          <w:p w14:paraId="475C9EF0" w14:textId="77777777" w:rsidR="00F44295" w:rsidRPr="00C9207C" w:rsidRDefault="00F44295" w:rsidP="00F44295">
            <w:pPr>
              <w:spacing w:after="0" w:line="240" w:lineRule="auto"/>
              <w:jc w:val="right"/>
              <w:rPr>
                <w:rFonts w:ascii="Arial" w:eastAsia="Times New Roman" w:hAnsi="Arial" w:cs="Arial"/>
                <w:color w:val="000000"/>
                <w:sz w:val="20"/>
                <w:szCs w:val="20"/>
                <w:lang w:eastAsia="en-GB"/>
              </w:rPr>
            </w:pPr>
          </w:p>
        </w:tc>
        <w:tc>
          <w:tcPr>
            <w:tcW w:w="1900" w:type="dxa"/>
            <w:tcBorders>
              <w:top w:val="nil"/>
              <w:left w:val="single" w:sz="4" w:space="0" w:color="auto"/>
              <w:bottom w:val="nil"/>
              <w:right w:val="single" w:sz="4" w:space="0" w:color="auto"/>
            </w:tcBorders>
            <w:vAlign w:val="center"/>
            <w:hideMark/>
          </w:tcPr>
          <w:p w14:paraId="474A2FAF"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F44295" w:rsidRPr="00C9207C" w14:paraId="0575D440" w14:textId="77777777" w:rsidTr="00B42991">
        <w:trPr>
          <w:trHeight w:val="250"/>
        </w:trPr>
        <w:tc>
          <w:tcPr>
            <w:tcW w:w="1820" w:type="dxa"/>
            <w:tcBorders>
              <w:top w:val="single" w:sz="4" w:space="0" w:color="auto"/>
              <w:left w:val="single" w:sz="4" w:space="0" w:color="auto"/>
              <w:bottom w:val="nil"/>
              <w:right w:val="single" w:sz="4" w:space="0" w:color="auto"/>
            </w:tcBorders>
            <w:vAlign w:val="center"/>
            <w:hideMark/>
          </w:tcPr>
          <w:p w14:paraId="7B7988CA" w14:textId="7912FE6F" w:rsidR="00F44295" w:rsidRPr="00C9207C" w:rsidRDefault="00B426C2" w:rsidP="00F44295">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180" w:type="dxa"/>
            <w:tcBorders>
              <w:top w:val="single" w:sz="4" w:space="0" w:color="auto"/>
              <w:left w:val="single" w:sz="4" w:space="0" w:color="auto"/>
              <w:bottom w:val="nil"/>
              <w:right w:val="single" w:sz="4" w:space="0" w:color="auto"/>
            </w:tcBorders>
            <w:vAlign w:val="center"/>
            <w:hideMark/>
          </w:tcPr>
          <w:p w14:paraId="0081A785" w14:textId="77777777" w:rsidR="00F44295" w:rsidRPr="00C9207C" w:rsidRDefault="00F44295" w:rsidP="00F44295">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Debtor balances: Amounts due from the Council</w:t>
            </w:r>
          </w:p>
        </w:tc>
        <w:tc>
          <w:tcPr>
            <w:tcW w:w="1900" w:type="dxa"/>
            <w:tcBorders>
              <w:top w:val="single" w:sz="4" w:space="0" w:color="auto"/>
              <w:left w:val="single" w:sz="4" w:space="0" w:color="auto"/>
              <w:bottom w:val="nil"/>
              <w:right w:val="single" w:sz="4" w:space="0" w:color="auto"/>
            </w:tcBorders>
            <w:vAlign w:val="center"/>
            <w:hideMark/>
          </w:tcPr>
          <w:p w14:paraId="09044FCB"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637,660</w:t>
            </w:r>
          </w:p>
        </w:tc>
      </w:tr>
      <w:tr w:rsidR="00F44295" w:rsidRPr="00C9207C" w14:paraId="25F2AC53" w14:textId="77777777" w:rsidTr="00ED63E2">
        <w:trPr>
          <w:trHeight w:val="250"/>
        </w:trPr>
        <w:tc>
          <w:tcPr>
            <w:tcW w:w="1820" w:type="dxa"/>
            <w:tcBorders>
              <w:top w:val="nil"/>
              <w:left w:val="single" w:sz="4" w:space="0" w:color="auto"/>
              <w:bottom w:val="single" w:sz="4" w:space="0" w:color="auto"/>
              <w:right w:val="single" w:sz="4" w:space="0" w:color="auto"/>
            </w:tcBorders>
            <w:vAlign w:val="center"/>
            <w:hideMark/>
          </w:tcPr>
          <w:p w14:paraId="145C4E64" w14:textId="77777777" w:rsidR="00F44295" w:rsidRPr="00C9207C" w:rsidRDefault="00F44295" w:rsidP="00F44295">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(18,368,031)</w:t>
            </w:r>
          </w:p>
        </w:tc>
        <w:tc>
          <w:tcPr>
            <w:tcW w:w="5180" w:type="dxa"/>
            <w:tcBorders>
              <w:top w:val="nil"/>
              <w:left w:val="single" w:sz="4" w:space="0" w:color="auto"/>
              <w:bottom w:val="single" w:sz="4" w:space="0" w:color="auto"/>
              <w:right w:val="single" w:sz="4" w:space="0" w:color="auto"/>
            </w:tcBorders>
            <w:vAlign w:val="center"/>
            <w:hideMark/>
          </w:tcPr>
          <w:p w14:paraId="343817D3" w14:textId="77777777" w:rsidR="00F44295" w:rsidRPr="00C9207C" w:rsidRDefault="00F44295" w:rsidP="00F44295">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Creditor balances: Amounts due to the Council</w:t>
            </w:r>
          </w:p>
        </w:tc>
        <w:tc>
          <w:tcPr>
            <w:tcW w:w="1900" w:type="dxa"/>
            <w:tcBorders>
              <w:top w:val="nil"/>
              <w:left w:val="single" w:sz="4" w:space="0" w:color="auto"/>
              <w:bottom w:val="single" w:sz="4" w:space="0" w:color="auto"/>
              <w:right w:val="single" w:sz="4" w:space="0" w:color="auto"/>
            </w:tcBorders>
            <w:vAlign w:val="center"/>
            <w:hideMark/>
          </w:tcPr>
          <w:p w14:paraId="66F6D267" w14:textId="73B94545" w:rsidR="00F44295" w:rsidRPr="00C9207C" w:rsidRDefault="00B426C2"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w:t>
            </w:r>
          </w:p>
        </w:tc>
      </w:tr>
      <w:tr w:rsidR="00F44295" w:rsidRPr="00C9207C" w14:paraId="17A57DD9" w14:textId="77777777" w:rsidTr="00ED63E2">
        <w:trPr>
          <w:trHeight w:val="270"/>
        </w:trPr>
        <w:tc>
          <w:tcPr>
            <w:tcW w:w="1820" w:type="dxa"/>
            <w:tcBorders>
              <w:top w:val="single" w:sz="4" w:space="0" w:color="auto"/>
              <w:left w:val="single" w:sz="4" w:space="0" w:color="auto"/>
              <w:bottom w:val="single" w:sz="4" w:space="0" w:color="auto"/>
              <w:right w:val="single" w:sz="4" w:space="0" w:color="auto"/>
            </w:tcBorders>
            <w:vAlign w:val="center"/>
            <w:hideMark/>
          </w:tcPr>
          <w:p w14:paraId="123CC1A1" w14:textId="77777777" w:rsidR="00F44295" w:rsidRPr="00C9207C" w:rsidRDefault="00F44295" w:rsidP="00F44295">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(18,368,031)</w:t>
            </w:r>
          </w:p>
        </w:tc>
        <w:tc>
          <w:tcPr>
            <w:tcW w:w="5180" w:type="dxa"/>
            <w:tcBorders>
              <w:top w:val="single" w:sz="4" w:space="0" w:color="auto"/>
              <w:left w:val="single" w:sz="4" w:space="0" w:color="auto"/>
              <w:bottom w:val="single" w:sz="4" w:space="0" w:color="auto"/>
              <w:right w:val="single" w:sz="4" w:space="0" w:color="auto"/>
            </w:tcBorders>
            <w:vAlign w:val="center"/>
            <w:hideMark/>
          </w:tcPr>
          <w:p w14:paraId="3FDCFBE7" w14:textId="77777777" w:rsidR="00F44295" w:rsidRPr="00C9207C" w:rsidRDefault="00F44295" w:rsidP="00F44295">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Balance with the Aberdeen City Council</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BB8B286" w14:textId="77777777" w:rsidR="00F44295" w:rsidRPr="00C9207C" w:rsidRDefault="00F44295" w:rsidP="00F44295">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637,660</w:t>
            </w:r>
          </w:p>
        </w:tc>
      </w:tr>
    </w:tbl>
    <w:p w14:paraId="07E6AD25" w14:textId="77777777" w:rsidR="001D2CB6" w:rsidRDefault="001D2CB6" w:rsidP="00A51927">
      <w:pPr>
        <w:rPr>
          <w:rFonts w:ascii="Arial" w:hAnsi="Arial" w:cs="Arial"/>
          <w:sz w:val="20"/>
          <w:szCs w:val="20"/>
          <w:highlight w:val="yellow"/>
        </w:rPr>
      </w:pPr>
    </w:p>
    <w:p w14:paraId="72699EA8" w14:textId="5E1A7955" w:rsidR="002068D1" w:rsidRPr="00C9207C" w:rsidRDefault="002068D1" w:rsidP="00A51927">
      <w:pPr>
        <w:spacing w:line="240" w:lineRule="auto"/>
        <w:ind w:left="720"/>
        <w:rPr>
          <w:rFonts w:ascii="Arial" w:hAnsi="Arial" w:cs="Arial"/>
          <w:sz w:val="20"/>
          <w:szCs w:val="20"/>
          <w:u w:val="single"/>
        </w:rPr>
      </w:pPr>
      <w:r w:rsidRPr="00C9207C">
        <w:rPr>
          <w:rFonts w:ascii="Arial" w:hAnsi="Arial" w:cs="Arial"/>
          <w:sz w:val="20"/>
          <w:szCs w:val="20"/>
          <w:u w:val="single"/>
        </w:rPr>
        <w:t>Transactions with Bon Accord Care (BAC) and Bon Accord Support Services (BASS)</w:t>
      </w:r>
    </w:p>
    <w:p w14:paraId="58F87EB4" w14:textId="77777777" w:rsidR="004118FC" w:rsidRPr="00C9207C" w:rsidRDefault="00E17C2B" w:rsidP="00A51927">
      <w:pPr>
        <w:spacing w:line="240" w:lineRule="auto"/>
        <w:rPr>
          <w:rFonts w:ascii="Arial" w:hAnsi="Arial" w:cs="Arial"/>
          <w:sz w:val="20"/>
          <w:szCs w:val="20"/>
        </w:rPr>
      </w:pPr>
      <w:r w:rsidRPr="00C9207C">
        <w:rPr>
          <w:rFonts w:ascii="Arial" w:hAnsi="Arial" w:cs="Arial"/>
          <w:sz w:val="20"/>
          <w:szCs w:val="20"/>
        </w:rPr>
        <w:t xml:space="preserve">Bon </w:t>
      </w:r>
      <w:r w:rsidR="004118FC" w:rsidRPr="00C9207C">
        <w:rPr>
          <w:rFonts w:ascii="Arial" w:hAnsi="Arial" w:cs="Arial"/>
          <w:sz w:val="20"/>
          <w:szCs w:val="20"/>
        </w:rPr>
        <w:t>Accord Care Limited and Bon Accord Support Services Limited are private companies limited by shares which are 100% owned by Aberdeen City Council. Bon Accord Care provides regulated (by the Care Inspectorate) care services to Bon Accord Support Services which in turn delivers both regulated and unregulated adult social care services to the Council.</w:t>
      </w:r>
    </w:p>
    <w:tbl>
      <w:tblPr>
        <w:tblW w:w="89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820"/>
        <w:gridCol w:w="5200"/>
        <w:gridCol w:w="1900"/>
      </w:tblGrid>
      <w:tr w:rsidR="00910CBE" w:rsidRPr="00C9207C" w14:paraId="4E85E345" w14:textId="77777777" w:rsidTr="00F012F8">
        <w:trPr>
          <w:trHeight w:val="260"/>
        </w:trPr>
        <w:tc>
          <w:tcPr>
            <w:tcW w:w="1820" w:type="dxa"/>
            <w:tcBorders>
              <w:top w:val="single" w:sz="4" w:space="0" w:color="auto"/>
              <w:left w:val="single" w:sz="4" w:space="0" w:color="auto"/>
              <w:bottom w:val="nil"/>
              <w:right w:val="single" w:sz="4" w:space="0" w:color="auto"/>
            </w:tcBorders>
            <w:vAlign w:val="center"/>
            <w:hideMark/>
          </w:tcPr>
          <w:p w14:paraId="43A0052A"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bookmarkStart w:id="52" w:name="_Toc11249446"/>
            <w:r w:rsidRPr="00C9207C">
              <w:rPr>
                <w:rFonts w:ascii="Arial" w:eastAsia="Times New Roman" w:hAnsi="Arial" w:cs="Arial"/>
                <w:b/>
                <w:bCs/>
                <w:color w:val="000000"/>
                <w:sz w:val="20"/>
                <w:szCs w:val="20"/>
                <w:lang w:eastAsia="en-GB"/>
              </w:rPr>
              <w:t>31-Mar-25</w:t>
            </w:r>
          </w:p>
        </w:tc>
        <w:tc>
          <w:tcPr>
            <w:tcW w:w="5200" w:type="dxa"/>
            <w:tcBorders>
              <w:top w:val="single" w:sz="4" w:space="0" w:color="auto"/>
              <w:left w:val="single" w:sz="4" w:space="0" w:color="auto"/>
              <w:bottom w:val="nil"/>
              <w:right w:val="single" w:sz="4" w:space="0" w:color="auto"/>
            </w:tcBorders>
            <w:vAlign w:val="center"/>
            <w:hideMark/>
          </w:tcPr>
          <w:p w14:paraId="6CF2E5E9"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p>
        </w:tc>
        <w:tc>
          <w:tcPr>
            <w:tcW w:w="1900" w:type="dxa"/>
            <w:tcBorders>
              <w:top w:val="single" w:sz="4" w:space="0" w:color="auto"/>
              <w:left w:val="single" w:sz="4" w:space="0" w:color="auto"/>
              <w:bottom w:val="nil"/>
              <w:right w:val="single" w:sz="4" w:space="0" w:color="auto"/>
            </w:tcBorders>
            <w:vAlign w:val="center"/>
            <w:hideMark/>
          </w:tcPr>
          <w:p w14:paraId="3D6B0AB0"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31-Mar-26</w:t>
            </w:r>
          </w:p>
        </w:tc>
      </w:tr>
      <w:tr w:rsidR="00910CBE" w:rsidRPr="00C9207C" w14:paraId="323DF987" w14:textId="77777777" w:rsidTr="00F012F8">
        <w:trPr>
          <w:trHeight w:val="250"/>
        </w:trPr>
        <w:tc>
          <w:tcPr>
            <w:tcW w:w="1820" w:type="dxa"/>
            <w:tcBorders>
              <w:top w:val="nil"/>
              <w:left w:val="single" w:sz="4" w:space="0" w:color="auto"/>
              <w:bottom w:val="nil"/>
              <w:right w:val="single" w:sz="4" w:space="0" w:color="auto"/>
            </w:tcBorders>
            <w:vAlign w:val="center"/>
            <w:hideMark/>
          </w:tcPr>
          <w:p w14:paraId="016CA609"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c>
          <w:tcPr>
            <w:tcW w:w="5200" w:type="dxa"/>
            <w:tcBorders>
              <w:top w:val="nil"/>
              <w:left w:val="single" w:sz="4" w:space="0" w:color="auto"/>
              <w:bottom w:val="nil"/>
              <w:right w:val="single" w:sz="4" w:space="0" w:color="auto"/>
            </w:tcBorders>
            <w:vAlign w:val="center"/>
            <w:hideMark/>
          </w:tcPr>
          <w:p w14:paraId="402A6430"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p>
        </w:tc>
        <w:tc>
          <w:tcPr>
            <w:tcW w:w="1900" w:type="dxa"/>
            <w:tcBorders>
              <w:top w:val="nil"/>
              <w:left w:val="single" w:sz="4" w:space="0" w:color="auto"/>
              <w:bottom w:val="nil"/>
              <w:right w:val="single" w:sz="4" w:space="0" w:color="auto"/>
            </w:tcBorders>
            <w:vAlign w:val="center"/>
            <w:hideMark/>
          </w:tcPr>
          <w:p w14:paraId="355252C4"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w:t>
            </w:r>
          </w:p>
        </w:tc>
      </w:tr>
      <w:tr w:rsidR="00910CBE" w:rsidRPr="00C9207C" w14:paraId="2758F605" w14:textId="77777777" w:rsidTr="00F012F8">
        <w:trPr>
          <w:trHeight w:val="260"/>
        </w:trPr>
        <w:tc>
          <w:tcPr>
            <w:tcW w:w="1820" w:type="dxa"/>
            <w:tcBorders>
              <w:top w:val="single" w:sz="4" w:space="0" w:color="auto"/>
              <w:left w:val="single" w:sz="4" w:space="0" w:color="auto"/>
              <w:bottom w:val="nil"/>
              <w:right w:val="single" w:sz="4" w:space="0" w:color="auto"/>
            </w:tcBorders>
            <w:vAlign w:val="center"/>
            <w:hideMark/>
          </w:tcPr>
          <w:p w14:paraId="5CBFA912"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(675,597)</w:t>
            </w:r>
          </w:p>
        </w:tc>
        <w:tc>
          <w:tcPr>
            <w:tcW w:w="5200" w:type="dxa"/>
            <w:tcBorders>
              <w:top w:val="single" w:sz="4" w:space="0" w:color="auto"/>
              <w:left w:val="single" w:sz="4" w:space="0" w:color="auto"/>
              <w:bottom w:val="nil"/>
              <w:right w:val="single" w:sz="4" w:space="0" w:color="auto"/>
            </w:tcBorders>
            <w:vAlign w:val="center"/>
            <w:hideMark/>
          </w:tcPr>
          <w:p w14:paraId="3FC5F0B4" w14:textId="77777777" w:rsidR="00910CBE" w:rsidRPr="00C9207C" w:rsidRDefault="00910CBE" w:rsidP="00910CB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Service Income Received from the Council</w:t>
            </w:r>
          </w:p>
        </w:tc>
        <w:tc>
          <w:tcPr>
            <w:tcW w:w="1900" w:type="dxa"/>
            <w:tcBorders>
              <w:top w:val="single" w:sz="4" w:space="0" w:color="auto"/>
              <w:left w:val="single" w:sz="4" w:space="0" w:color="auto"/>
              <w:bottom w:val="nil"/>
              <w:right w:val="single" w:sz="4" w:space="0" w:color="auto"/>
            </w:tcBorders>
            <w:vAlign w:val="center"/>
            <w:hideMark/>
          </w:tcPr>
          <w:p w14:paraId="27B00913"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(467,012)</w:t>
            </w:r>
          </w:p>
        </w:tc>
      </w:tr>
      <w:tr w:rsidR="00910CBE" w:rsidRPr="00C9207C" w14:paraId="19F0A955" w14:textId="77777777" w:rsidTr="00F012F8">
        <w:trPr>
          <w:trHeight w:val="260"/>
        </w:trPr>
        <w:tc>
          <w:tcPr>
            <w:tcW w:w="1820" w:type="dxa"/>
            <w:tcBorders>
              <w:top w:val="nil"/>
              <w:left w:val="single" w:sz="4" w:space="0" w:color="auto"/>
              <w:bottom w:val="nil"/>
              <w:right w:val="single" w:sz="4" w:space="0" w:color="auto"/>
            </w:tcBorders>
            <w:vAlign w:val="center"/>
            <w:hideMark/>
          </w:tcPr>
          <w:p w14:paraId="1AE2E8AC"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35,070,424</w:t>
            </w:r>
          </w:p>
        </w:tc>
        <w:tc>
          <w:tcPr>
            <w:tcW w:w="5200" w:type="dxa"/>
            <w:tcBorders>
              <w:top w:val="nil"/>
              <w:left w:val="single" w:sz="4" w:space="0" w:color="auto"/>
              <w:bottom w:val="nil"/>
              <w:right w:val="single" w:sz="4" w:space="0" w:color="auto"/>
            </w:tcBorders>
            <w:vAlign w:val="center"/>
            <w:hideMark/>
          </w:tcPr>
          <w:p w14:paraId="0E04D392" w14:textId="77777777" w:rsidR="00910CBE" w:rsidRPr="00C9207C" w:rsidRDefault="00910CBE" w:rsidP="00910CBE">
            <w:pPr>
              <w:spacing w:after="0" w:line="240" w:lineRule="auto"/>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Expenditure on Services Provided by the Council</w:t>
            </w:r>
          </w:p>
        </w:tc>
        <w:tc>
          <w:tcPr>
            <w:tcW w:w="1900" w:type="dxa"/>
            <w:tcBorders>
              <w:top w:val="nil"/>
              <w:left w:val="single" w:sz="4" w:space="0" w:color="auto"/>
              <w:bottom w:val="nil"/>
              <w:right w:val="single" w:sz="4" w:space="0" w:color="auto"/>
            </w:tcBorders>
            <w:vAlign w:val="center"/>
            <w:hideMark/>
          </w:tcPr>
          <w:p w14:paraId="6A354DA5"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35,277,586</w:t>
            </w:r>
          </w:p>
        </w:tc>
      </w:tr>
      <w:tr w:rsidR="00910CBE" w:rsidRPr="00C9207C" w14:paraId="20E60F2E" w14:textId="77777777" w:rsidTr="00F012F8">
        <w:trPr>
          <w:trHeight w:val="260"/>
        </w:trPr>
        <w:tc>
          <w:tcPr>
            <w:tcW w:w="1820" w:type="dxa"/>
            <w:tcBorders>
              <w:top w:val="single" w:sz="4" w:space="0" w:color="auto"/>
              <w:left w:val="single" w:sz="4" w:space="0" w:color="auto"/>
              <w:bottom w:val="single" w:sz="4" w:space="0" w:color="auto"/>
              <w:right w:val="single" w:sz="4" w:space="0" w:color="auto"/>
            </w:tcBorders>
            <w:vAlign w:val="center"/>
            <w:hideMark/>
          </w:tcPr>
          <w:p w14:paraId="4092BD84" w14:textId="77777777" w:rsidR="00910CBE" w:rsidRPr="00C9207C" w:rsidRDefault="00910CBE" w:rsidP="00910CBE">
            <w:pPr>
              <w:spacing w:after="0" w:line="240" w:lineRule="auto"/>
              <w:jc w:val="right"/>
              <w:rPr>
                <w:rFonts w:ascii="Arial" w:eastAsia="Times New Roman" w:hAnsi="Arial" w:cs="Arial"/>
                <w:color w:val="000000"/>
                <w:sz w:val="20"/>
                <w:szCs w:val="20"/>
                <w:lang w:eastAsia="en-GB"/>
              </w:rPr>
            </w:pPr>
            <w:r w:rsidRPr="00C9207C">
              <w:rPr>
                <w:rFonts w:ascii="Arial" w:eastAsia="Times New Roman" w:hAnsi="Arial" w:cs="Arial"/>
                <w:color w:val="000000"/>
                <w:sz w:val="20"/>
                <w:szCs w:val="20"/>
                <w:lang w:eastAsia="en-GB"/>
              </w:rPr>
              <w:t>34,394,827</w:t>
            </w:r>
          </w:p>
        </w:tc>
        <w:tc>
          <w:tcPr>
            <w:tcW w:w="5200" w:type="dxa"/>
            <w:tcBorders>
              <w:top w:val="single" w:sz="4" w:space="0" w:color="auto"/>
              <w:left w:val="single" w:sz="4" w:space="0" w:color="auto"/>
              <w:bottom w:val="single" w:sz="4" w:space="0" w:color="auto"/>
              <w:right w:val="single" w:sz="4" w:space="0" w:color="auto"/>
            </w:tcBorders>
            <w:vAlign w:val="center"/>
            <w:hideMark/>
          </w:tcPr>
          <w:p w14:paraId="587D42A0" w14:textId="77777777" w:rsidR="00910CBE" w:rsidRPr="00C9207C" w:rsidRDefault="00910CBE" w:rsidP="00910CBE">
            <w:pPr>
              <w:spacing w:after="0" w:line="240" w:lineRule="auto"/>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Net Transactions with BAC/BASS</w:t>
            </w:r>
          </w:p>
        </w:tc>
        <w:tc>
          <w:tcPr>
            <w:tcW w:w="1900" w:type="dxa"/>
            <w:tcBorders>
              <w:top w:val="single" w:sz="4" w:space="0" w:color="auto"/>
              <w:left w:val="single" w:sz="4" w:space="0" w:color="auto"/>
              <w:bottom w:val="single" w:sz="4" w:space="0" w:color="auto"/>
              <w:right w:val="single" w:sz="4" w:space="0" w:color="auto"/>
            </w:tcBorders>
            <w:vAlign w:val="center"/>
            <w:hideMark/>
          </w:tcPr>
          <w:p w14:paraId="5871CD83" w14:textId="77777777" w:rsidR="00910CBE" w:rsidRPr="00C9207C" w:rsidRDefault="00910CBE" w:rsidP="00910CBE">
            <w:pPr>
              <w:spacing w:after="0" w:line="240" w:lineRule="auto"/>
              <w:jc w:val="right"/>
              <w:rPr>
                <w:rFonts w:ascii="Arial" w:eastAsia="Times New Roman" w:hAnsi="Arial" w:cs="Arial"/>
                <w:b/>
                <w:bCs/>
                <w:color w:val="000000"/>
                <w:sz w:val="20"/>
                <w:szCs w:val="20"/>
                <w:lang w:eastAsia="en-GB"/>
              </w:rPr>
            </w:pPr>
            <w:r w:rsidRPr="00C9207C">
              <w:rPr>
                <w:rFonts w:ascii="Arial" w:eastAsia="Times New Roman" w:hAnsi="Arial" w:cs="Arial"/>
                <w:b/>
                <w:bCs/>
                <w:color w:val="000000"/>
                <w:sz w:val="20"/>
                <w:szCs w:val="20"/>
                <w:lang w:eastAsia="en-GB"/>
              </w:rPr>
              <w:t>34,810,574</w:t>
            </w:r>
          </w:p>
        </w:tc>
      </w:tr>
    </w:tbl>
    <w:p w14:paraId="025CAA2D" w14:textId="77777777" w:rsidR="008A53E6" w:rsidRPr="00C9207C" w:rsidRDefault="008A53E6" w:rsidP="00A51927">
      <w:pPr>
        <w:spacing w:after="0" w:line="240" w:lineRule="auto"/>
        <w:outlineLvl w:val="2"/>
        <w:rPr>
          <w:rFonts w:ascii="Arial" w:hAnsi="Arial" w:cs="Arial"/>
          <w:b/>
          <w:sz w:val="20"/>
          <w:szCs w:val="20"/>
          <w:highlight w:val="yellow"/>
          <w:u w:val="single"/>
        </w:rPr>
      </w:pPr>
    </w:p>
    <w:p w14:paraId="29D1657E" w14:textId="77777777" w:rsidR="008A53E6" w:rsidRPr="00C9207C" w:rsidRDefault="008A53E6" w:rsidP="00A51927">
      <w:pPr>
        <w:spacing w:after="0" w:line="240" w:lineRule="auto"/>
        <w:outlineLvl w:val="2"/>
        <w:rPr>
          <w:rFonts w:ascii="Arial" w:hAnsi="Arial" w:cs="Arial"/>
          <w:b/>
          <w:sz w:val="20"/>
          <w:szCs w:val="20"/>
          <w:highlight w:val="yellow"/>
          <w:u w:val="single"/>
        </w:rPr>
      </w:pPr>
    </w:p>
    <w:p w14:paraId="639B0415" w14:textId="086DC3EC" w:rsidR="002E7EAB" w:rsidRPr="00C9207C" w:rsidRDefault="551DE3D1" w:rsidP="006D5013">
      <w:pPr>
        <w:pStyle w:val="ListParagraph"/>
        <w:numPr>
          <w:ilvl w:val="2"/>
          <w:numId w:val="11"/>
        </w:numPr>
        <w:spacing w:after="0" w:line="240" w:lineRule="auto"/>
        <w:outlineLvl w:val="2"/>
        <w:rPr>
          <w:rFonts w:ascii="Arial" w:hAnsi="Arial" w:cs="Arial"/>
          <w:b/>
          <w:sz w:val="20"/>
          <w:szCs w:val="20"/>
          <w:u w:val="single"/>
        </w:rPr>
      </w:pPr>
      <w:bookmarkStart w:id="53" w:name="_Toc232169366"/>
      <w:r w:rsidRPr="00C9207C">
        <w:rPr>
          <w:rFonts w:ascii="Arial" w:hAnsi="Arial" w:cs="Arial"/>
          <w:b/>
          <w:sz w:val="20"/>
          <w:szCs w:val="20"/>
          <w:u w:val="single"/>
        </w:rPr>
        <w:t>VAT</w:t>
      </w:r>
      <w:bookmarkEnd w:id="52"/>
      <w:bookmarkEnd w:id="53"/>
    </w:p>
    <w:p w14:paraId="4CF891E3" w14:textId="77777777" w:rsidR="008044FE" w:rsidRPr="00C9207C" w:rsidRDefault="008044FE" w:rsidP="00A51927">
      <w:pPr>
        <w:spacing w:line="240" w:lineRule="auto"/>
        <w:rPr>
          <w:rFonts w:ascii="Arial" w:hAnsi="Arial" w:cs="Arial"/>
          <w:sz w:val="20"/>
          <w:szCs w:val="20"/>
        </w:rPr>
      </w:pPr>
    </w:p>
    <w:p w14:paraId="77019FC2" w14:textId="77777777" w:rsidR="00273FA5" w:rsidRPr="00C9207C" w:rsidRDefault="002E7EAB" w:rsidP="00A51927">
      <w:pPr>
        <w:spacing w:after="0" w:line="240" w:lineRule="auto"/>
        <w:rPr>
          <w:rFonts w:ascii="Arial" w:hAnsi="Arial" w:cs="Arial"/>
          <w:sz w:val="20"/>
          <w:szCs w:val="20"/>
        </w:rPr>
      </w:pPr>
      <w:r w:rsidRPr="00C9207C">
        <w:rPr>
          <w:rFonts w:ascii="Arial" w:hAnsi="Arial" w:cs="Arial"/>
          <w:sz w:val="20"/>
          <w:szCs w:val="20"/>
        </w:rPr>
        <w:t>VAT payable is included as an expense only to the extent that it is not recoverable from Her Majesty’s Revenue and Customs. VAT receivable is excluded from income.</w:t>
      </w:r>
    </w:p>
    <w:p w14:paraId="47D85C96" w14:textId="68AFB9AD" w:rsidR="00ED63E2" w:rsidRDefault="00ED63E2">
      <w:pPr>
        <w:spacing w:after="0" w:line="240" w:lineRule="auto"/>
        <w:rPr>
          <w:rFonts w:ascii="Arial" w:hAnsi="Arial" w:cs="Arial"/>
          <w:sz w:val="24"/>
          <w:szCs w:val="24"/>
        </w:rPr>
      </w:pPr>
    </w:p>
    <w:sectPr w:rsidR="00ED63E2" w:rsidSect="00497E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Lakshmi Kudlur" w:date="2026-05-17T20:14:00Z" w:initials="LK">
    <w:p w14:paraId="607113D7" w14:textId="77777777" w:rsidR="00896509" w:rsidRDefault="00272DAF" w:rsidP="00896509">
      <w:pPr>
        <w:pStyle w:val="CommentText"/>
      </w:pPr>
      <w:r>
        <w:rPr>
          <w:rStyle w:val="CommentReference"/>
        </w:rPr>
        <w:annotationRef/>
      </w:r>
      <w:r w:rsidR="00896509">
        <w:t>Placeholder - will be provided by Audit Scotland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7113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8B6BF15" w16cex:dateUtc="2026-05-17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7113D7" w16cid:durableId="18B6BF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0488" w14:textId="77777777" w:rsidR="001968F3" w:rsidRDefault="001968F3" w:rsidP="00954734">
      <w:pPr>
        <w:spacing w:after="0" w:line="240" w:lineRule="auto"/>
      </w:pPr>
      <w:r>
        <w:separator/>
      </w:r>
    </w:p>
  </w:endnote>
  <w:endnote w:type="continuationSeparator" w:id="0">
    <w:p w14:paraId="62AC66D1" w14:textId="77777777" w:rsidR="001968F3" w:rsidRDefault="001968F3" w:rsidP="00954734">
      <w:pPr>
        <w:spacing w:after="0" w:line="240" w:lineRule="auto"/>
      </w:pPr>
      <w:r>
        <w:continuationSeparator/>
      </w:r>
    </w:p>
  </w:endnote>
  <w:endnote w:type="continuationNotice" w:id="1">
    <w:p w14:paraId="64E2B31F" w14:textId="77777777" w:rsidR="001968F3" w:rsidRDefault="00196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Lola">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FS Lola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E166" w14:textId="77777777" w:rsidR="005E2A6E" w:rsidRDefault="005E2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58F8" w14:textId="354EEB02" w:rsidR="00A95579" w:rsidRDefault="00A95579">
    <w:pPr>
      <w:pStyle w:val="Footer"/>
      <w:jc w:val="center"/>
    </w:pPr>
    <w:r>
      <w:rPr>
        <w:noProof/>
        <w:lang w:eastAsia="en-GB"/>
      </w:rPr>
      <w:drawing>
        <wp:anchor distT="0" distB="0" distL="114300" distR="114300" simplePos="0" relativeHeight="251655680" behindDoc="1" locked="0" layoutInCell="1" allowOverlap="1" wp14:anchorId="5FEF3456" wp14:editId="14212C41">
          <wp:simplePos x="0" y="0"/>
          <wp:positionH relativeFrom="column">
            <wp:posOffset>4019107</wp:posOffset>
          </wp:positionH>
          <wp:positionV relativeFrom="paragraph">
            <wp:posOffset>16303</wp:posOffset>
          </wp:positionV>
          <wp:extent cx="2110019" cy="616688"/>
          <wp:effectExtent l="0" t="0" r="5080" b="0"/>
          <wp:wrapNone/>
          <wp:docPr id="1392430834" name="Picture 1392430834" descr="Aberdeen city council and NHS grampian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30834" name="Picture 1392430834" descr="Aberdeen city council and NHS grampian logos&#10;"/>
                  <pic:cNvPicPr/>
                </pic:nvPicPr>
                <pic:blipFill>
                  <a:blip r:embed="rId1">
                    <a:extLst>
                      <a:ext uri="{28A0092B-C50C-407E-A947-70E740481C1C}">
                        <a14:useLocalDpi xmlns:a14="http://schemas.microsoft.com/office/drawing/2010/main" val="0"/>
                      </a:ext>
                    </a:extLst>
                  </a:blip>
                  <a:stretch>
                    <a:fillRect/>
                  </a:stretch>
                </pic:blipFill>
                <pic:spPr>
                  <a:xfrm>
                    <a:off x="0" y="0"/>
                    <a:ext cx="2110019" cy="616688"/>
                  </a:xfrm>
                  <a:prstGeom prst="rect">
                    <a:avLst/>
                  </a:prstGeom>
                </pic:spPr>
              </pic:pic>
            </a:graphicData>
          </a:graphic>
          <wp14:sizeRelH relativeFrom="page">
            <wp14:pctWidth>0</wp14:pctWidth>
          </wp14:sizeRelH>
          <wp14:sizeRelV relativeFrom="page">
            <wp14:pctHeight>0</wp14:pctHeight>
          </wp14:sizeRelV>
        </wp:anchor>
      </w:drawing>
    </w:r>
  </w:p>
  <w:p w14:paraId="3755BEEF" w14:textId="0065CE5D" w:rsidR="00A95579" w:rsidRDefault="00A95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E77F" w14:textId="77777777" w:rsidR="005E2A6E" w:rsidRDefault="005E2A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975995"/>
      <w:docPartObj>
        <w:docPartGallery w:val="Page Numbers (Bottom of Page)"/>
        <w:docPartUnique/>
      </w:docPartObj>
    </w:sdtPr>
    <w:sdtEndPr>
      <w:rPr>
        <w:noProof/>
      </w:rPr>
    </w:sdtEndPr>
    <w:sdtContent>
      <w:p w14:paraId="621A44C7" w14:textId="0BE9D962" w:rsidR="00A95579" w:rsidRDefault="00A955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A4744D" w14:textId="14CD4A71" w:rsidR="00A95579" w:rsidRDefault="00A955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46D90" w14:textId="14791039" w:rsidR="00A95579" w:rsidRDefault="00A95579">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BF340" w14:textId="77777777" w:rsidR="001968F3" w:rsidRDefault="001968F3" w:rsidP="00954734">
      <w:pPr>
        <w:spacing w:after="0" w:line="240" w:lineRule="auto"/>
      </w:pPr>
      <w:r>
        <w:separator/>
      </w:r>
    </w:p>
  </w:footnote>
  <w:footnote w:type="continuationSeparator" w:id="0">
    <w:p w14:paraId="4CB2CE82" w14:textId="77777777" w:rsidR="001968F3" w:rsidRDefault="001968F3" w:rsidP="00954734">
      <w:pPr>
        <w:spacing w:after="0" w:line="240" w:lineRule="auto"/>
      </w:pPr>
      <w:r>
        <w:continuationSeparator/>
      </w:r>
    </w:p>
  </w:footnote>
  <w:footnote w:type="continuationNotice" w:id="1">
    <w:p w14:paraId="2D452F9A" w14:textId="77777777" w:rsidR="001968F3" w:rsidRDefault="001968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FB1D" w14:textId="77777777" w:rsidR="005E2A6E" w:rsidRDefault="005E2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7985" w14:textId="7278F1D7" w:rsidR="00AC2CE3" w:rsidRDefault="00AC2CE3" w:rsidP="00A51927">
    <w:pPr>
      <w:pStyle w:val="Header"/>
      <w:tabs>
        <w:tab w:val="clear" w:pos="9026"/>
      </w:tabs>
    </w:pPr>
    <w:r>
      <w:rPr>
        <w:noProof/>
        <w:lang w:eastAsia="en-GB"/>
      </w:rPr>
      <w:drawing>
        <wp:anchor distT="0" distB="0" distL="114300" distR="114300" simplePos="0" relativeHeight="251657728" behindDoc="1" locked="0" layoutInCell="1" allowOverlap="1" wp14:anchorId="31C1F702" wp14:editId="43C18578">
          <wp:simplePos x="0" y="0"/>
          <wp:positionH relativeFrom="column">
            <wp:posOffset>-853440</wp:posOffset>
          </wp:positionH>
          <wp:positionV relativeFrom="paragraph">
            <wp:posOffset>-447675</wp:posOffset>
          </wp:positionV>
          <wp:extent cx="7814242" cy="1782275"/>
          <wp:effectExtent l="0" t="0" r="0" b="8890"/>
          <wp:wrapNone/>
          <wp:docPr id="1275589828" name="Picture 1275589828" descr="Aberdeen City Health &amp; Social Care Partnership logo, black and red writing with a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89828" name="Picture 1275589828" descr="Aberdeen City Health &amp; Social Care Partnership logo, black and red writing with a hear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4242" cy="178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927">
      <w:tab/>
    </w:r>
  </w:p>
  <w:p w14:paraId="788CE7DB" w14:textId="76339E2F" w:rsidR="00A95579" w:rsidRDefault="00A955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3773" w14:textId="77777777" w:rsidR="005E2A6E" w:rsidRDefault="005E2A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48E9D" w14:textId="5CAA7391" w:rsidR="00A95579" w:rsidRDefault="0083073C">
    <w:pPr>
      <w:pStyle w:val="Header"/>
    </w:pPr>
    <w:r>
      <w:rPr>
        <w:noProof/>
        <w:lang w:eastAsia="en-GB"/>
      </w:rPr>
      <w:drawing>
        <wp:anchor distT="0" distB="0" distL="114300" distR="114300" simplePos="0" relativeHeight="251656704" behindDoc="1" locked="0" layoutInCell="1" allowOverlap="1" wp14:anchorId="7F5F7D3B" wp14:editId="4B75E089">
          <wp:simplePos x="0" y="0"/>
          <wp:positionH relativeFrom="column">
            <wp:posOffset>-528320</wp:posOffset>
          </wp:positionH>
          <wp:positionV relativeFrom="paragraph">
            <wp:posOffset>-215900</wp:posOffset>
          </wp:positionV>
          <wp:extent cx="7812203" cy="1422400"/>
          <wp:effectExtent l="0" t="0" r="0" b="6350"/>
          <wp:wrapNone/>
          <wp:docPr id="605290020" name="Picture 605290020" descr="Aberdeen city health &amp; social care partnership logo, black and red writing and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90020" name="Picture 605290020" descr="Aberdeen city health &amp; social care partnership logo, black and red writing and hear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7706" cy="14234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56EE" w14:textId="1310401B" w:rsidR="00A95579" w:rsidRDefault="00000000" w:rsidP="00415117">
    <w:pPr>
      <w:pStyle w:val="Header"/>
      <w:jc w:val="center"/>
    </w:pPr>
    <w:sdt>
      <w:sdtPr>
        <w:id w:val="-487635464"/>
        <w:docPartObj>
          <w:docPartGallery w:val="Watermarks"/>
          <w:docPartUnique/>
        </w:docPartObj>
      </w:sdtPr>
      <w:sdtContent>
        <w:r>
          <w:pict w14:anchorId="16087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20EA">
      <w:rPr>
        <w:noProof/>
        <w:lang w:eastAsia="en-GB"/>
      </w:rPr>
      <w:drawing>
        <wp:anchor distT="0" distB="0" distL="114300" distR="114300" simplePos="0" relativeHeight="251658752" behindDoc="1" locked="0" layoutInCell="1" allowOverlap="1" wp14:anchorId="6537A16F" wp14:editId="70470A22">
          <wp:simplePos x="0" y="0"/>
          <wp:positionH relativeFrom="column">
            <wp:posOffset>-772160</wp:posOffset>
          </wp:positionH>
          <wp:positionV relativeFrom="paragraph">
            <wp:posOffset>-630555</wp:posOffset>
          </wp:positionV>
          <wp:extent cx="7814242" cy="1782275"/>
          <wp:effectExtent l="0" t="0" r="0" b="8890"/>
          <wp:wrapNone/>
          <wp:docPr id="407489920" name="Picture 407489920" descr="Aberdeen city health &amp; social care partnership logo, black and red writing and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89920" name="Picture 407489920" descr="Aberdeen city health &amp; social care partnership logo, black and red writing and hear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4242" cy="1782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0AA"/>
    <w:multiLevelType w:val="hybridMultilevel"/>
    <w:tmpl w:val="C2D620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822A00"/>
    <w:multiLevelType w:val="hybridMultilevel"/>
    <w:tmpl w:val="F2E6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17335A"/>
    <w:multiLevelType w:val="hybridMultilevel"/>
    <w:tmpl w:val="944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51C40"/>
    <w:multiLevelType w:val="hybridMultilevel"/>
    <w:tmpl w:val="0DDC1C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3197D"/>
    <w:multiLevelType w:val="multilevel"/>
    <w:tmpl w:val="F478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B05EF"/>
    <w:multiLevelType w:val="hybridMultilevel"/>
    <w:tmpl w:val="ACA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BC11"/>
    <w:multiLevelType w:val="hybridMultilevel"/>
    <w:tmpl w:val="00BC9C04"/>
    <w:lvl w:ilvl="0" w:tplc="BA4A5E06">
      <w:start w:val="1"/>
      <w:numFmt w:val="bullet"/>
      <w:lvlText w:val="·"/>
      <w:lvlJc w:val="left"/>
      <w:pPr>
        <w:ind w:left="3695" w:hanging="360"/>
      </w:pPr>
      <w:rPr>
        <w:rFonts w:ascii="Symbol" w:hAnsi="Symbol" w:hint="default"/>
      </w:rPr>
    </w:lvl>
    <w:lvl w:ilvl="1" w:tplc="8EBAF71A">
      <w:start w:val="1"/>
      <w:numFmt w:val="bullet"/>
      <w:lvlText w:val="o"/>
      <w:lvlJc w:val="left"/>
      <w:pPr>
        <w:ind w:left="4415" w:hanging="360"/>
      </w:pPr>
      <w:rPr>
        <w:rFonts w:ascii="Courier New" w:hAnsi="Courier New" w:hint="default"/>
      </w:rPr>
    </w:lvl>
    <w:lvl w:ilvl="2" w:tplc="30D485BE">
      <w:start w:val="1"/>
      <w:numFmt w:val="bullet"/>
      <w:lvlText w:val=""/>
      <w:lvlJc w:val="left"/>
      <w:pPr>
        <w:ind w:left="5135" w:hanging="360"/>
      </w:pPr>
      <w:rPr>
        <w:rFonts w:ascii="Wingdings" w:hAnsi="Wingdings" w:hint="default"/>
      </w:rPr>
    </w:lvl>
    <w:lvl w:ilvl="3" w:tplc="62DAD756">
      <w:start w:val="1"/>
      <w:numFmt w:val="bullet"/>
      <w:lvlText w:val=""/>
      <w:lvlJc w:val="left"/>
      <w:pPr>
        <w:ind w:left="5855" w:hanging="360"/>
      </w:pPr>
      <w:rPr>
        <w:rFonts w:ascii="Symbol" w:hAnsi="Symbol" w:hint="default"/>
      </w:rPr>
    </w:lvl>
    <w:lvl w:ilvl="4" w:tplc="BBB4875C">
      <w:start w:val="1"/>
      <w:numFmt w:val="bullet"/>
      <w:lvlText w:val="o"/>
      <w:lvlJc w:val="left"/>
      <w:pPr>
        <w:ind w:left="6575" w:hanging="360"/>
      </w:pPr>
      <w:rPr>
        <w:rFonts w:ascii="Courier New" w:hAnsi="Courier New" w:hint="default"/>
      </w:rPr>
    </w:lvl>
    <w:lvl w:ilvl="5" w:tplc="59D60014">
      <w:start w:val="1"/>
      <w:numFmt w:val="bullet"/>
      <w:lvlText w:val=""/>
      <w:lvlJc w:val="left"/>
      <w:pPr>
        <w:ind w:left="7295" w:hanging="360"/>
      </w:pPr>
      <w:rPr>
        <w:rFonts w:ascii="Wingdings" w:hAnsi="Wingdings" w:hint="default"/>
      </w:rPr>
    </w:lvl>
    <w:lvl w:ilvl="6" w:tplc="44CA7652">
      <w:start w:val="1"/>
      <w:numFmt w:val="bullet"/>
      <w:lvlText w:val=""/>
      <w:lvlJc w:val="left"/>
      <w:pPr>
        <w:ind w:left="8015" w:hanging="360"/>
      </w:pPr>
      <w:rPr>
        <w:rFonts w:ascii="Symbol" w:hAnsi="Symbol" w:hint="default"/>
      </w:rPr>
    </w:lvl>
    <w:lvl w:ilvl="7" w:tplc="99B2AF18">
      <w:start w:val="1"/>
      <w:numFmt w:val="bullet"/>
      <w:lvlText w:val="o"/>
      <w:lvlJc w:val="left"/>
      <w:pPr>
        <w:ind w:left="8735" w:hanging="360"/>
      </w:pPr>
      <w:rPr>
        <w:rFonts w:ascii="Courier New" w:hAnsi="Courier New" w:hint="default"/>
      </w:rPr>
    </w:lvl>
    <w:lvl w:ilvl="8" w:tplc="9B488E44">
      <w:start w:val="1"/>
      <w:numFmt w:val="bullet"/>
      <w:lvlText w:val=""/>
      <w:lvlJc w:val="left"/>
      <w:pPr>
        <w:ind w:left="9455" w:hanging="360"/>
      </w:pPr>
      <w:rPr>
        <w:rFonts w:ascii="Wingdings" w:hAnsi="Wingdings" w:hint="default"/>
      </w:rPr>
    </w:lvl>
  </w:abstractNum>
  <w:abstractNum w:abstractNumId="7" w15:restartNumberingAfterBreak="0">
    <w:nsid w:val="27EA7338"/>
    <w:multiLevelType w:val="multilevel"/>
    <w:tmpl w:val="E86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27969"/>
    <w:multiLevelType w:val="hybridMultilevel"/>
    <w:tmpl w:val="FFFFFFFF"/>
    <w:lvl w:ilvl="0" w:tplc="59327068">
      <w:start w:val="1"/>
      <w:numFmt w:val="bullet"/>
      <w:lvlText w:val=""/>
      <w:lvlJc w:val="left"/>
      <w:pPr>
        <w:ind w:left="720" w:hanging="360"/>
      </w:pPr>
      <w:rPr>
        <w:rFonts w:ascii="Wingdings" w:hAnsi="Wingdings" w:hint="default"/>
      </w:rPr>
    </w:lvl>
    <w:lvl w:ilvl="1" w:tplc="B276057C">
      <w:start w:val="1"/>
      <w:numFmt w:val="bullet"/>
      <w:lvlText w:val=""/>
      <w:lvlJc w:val="left"/>
      <w:pPr>
        <w:ind w:left="1440" w:hanging="360"/>
      </w:pPr>
      <w:rPr>
        <w:rFonts w:ascii="Wingdings" w:hAnsi="Wingdings" w:hint="default"/>
      </w:rPr>
    </w:lvl>
    <w:lvl w:ilvl="2" w:tplc="C3ECAD82">
      <w:start w:val="1"/>
      <w:numFmt w:val="bullet"/>
      <w:lvlText w:val=""/>
      <w:lvlJc w:val="left"/>
      <w:pPr>
        <w:ind w:left="2160" w:hanging="360"/>
      </w:pPr>
      <w:rPr>
        <w:rFonts w:ascii="Wingdings" w:hAnsi="Wingdings" w:hint="default"/>
      </w:rPr>
    </w:lvl>
    <w:lvl w:ilvl="3" w:tplc="E610896C">
      <w:start w:val="1"/>
      <w:numFmt w:val="bullet"/>
      <w:lvlText w:val=""/>
      <w:lvlJc w:val="left"/>
      <w:pPr>
        <w:ind w:left="2880" w:hanging="360"/>
      </w:pPr>
      <w:rPr>
        <w:rFonts w:ascii="Wingdings" w:hAnsi="Wingdings" w:hint="default"/>
      </w:rPr>
    </w:lvl>
    <w:lvl w:ilvl="4" w:tplc="9028DD3E">
      <w:start w:val="1"/>
      <w:numFmt w:val="bullet"/>
      <w:lvlText w:val=""/>
      <w:lvlJc w:val="left"/>
      <w:pPr>
        <w:ind w:left="3600" w:hanging="360"/>
      </w:pPr>
      <w:rPr>
        <w:rFonts w:ascii="Wingdings" w:hAnsi="Wingdings" w:hint="default"/>
      </w:rPr>
    </w:lvl>
    <w:lvl w:ilvl="5" w:tplc="4DC4DD0A">
      <w:start w:val="1"/>
      <w:numFmt w:val="bullet"/>
      <w:lvlText w:val=""/>
      <w:lvlJc w:val="left"/>
      <w:pPr>
        <w:ind w:left="4320" w:hanging="360"/>
      </w:pPr>
      <w:rPr>
        <w:rFonts w:ascii="Wingdings" w:hAnsi="Wingdings" w:hint="default"/>
      </w:rPr>
    </w:lvl>
    <w:lvl w:ilvl="6" w:tplc="53AC4012">
      <w:start w:val="1"/>
      <w:numFmt w:val="bullet"/>
      <w:lvlText w:val=""/>
      <w:lvlJc w:val="left"/>
      <w:pPr>
        <w:ind w:left="5040" w:hanging="360"/>
      </w:pPr>
      <w:rPr>
        <w:rFonts w:ascii="Wingdings" w:hAnsi="Wingdings" w:hint="default"/>
      </w:rPr>
    </w:lvl>
    <w:lvl w:ilvl="7" w:tplc="68005AD0">
      <w:start w:val="1"/>
      <w:numFmt w:val="bullet"/>
      <w:lvlText w:val=""/>
      <w:lvlJc w:val="left"/>
      <w:pPr>
        <w:ind w:left="5760" w:hanging="360"/>
      </w:pPr>
      <w:rPr>
        <w:rFonts w:ascii="Wingdings" w:hAnsi="Wingdings" w:hint="default"/>
      </w:rPr>
    </w:lvl>
    <w:lvl w:ilvl="8" w:tplc="79B6A572">
      <w:start w:val="1"/>
      <w:numFmt w:val="bullet"/>
      <w:lvlText w:val=""/>
      <w:lvlJc w:val="left"/>
      <w:pPr>
        <w:ind w:left="6480" w:hanging="360"/>
      </w:pPr>
      <w:rPr>
        <w:rFonts w:ascii="Wingdings" w:hAnsi="Wingdings" w:hint="default"/>
      </w:rPr>
    </w:lvl>
  </w:abstractNum>
  <w:abstractNum w:abstractNumId="9" w15:restartNumberingAfterBreak="0">
    <w:nsid w:val="29EC7BD2"/>
    <w:multiLevelType w:val="multilevel"/>
    <w:tmpl w:val="D8B8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B1243"/>
    <w:multiLevelType w:val="multilevel"/>
    <w:tmpl w:val="8E1E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34845"/>
    <w:multiLevelType w:val="multilevel"/>
    <w:tmpl w:val="AC0CF400"/>
    <w:lvl w:ilvl="0">
      <w:start w:val="1"/>
      <w:numFmt w:val="bullet"/>
      <w:pStyle w:val="AS-P08-Bullet1"/>
      <w:lvlText w:val=""/>
      <w:lvlJc w:val="left"/>
      <w:pPr>
        <w:ind w:left="567" w:hanging="283"/>
      </w:pPr>
      <w:rPr>
        <w:rFonts w:ascii="Symbol" w:hAnsi="Symbol" w:hint="default"/>
        <w:color w:val="006B8D"/>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2" w15:restartNumberingAfterBreak="0">
    <w:nsid w:val="42127185"/>
    <w:multiLevelType w:val="multilevel"/>
    <w:tmpl w:val="B9B8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E45D61"/>
    <w:multiLevelType w:val="hybridMultilevel"/>
    <w:tmpl w:val="F2E62BB6"/>
    <w:styleLink w:val="CurrentList1"/>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6A10338"/>
    <w:multiLevelType w:val="hybridMultilevel"/>
    <w:tmpl w:val="5BE0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B05548"/>
    <w:multiLevelType w:val="multilevel"/>
    <w:tmpl w:val="0002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779E9"/>
    <w:multiLevelType w:val="hybridMultilevel"/>
    <w:tmpl w:val="49EEB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B659CF"/>
    <w:multiLevelType w:val="hybridMultilevel"/>
    <w:tmpl w:val="58C88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8F51EEF"/>
    <w:multiLevelType w:val="multilevel"/>
    <w:tmpl w:val="62523D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0" w15:restartNumberingAfterBreak="0">
    <w:nsid w:val="7C9C4DF7"/>
    <w:multiLevelType w:val="multilevel"/>
    <w:tmpl w:val="89CA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16F50"/>
    <w:multiLevelType w:val="multilevel"/>
    <w:tmpl w:val="4F6C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010C8A"/>
    <w:multiLevelType w:val="hybridMultilevel"/>
    <w:tmpl w:val="A68E0DB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FF4174F"/>
    <w:multiLevelType w:val="multilevel"/>
    <w:tmpl w:val="E23C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734902">
    <w:abstractNumId w:val="6"/>
  </w:num>
  <w:num w:numId="2" w16cid:durableId="1834254244">
    <w:abstractNumId w:val="14"/>
  </w:num>
  <w:num w:numId="3" w16cid:durableId="836306624">
    <w:abstractNumId w:val="1"/>
  </w:num>
  <w:num w:numId="4" w16cid:durableId="2010863335">
    <w:abstractNumId w:val="17"/>
  </w:num>
  <w:num w:numId="5" w16cid:durableId="471606731">
    <w:abstractNumId w:val="5"/>
  </w:num>
  <w:num w:numId="6" w16cid:durableId="27625417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8507906">
    <w:abstractNumId w:val="16"/>
  </w:num>
  <w:num w:numId="8" w16cid:durableId="1616132700">
    <w:abstractNumId w:val="19"/>
  </w:num>
  <w:num w:numId="9" w16cid:durableId="1985232310">
    <w:abstractNumId w:val="11"/>
  </w:num>
  <w:num w:numId="10" w16cid:durableId="334066424">
    <w:abstractNumId w:val="13"/>
  </w:num>
  <w:num w:numId="11" w16cid:durableId="1855025893">
    <w:abstractNumId w:val="18"/>
  </w:num>
  <w:num w:numId="12" w16cid:durableId="369570781">
    <w:abstractNumId w:val="10"/>
  </w:num>
  <w:num w:numId="13" w16cid:durableId="678698324">
    <w:abstractNumId w:val="23"/>
  </w:num>
  <w:num w:numId="14" w16cid:durableId="1511947604">
    <w:abstractNumId w:val="12"/>
  </w:num>
  <w:num w:numId="15" w16cid:durableId="290285744">
    <w:abstractNumId w:val="7"/>
  </w:num>
  <w:num w:numId="16" w16cid:durableId="1037392434">
    <w:abstractNumId w:val="20"/>
  </w:num>
  <w:num w:numId="17" w16cid:durableId="88082954">
    <w:abstractNumId w:val="4"/>
  </w:num>
  <w:num w:numId="18" w16cid:durableId="866330282">
    <w:abstractNumId w:val="3"/>
  </w:num>
  <w:num w:numId="19" w16cid:durableId="871961206">
    <w:abstractNumId w:val="9"/>
  </w:num>
  <w:num w:numId="20" w16cid:durableId="388768040">
    <w:abstractNumId w:val="21"/>
  </w:num>
  <w:num w:numId="21" w16cid:durableId="1147094505">
    <w:abstractNumId w:val="22"/>
  </w:num>
  <w:num w:numId="22" w16cid:durableId="500705478">
    <w:abstractNumId w:val="0"/>
  </w:num>
  <w:num w:numId="23" w16cid:durableId="616563826">
    <w:abstractNumId w:val="8"/>
  </w:num>
  <w:num w:numId="24" w16cid:durableId="674571053">
    <w:abstractNumId w:val="15"/>
  </w:num>
  <w:num w:numId="25" w16cid:durableId="232740172">
    <w:abstractNumId w:val="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kshmi Kudlur">
    <w15:presenceInfo w15:providerId="AD" w15:userId="S::LKudlur@aberdeencity.gov.uk::e50156cb-f426-466d-b18b-ae6195ab3f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2F"/>
    <w:rsid w:val="000001CF"/>
    <w:rsid w:val="000003AF"/>
    <w:rsid w:val="000004D5"/>
    <w:rsid w:val="0000076A"/>
    <w:rsid w:val="000008D6"/>
    <w:rsid w:val="00000F94"/>
    <w:rsid w:val="00001061"/>
    <w:rsid w:val="0000109A"/>
    <w:rsid w:val="000010E7"/>
    <w:rsid w:val="00001114"/>
    <w:rsid w:val="0000133C"/>
    <w:rsid w:val="000014BD"/>
    <w:rsid w:val="000014EB"/>
    <w:rsid w:val="00001EBF"/>
    <w:rsid w:val="0000341A"/>
    <w:rsid w:val="00003DC0"/>
    <w:rsid w:val="00004E93"/>
    <w:rsid w:val="0000511D"/>
    <w:rsid w:val="0000546B"/>
    <w:rsid w:val="000057D8"/>
    <w:rsid w:val="00005925"/>
    <w:rsid w:val="00005B0D"/>
    <w:rsid w:val="00005B44"/>
    <w:rsid w:val="000065B7"/>
    <w:rsid w:val="00006C0C"/>
    <w:rsid w:val="00006D97"/>
    <w:rsid w:val="00006E91"/>
    <w:rsid w:val="0000762A"/>
    <w:rsid w:val="00007944"/>
    <w:rsid w:val="00007C0A"/>
    <w:rsid w:val="00007ED2"/>
    <w:rsid w:val="00010488"/>
    <w:rsid w:val="0001058B"/>
    <w:rsid w:val="000107E1"/>
    <w:rsid w:val="00010A51"/>
    <w:rsid w:val="00010D54"/>
    <w:rsid w:val="00010E2B"/>
    <w:rsid w:val="000110AC"/>
    <w:rsid w:val="0001116A"/>
    <w:rsid w:val="00011211"/>
    <w:rsid w:val="00011746"/>
    <w:rsid w:val="00011DF2"/>
    <w:rsid w:val="00011E0A"/>
    <w:rsid w:val="00012357"/>
    <w:rsid w:val="00012891"/>
    <w:rsid w:val="00012CE4"/>
    <w:rsid w:val="00012F66"/>
    <w:rsid w:val="0001305E"/>
    <w:rsid w:val="0001336D"/>
    <w:rsid w:val="00013446"/>
    <w:rsid w:val="00013454"/>
    <w:rsid w:val="0001349E"/>
    <w:rsid w:val="0001353A"/>
    <w:rsid w:val="000135AA"/>
    <w:rsid w:val="000135E9"/>
    <w:rsid w:val="00013A38"/>
    <w:rsid w:val="000140E3"/>
    <w:rsid w:val="000145B5"/>
    <w:rsid w:val="000145C5"/>
    <w:rsid w:val="000145D2"/>
    <w:rsid w:val="00014B9D"/>
    <w:rsid w:val="00014EE6"/>
    <w:rsid w:val="00015101"/>
    <w:rsid w:val="000159D3"/>
    <w:rsid w:val="000167F3"/>
    <w:rsid w:val="00016D9B"/>
    <w:rsid w:val="00016E8F"/>
    <w:rsid w:val="00017432"/>
    <w:rsid w:val="000174CB"/>
    <w:rsid w:val="00017B1B"/>
    <w:rsid w:val="00017C72"/>
    <w:rsid w:val="00020F1C"/>
    <w:rsid w:val="00020FE2"/>
    <w:rsid w:val="00021117"/>
    <w:rsid w:val="00021436"/>
    <w:rsid w:val="000214B7"/>
    <w:rsid w:val="0002156B"/>
    <w:rsid w:val="00021600"/>
    <w:rsid w:val="0002174C"/>
    <w:rsid w:val="000219A6"/>
    <w:rsid w:val="00021C9F"/>
    <w:rsid w:val="000225A7"/>
    <w:rsid w:val="000228D0"/>
    <w:rsid w:val="000229B5"/>
    <w:rsid w:val="00022BB3"/>
    <w:rsid w:val="00022BBF"/>
    <w:rsid w:val="00023667"/>
    <w:rsid w:val="00024296"/>
    <w:rsid w:val="000245C0"/>
    <w:rsid w:val="000245C8"/>
    <w:rsid w:val="0002493E"/>
    <w:rsid w:val="00024D98"/>
    <w:rsid w:val="00024E3A"/>
    <w:rsid w:val="00025111"/>
    <w:rsid w:val="00025B00"/>
    <w:rsid w:val="00025DCF"/>
    <w:rsid w:val="0002617A"/>
    <w:rsid w:val="00026208"/>
    <w:rsid w:val="000263A5"/>
    <w:rsid w:val="00026486"/>
    <w:rsid w:val="0002677C"/>
    <w:rsid w:val="00026EB5"/>
    <w:rsid w:val="000270AE"/>
    <w:rsid w:val="00027289"/>
    <w:rsid w:val="000272C4"/>
    <w:rsid w:val="000273E5"/>
    <w:rsid w:val="00027CF9"/>
    <w:rsid w:val="00027DE9"/>
    <w:rsid w:val="00030061"/>
    <w:rsid w:val="00030604"/>
    <w:rsid w:val="00030C2E"/>
    <w:rsid w:val="00030C8C"/>
    <w:rsid w:val="00030D5C"/>
    <w:rsid w:val="00030FBF"/>
    <w:rsid w:val="000313EB"/>
    <w:rsid w:val="000313FC"/>
    <w:rsid w:val="00032CAD"/>
    <w:rsid w:val="00032FA4"/>
    <w:rsid w:val="0003305C"/>
    <w:rsid w:val="00033C74"/>
    <w:rsid w:val="000340F3"/>
    <w:rsid w:val="00034361"/>
    <w:rsid w:val="000343E2"/>
    <w:rsid w:val="000345DE"/>
    <w:rsid w:val="00034752"/>
    <w:rsid w:val="00034C67"/>
    <w:rsid w:val="00034CEE"/>
    <w:rsid w:val="000354D2"/>
    <w:rsid w:val="000355A9"/>
    <w:rsid w:val="000355DE"/>
    <w:rsid w:val="000359DB"/>
    <w:rsid w:val="000361D9"/>
    <w:rsid w:val="00036419"/>
    <w:rsid w:val="0003692B"/>
    <w:rsid w:val="00036A5A"/>
    <w:rsid w:val="00036A5E"/>
    <w:rsid w:val="00036B85"/>
    <w:rsid w:val="00036BC1"/>
    <w:rsid w:val="00036EB4"/>
    <w:rsid w:val="00037011"/>
    <w:rsid w:val="00037682"/>
    <w:rsid w:val="00037B4A"/>
    <w:rsid w:val="00037D54"/>
    <w:rsid w:val="00037DB9"/>
    <w:rsid w:val="00040047"/>
    <w:rsid w:val="00040618"/>
    <w:rsid w:val="000407C1"/>
    <w:rsid w:val="00040B07"/>
    <w:rsid w:val="00040F2B"/>
    <w:rsid w:val="000414AF"/>
    <w:rsid w:val="000414CE"/>
    <w:rsid w:val="00041FC7"/>
    <w:rsid w:val="0004203B"/>
    <w:rsid w:val="00042612"/>
    <w:rsid w:val="00042800"/>
    <w:rsid w:val="00042B45"/>
    <w:rsid w:val="00042B8E"/>
    <w:rsid w:val="00042CB2"/>
    <w:rsid w:val="00042E49"/>
    <w:rsid w:val="00043156"/>
    <w:rsid w:val="00043BDE"/>
    <w:rsid w:val="00043C24"/>
    <w:rsid w:val="00043DB9"/>
    <w:rsid w:val="000443C3"/>
    <w:rsid w:val="000448C2"/>
    <w:rsid w:val="00045392"/>
    <w:rsid w:val="0004547A"/>
    <w:rsid w:val="00045AE8"/>
    <w:rsid w:val="00045BFD"/>
    <w:rsid w:val="00046CF1"/>
    <w:rsid w:val="00046FF6"/>
    <w:rsid w:val="00047010"/>
    <w:rsid w:val="0004726E"/>
    <w:rsid w:val="0004746F"/>
    <w:rsid w:val="000478B2"/>
    <w:rsid w:val="000501D0"/>
    <w:rsid w:val="00050219"/>
    <w:rsid w:val="000503B3"/>
    <w:rsid w:val="000511C2"/>
    <w:rsid w:val="000514FA"/>
    <w:rsid w:val="0005168E"/>
    <w:rsid w:val="00051AAD"/>
    <w:rsid w:val="00051DEC"/>
    <w:rsid w:val="0005235A"/>
    <w:rsid w:val="000523E8"/>
    <w:rsid w:val="00052E5F"/>
    <w:rsid w:val="0005363F"/>
    <w:rsid w:val="000536D5"/>
    <w:rsid w:val="000537D5"/>
    <w:rsid w:val="000538CD"/>
    <w:rsid w:val="000538E4"/>
    <w:rsid w:val="000538EF"/>
    <w:rsid w:val="00053BBE"/>
    <w:rsid w:val="00053F5B"/>
    <w:rsid w:val="0005401A"/>
    <w:rsid w:val="00054287"/>
    <w:rsid w:val="000544A3"/>
    <w:rsid w:val="000544FB"/>
    <w:rsid w:val="00054A67"/>
    <w:rsid w:val="00054BB1"/>
    <w:rsid w:val="00054C85"/>
    <w:rsid w:val="00054F18"/>
    <w:rsid w:val="00054FD2"/>
    <w:rsid w:val="00055272"/>
    <w:rsid w:val="000553EE"/>
    <w:rsid w:val="000554C1"/>
    <w:rsid w:val="00055509"/>
    <w:rsid w:val="00055661"/>
    <w:rsid w:val="000556FB"/>
    <w:rsid w:val="0005614C"/>
    <w:rsid w:val="000562E1"/>
    <w:rsid w:val="00056325"/>
    <w:rsid w:val="000564CB"/>
    <w:rsid w:val="00056801"/>
    <w:rsid w:val="00056A36"/>
    <w:rsid w:val="00056C1D"/>
    <w:rsid w:val="00056F68"/>
    <w:rsid w:val="000570EF"/>
    <w:rsid w:val="000573D2"/>
    <w:rsid w:val="00057485"/>
    <w:rsid w:val="00057896"/>
    <w:rsid w:val="00057A1C"/>
    <w:rsid w:val="000601F7"/>
    <w:rsid w:val="000603DE"/>
    <w:rsid w:val="000606F2"/>
    <w:rsid w:val="00060A84"/>
    <w:rsid w:val="00060ACC"/>
    <w:rsid w:val="00060AEC"/>
    <w:rsid w:val="00060E12"/>
    <w:rsid w:val="00060E51"/>
    <w:rsid w:val="00060F2F"/>
    <w:rsid w:val="000613F6"/>
    <w:rsid w:val="0006170F"/>
    <w:rsid w:val="00062073"/>
    <w:rsid w:val="00062078"/>
    <w:rsid w:val="000622AE"/>
    <w:rsid w:val="0006268D"/>
    <w:rsid w:val="0006288E"/>
    <w:rsid w:val="00062F98"/>
    <w:rsid w:val="000631C5"/>
    <w:rsid w:val="00063425"/>
    <w:rsid w:val="000635F7"/>
    <w:rsid w:val="0006370D"/>
    <w:rsid w:val="000639F6"/>
    <w:rsid w:val="00063A6D"/>
    <w:rsid w:val="00063B5E"/>
    <w:rsid w:val="00063D5E"/>
    <w:rsid w:val="00063D69"/>
    <w:rsid w:val="00063EEE"/>
    <w:rsid w:val="000641E1"/>
    <w:rsid w:val="00064298"/>
    <w:rsid w:val="0006472C"/>
    <w:rsid w:val="000647F6"/>
    <w:rsid w:val="00064B37"/>
    <w:rsid w:val="0006507D"/>
    <w:rsid w:val="000654FB"/>
    <w:rsid w:val="00065532"/>
    <w:rsid w:val="0006567B"/>
    <w:rsid w:val="000657A8"/>
    <w:rsid w:val="00065B10"/>
    <w:rsid w:val="00065B1F"/>
    <w:rsid w:val="0006637D"/>
    <w:rsid w:val="00066522"/>
    <w:rsid w:val="000665A9"/>
    <w:rsid w:val="00066827"/>
    <w:rsid w:val="00066B6C"/>
    <w:rsid w:val="00067002"/>
    <w:rsid w:val="0006711E"/>
    <w:rsid w:val="00067511"/>
    <w:rsid w:val="00067A7B"/>
    <w:rsid w:val="00067BCC"/>
    <w:rsid w:val="00067E99"/>
    <w:rsid w:val="00067F05"/>
    <w:rsid w:val="00070015"/>
    <w:rsid w:val="00070398"/>
    <w:rsid w:val="00070599"/>
    <w:rsid w:val="0007071E"/>
    <w:rsid w:val="00070AE5"/>
    <w:rsid w:val="00070D12"/>
    <w:rsid w:val="00070D29"/>
    <w:rsid w:val="00070E30"/>
    <w:rsid w:val="000710FA"/>
    <w:rsid w:val="000714E5"/>
    <w:rsid w:val="00071632"/>
    <w:rsid w:val="0007207D"/>
    <w:rsid w:val="0007219A"/>
    <w:rsid w:val="000721F6"/>
    <w:rsid w:val="0007267A"/>
    <w:rsid w:val="000729E7"/>
    <w:rsid w:val="00072C34"/>
    <w:rsid w:val="00072F3A"/>
    <w:rsid w:val="00072FF7"/>
    <w:rsid w:val="00073134"/>
    <w:rsid w:val="0007332F"/>
    <w:rsid w:val="00073524"/>
    <w:rsid w:val="00073733"/>
    <w:rsid w:val="00073767"/>
    <w:rsid w:val="000738B3"/>
    <w:rsid w:val="0007395C"/>
    <w:rsid w:val="00073C02"/>
    <w:rsid w:val="00073FAB"/>
    <w:rsid w:val="00073FEB"/>
    <w:rsid w:val="000741E1"/>
    <w:rsid w:val="00074376"/>
    <w:rsid w:val="0007445F"/>
    <w:rsid w:val="00074534"/>
    <w:rsid w:val="0007455A"/>
    <w:rsid w:val="00074647"/>
    <w:rsid w:val="00074C28"/>
    <w:rsid w:val="00076094"/>
    <w:rsid w:val="00076568"/>
    <w:rsid w:val="00076ECB"/>
    <w:rsid w:val="00077F83"/>
    <w:rsid w:val="00077FB6"/>
    <w:rsid w:val="00080011"/>
    <w:rsid w:val="000804A4"/>
    <w:rsid w:val="00080F49"/>
    <w:rsid w:val="00081275"/>
    <w:rsid w:val="000812D7"/>
    <w:rsid w:val="000812E2"/>
    <w:rsid w:val="00081980"/>
    <w:rsid w:val="00081EC7"/>
    <w:rsid w:val="00082177"/>
    <w:rsid w:val="000821D5"/>
    <w:rsid w:val="00082221"/>
    <w:rsid w:val="00082433"/>
    <w:rsid w:val="00082550"/>
    <w:rsid w:val="00082A49"/>
    <w:rsid w:val="00083477"/>
    <w:rsid w:val="000837C8"/>
    <w:rsid w:val="00083AA9"/>
    <w:rsid w:val="00084460"/>
    <w:rsid w:val="00084644"/>
    <w:rsid w:val="0008474F"/>
    <w:rsid w:val="00084848"/>
    <w:rsid w:val="00084E60"/>
    <w:rsid w:val="00084F25"/>
    <w:rsid w:val="00085197"/>
    <w:rsid w:val="0008521A"/>
    <w:rsid w:val="00085304"/>
    <w:rsid w:val="000856BD"/>
    <w:rsid w:val="000860D0"/>
    <w:rsid w:val="000861FB"/>
    <w:rsid w:val="0008623C"/>
    <w:rsid w:val="0008657E"/>
    <w:rsid w:val="00086931"/>
    <w:rsid w:val="00087241"/>
    <w:rsid w:val="000875CB"/>
    <w:rsid w:val="000875D5"/>
    <w:rsid w:val="000876C7"/>
    <w:rsid w:val="0008770F"/>
    <w:rsid w:val="00087850"/>
    <w:rsid w:val="00087D77"/>
    <w:rsid w:val="00090767"/>
    <w:rsid w:val="000908AF"/>
    <w:rsid w:val="00090B15"/>
    <w:rsid w:val="00090BC0"/>
    <w:rsid w:val="00090BFA"/>
    <w:rsid w:val="00091091"/>
    <w:rsid w:val="000910FC"/>
    <w:rsid w:val="000912F3"/>
    <w:rsid w:val="000917E9"/>
    <w:rsid w:val="000917F3"/>
    <w:rsid w:val="00091A46"/>
    <w:rsid w:val="00091C77"/>
    <w:rsid w:val="00091DCF"/>
    <w:rsid w:val="00091DE9"/>
    <w:rsid w:val="00092259"/>
    <w:rsid w:val="000925B1"/>
    <w:rsid w:val="0009265D"/>
    <w:rsid w:val="00092AE7"/>
    <w:rsid w:val="0009345F"/>
    <w:rsid w:val="000934AA"/>
    <w:rsid w:val="00093728"/>
    <w:rsid w:val="00093794"/>
    <w:rsid w:val="0009386C"/>
    <w:rsid w:val="00093A1C"/>
    <w:rsid w:val="00093A90"/>
    <w:rsid w:val="00093AFD"/>
    <w:rsid w:val="00093B9A"/>
    <w:rsid w:val="000947CA"/>
    <w:rsid w:val="00094A14"/>
    <w:rsid w:val="00094EC3"/>
    <w:rsid w:val="00094F8C"/>
    <w:rsid w:val="00095840"/>
    <w:rsid w:val="000958E8"/>
    <w:rsid w:val="00095BF6"/>
    <w:rsid w:val="00096944"/>
    <w:rsid w:val="00096B42"/>
    <w:rsid w:val="000977D1"/>
    <w:rsid w:val="000978EB"/>
    <w:rsid w:val="00097A46"/>
    <w:rsid w:val="000A027E"/>
    <w:rsid w:val="000A0445"/>
    <w:rsid w:val="000A05EB"/>
    <w:rsid w:val="000A0934"/>
    <w:rsid w:val="000A0EBF"/>
    <w:rsid w:val="000A1047"/>
    <w:rsid w:val="000A12FE"/>
    <w:rsid w:val="000A1457"/>
    <w:rsid w:val="000A18A6"/>
    <w:rsid w:val="000A1B6D"/>
    <w:rsid w:val="000A1B87"/>
    <w:rsid w:val="000A1D00"/>
    <w:rsid w:val="000A1D46"/>
    <w:rsid w:val="000A1FAD"/>
    <w:rsid w:val="000A1FDC"/>
    <w:rsid w:val="000A29BB"/>
    <w:rsid w:val="000A2DCC"/>
    <w:rsid w:val="000A33A1"/>
    <w:rsid w:val="000A33FD"/>
    <w:rsid w:val="000A34DF"/>
    <w:rsid w:val="000A3801"/>
    <w:rsid w:val="000A3FD9"/>
    <w:rsid w:val="000A4196"/>
    <w:rsid w:val="000A4466"/>
    <w:rsid w:val="000A44CE"/>
    <w:rsid w:val="000A4860"/>
    <w:rsid w:val="000A49AF"/>
    <w:rsid w:val="000A4E29"/>
    <w:rsid w:val="000A570C"/>
    <w:rsid w:val="000A5762"/>
    <w:rsid w:val="000A5CBF"/>
    <w:rsid w:val="000A6225"/>
    <w:rsid w:val="000A62D7"/>
    <w:rsid w:val="000A65F4"/>
    <w:rsid w:val="000A6656"/>
    <w:rsid w:val="000A68D1"/>
    <w:rsid w:val="000A72FE"/>
    <w:rsid w:val="000A73D0"/>
    <w:rsid w:val="000A757C"/>
    <w:rsid w:val="000A7802"/>
    <w:rsid w:val="000A7D1A"/>
    <w:rsid w:val="000A7D1D"/>
    <w:rsid w:val="000B0687"/>
    <w:rsid w:val="000B09A2"/>
    <w:rsid w:val="000B1242"/>
    <w:rsid w:val="000B1B3D"/>
    <w:rsid w:val="000B1E44"/>
    <w:rsid w:val="000B1EF0"/>
    <w:rsid w:val="000B20C1"/>
    <w:rsid w:val="000B2A17"/>
    <w:rsid w:val="000B2AC7"/>
    <w:rsid w:val="000B2D9B"/>
    <w:rsid w:val="000B2F9E"/>
    <w:rsid w:val="000B3088"/>
    <w:rsid w:val="000B30C9"/>
    <w:rsid w:val="000B34A8"/>
    <w:rsid w:val="000B3E50"/>
    <w:rsid w:val="000B3E98"/>
    <w:rsid w:val="000B4115"/>
    <w:rsid w:val="000B4745"/>
    <w:rsid w:val="000B49EC"/>
    <w:rsid w:val="000B4A3A"/>
    <w:rsid w:val="000B4B1B"/>
    <w:rsid w:val="000B4B90"/>
    <w:rsid w:val="000B5517"/>
    <w:rsid w:val="000B57A5"/>
    <w:rsid w:val="000B57CE"/>
    <w:rsid w:val="000B5A41"/>
    <w:rsid w:val="000B5D03"/>
    <w:rsid w:val="000B5F42"/>
    <w:rsid w:val="000B6064"/>
    <w:rsid w:val="000B60B0"/>
    <w:rsid w:val="000B63CC"/>
    <w:rsid w:val="000B63D9"/>
    <w:rsid w:val="000B6474"/>
    <w:rsid w:val="000B69B7"/>
    <w:rsid w:val="000B6A0D"/>
    <w:rsid w:val="000B6A1D"/>
    <w:rsid w:val="000B6C15"/>
    <w:rsid w:val="000B6E92"/>
    <w:rsid w:val="000B71D2"/>
    <w:rsid w:val="000B7442"/>
    <w:rsid w:val="000B751C"/>
    <w:rsid w:val="000B7A82"/>
    <w:rsid w:val="000B7B4B"/>
    <w:rsid w:val="000C0380"/>
    <w:rsid w:val="000C059B"/>
    <w:rsid w:val="000C0671"/>
    <w:rsid w:val="000C07BC"/>
    <w:rsid w:val="000C09A6"/>
    <w:rsid w:val="000C0E3E"/>
    <w:rsid w:val="000C1042"/>
    <w:rsid w:val="000C124A"/>
    <w:rsid w:val="000C1287"/>
    <w:rsid w:val="000C1360"/>
    <w:rsid w:val="000C14E1"/>
    <w:rsid w:val="000C16E0"/>
    <w:rsid w:val="000C1AC1"/>
    <w:rsid w:val="000C21FF"/>
    <w:rsid w:val="000C2530"/>
    <w:rsid w:val="000C268F"/>
    <w:rsid w:val="000C27F5"/>
    <w:rsid w:val="000C2886"/>
    <w:rsid w:val="000C28AD"/>
    <w:rsid w:val="000C29F0"/>
    <w:rsid w:val="000C2ED1"/>
    <w:rsid w:val="000C373E"/>
    <w:rsid w:val="000C38F0"/>
    <w:rsid w:val="000C41E1"/>
    <w:rsid w:val="000C41EC"/>
    <w:rsid w:val="000C44F3"/>
    <w:rsid w:val="000C475D"/>
    <w:rsid w:val="000C4822"/>
    <w:rsid w:val="000C4B4C"/>
    <w:rsid w:val="000C4B5B"/>
    <w:rsid w:val="000C4FA5"/>
    <w:rsid w:val="000C5042"/>
    <w:rsid w:val="000C540B"/>
    <w:rsid w:val="000C5D30"/>
    <w:rsid w:val="000C5FE1"/>
    <w:rsid w:val="000C5FE3"/>
    <w:rsid w:val="000C607F"/>
    <w:rsid w:val="000C62C4"/>
    <w:rsid w:val="000C6311"/>
    <w:rsid w:val="000C65D8"/>
    <w:rsid w:val="000C663C"/>
    <w:rsid w:val="000C6911"/>
    <w:rsid w:val="000C6B68"/>
    <w:rsid w:val="000C6C9E"/>
    <w:rsid w:val="000C6E72"/>
    <w:rsid w:val="000C6EC5"/>
    <w:rsid w:val="000C6EF5"/>
    <w:rsid w:val="000C700A"/>
    <w:rsid w:val="000C7210"/>
    <w:rsid w:val="000C72E2"/>
    <w:rsid w:val="000C752E"/>
    <w:rsid w:val="000C776A"/>
    <w:rsid w:val="000C77BB"/>
    <w:rsid w:val="000C79E2"/>
    <w:rsid w:val="000C7AC1"/>
    <w:rsid w:val="000C7D34"/>
    <w:rsid w:val="000D02B3"/>
    <w:rsid w:val="000D0ACD"/>
    <w:rsid w:val="000D0CF2"/>
    <w:rsid w:val="000D0E3C"/>
    <w:rsid w:val="000D0EBB"/>
    <w:rsid w:val="000D144A"/>
    <w:rsid w:val="000D1BAC"/>
    <w:rsid w:val="000D25DE"/>
    <w:rsid w:val="000D29C9"/>
    <w:rsid w:val="000D29CC"/>
    <w:rsid w:val="000D2DDE"/>
    <w:rsid w:val="000D30A3"/>
    <w:rsid w:val="000D37E1"/>
    <w:rsid w:val="000D3975"/>
    <w:rsid w:val="000D3A74"/>
    <w:rsid w:val="000D40C8"/>
    <w:rsid w:val="000D4932"/>
    <w:rsid w:val="000D4B0A"/>
    <w:rsid w:val="000D4F17"/>
    <w:rsid w:val="000D5260"/>
    <w:rsid w:val="000D55A7"/>
    <w:rsid w:val="000D566E"/>
    <w:rsid w:val="000D590F"/>
    <w:rsid w:val="000D5A2B"/>
    <w:rsid w:val="000D5E5C"/>
    <w:rsid w:val="000D61E2"/>
    <w:rsid w:val="000D6686"/>
    <w:rsid w:val="000D67A8"/>
    <w:rsid w:val="000D6F8A"/>
    <w:rsid w:val="000D70AB"/>
    <w:rsid w:val="000D71BD"/>
    <w:rsid w:val="000D71C0"/>
    <w:rsid w:val="000D7984"/>
    <w:rsid w:val="000D79F9"/>
    <w:rsid w:val="000D7A3C"/>
    <w:rsid w:val="000D7C11"/>
    <w:rsid w:val="000D7D30"/>
    <w:rsid w:val="000D7D53"/>
    <w:rsid w:val="000D7FA4"/>
    <w:rsid w:val="000E06F4"/>
    <w:rsid w:val="000E0979"/>
    <w:rsid w:val="000E0A34"/>
    <w:rsid w:val="000E0C95"/>
    <w:rsid w:val="000E104D"/>
    <w:rsid w:val="000E142A"/>
    <w:rsid w:val="000E1777"/>
    <w:rsid w:val="000E1850"/>
    <w:rsid w:val="000E189E"/>
    <w:rsid w:val="000E2194"/>
    <w:rsid w:val="000E2A39"/>
    <w:rsid w:val="000E2BA2"/>
    <w:rsid w:val="000E2C36"/>
    <w:rsid w:val="000E2FB3"/>
    <w:rsid w:val="000E34C1"/>
    <w:rsid w:val="000E353A"/>
    <w:rsid w:val="000E398E"/>
    <w:rsid w:val="000E3CB2"/>
    <w:rsid w:val="000E3E22"/>
    <w:rsid w:val="000E42B6"/>
    <w:rsid w:val="000E45FC"/>
    <w:rsid w:val="000E509B"/>
    <w:rsid w:val="000E52C0"/>
    <w:rsid w:val="000E5509"/>
    <w:rsid w:val="000E5C0A"/>
    <w:rsid w:val="000E6AD8"/>
    <w:rsid w:val="000E724E"/>
    <w:rsid w:val="000E7272"/>
    <w:rsid w:val="000E72EB"/>
    <w:rsid w:val="000E785F"/>
    <w:rsid w:val="000F0340"/>
    <w:rsid w:val="000F07EC"/>
    <w:rsid w:val="000F09B8"/>
    <w:rsid w:val="000F0F85"/>
    <w:rsid w:val="000F133F"/>
    <w:rsid w:val="000F1ADC"/>
    <w:rsid w:val="000F1C96"/>
    <w:rsid w:val="000F1DB6"/>
    <w:rsid w:val="000F1E98"/>
    <w:rsid w:val="000F2452"/>
    <w:rsid w:val="000F271E"/>
    <w:rsid w:val="000F2810"/>
    <w:rsid w:val="000F28D6"/>
    <w:rsid w:val="000F2A25"/>
    <w:rsid w:val="000F3093"/>
    <w:rsid w:val="000F3117"/>
    <w:rsid w:val="000F35DD"/>
    <w:rsid w:val="000F3652"/>
    <w:rsid w:val="000F3A82"/>
    <w:rsid w:val="000F3B46"/>
    <w:rsid w:val="000F3B8E"/>
    <w:rsid w:val="000F3E34"/>
    <w:rsid w:val="000F3F0C"/>
    <w:rsid w:val="000F3F6D"/>
    <w:rsid w:val="000F4542"/>
    <w:rsid w:val="000F4F68"/>
    <w:rsid w:val="000F55C7"/>
    <w:rsid w:val="000F5780"/>
    <w:rsid w:val="000F5B6B"/>
    <w:rsid w:val="000F5DE1"/>
    <w:rsid w:val="000F66FF"/>
    <w:rsid w:val="000F6F34"/>
    <w:rsid w:val="000F6FBC"/>
    <w:rsid w:val="000F76CA"/>
    <w:rsid w:val="000F7844"/>
    <w:rsid w:val="000F7BAF"/>
    <w:rsid w:val="000F7D45"/>
    <w:rsid w:val="000F7DCE"/>
    <w:rsid w:val="0010049A"/>
    <w:rsid w:val="001004F3"/>
    <w:rsid w:val="00100658"/>
    <w:rsid w:val="00100B1A"/>
    <w:rsid w:val="00100F67"/>
    <w:rsid w:val="00101085"/>
    <w:rsid w:val="00101945"/>
    <w:rsid w:val="0010196F"/>
    <w:rsid w:val="00101BE1"/>
    <w:rsid w:val="00101C8E"/>
    <w:rsid w:val="0010223F"/>
    <w:rsid w:val="00102336"/>
    <w:rsid w:val="001023AD"/>
    <w:rsid w:val="00102651"/>
    <w:rsid w:val="00102893"/>
    <w:rsid w:val="00102C29"/>
    <w:rsid w:val="00102C5C"/>
    <w:rsid w:val="00102D83"/>
    <w:rsid w:val="00102E7C"/>
    <w:rsid w:val="00102FAB"/>
    <w:rsid w:val="001030C7"/>
    <w:rsid w:val="00103761"/>
    <w:rsid w:val="001037D8"/>
    <w:rsid w:val="0010385C"/>
    <w:rsid w:val="001038C0"/>
    <w:rsid w:val="001039C9"/>
    <w:rsid w:val="00103C70"/>
    <w:rsid w:val="00103E48"/>
    <w:rsid w:val="00104488"/>
    <w:rsid w:val="001044FD"/>
    <w:rsid w:val="0010469C"/>
    <w:rsid w:val="001047DE"/>
    <w:rsid w:val="00104A0D"/>
    <w:rsid w:val="00104B00"/>
    <w:rsid w:val="00104B18"/>
    <w:rsid w:val="00104F50"/>
    <w:rsid w:val="00105135"/>
    <w:rsid w:val="00106107"/>
    <w:rsid w:val="0010612D"/>
    <w:rsid w:val="001061F5"/>
    <w:rsid w:val="0010674A"/>
    <w:rsid w:val="001067AF"/>
    <w:rsid w:val="00106A56"/>
    <w:rsid w:val="00106B40"/>
    <w:rsid w:val="00106EF8"/>
    <w:rsid w:val="001071D0"/>
    <w:rsid w:val="00107581"/>
    <w:rsid w:val="0010763B"/>
    <w:rsid w:val="0010769F"/>
    <w:rsid w:val="00107DAF"/>
    <w:rsid w:val="00110273"/>
    <w:rsid w:val="001102EF"/>
    <w:rsid w:val="00110401"/>
    <w:rsid w:val="00110515"/>
    <w:rsid w:val="001107D1"/>
    <w:rsid w:val="00110B37"/>
    <w:rsid w:val="00111CC3"/>
    <w:rsid w:val="0011202A"/>
    <w:rsid w:val="00112213"/>
    <w:rsid w:val="00112272"/>
    <w:rsid w:val="001122F3"/>
    <w:rsid w:val="00112312"/>
    <w:rsid w:val="0011249B"/>
    <w:rsid w:val="00112636"/>
    <w:rsid w:val="00112902"/>
    <w:rsid w:val="00112A9C"/>
    <w:rsid w:val="00112F99"/>
    <w:rsid w:val="0011334E"/>
    <w:rsid w:val="0011393F"/>
    <w:rsid w:val="00113A66"/>
    <w:rsid w:val="00114129"/>
    <w:rsid w:val="00114414"/>
    <w:rsid w:val="00114FDB"/>
    <w:rsid w:val="00115117"/>
    <w:rsid w:val="0011522A"/>
    <w:rsid w:val="0011525A"/>
    <w:rsid w:val="00115E32"/>
    <w:rsid w:val="00115E4F"/>
    <w:rsid w:val="00115F71"/>
    <w:rsid w:val="00116275"/>
    <w:rsid w:val="0011676B"/>
    <w:rsid w:val="001167AE"/>
    <w:rsid w:val="0011689F"/>
    <w:rsid w:val="001168E1"/>
    <w:rsid w:val="00116A17"/>
    <w:rsid w:val="00116A2F"/>
    <w:rsid w:val="00116DC2"/>
    <w:rsid w:val="00117AF4"/>
    <w:rsid w:val="00117DD0"/>
    <w:rsid w:val="00120131"/>
    <w:rsid w:val="00120392"/>
    <w:rsid w:val="00120495"/>
    <w:rsid w:val="0012059D"/>
    <w:rsid w:val="00120718"/>
    <w:rsid w:val="00120946"/>
    <w:rsid w:val="00120A41"/>
    <w:rsid w:val="00120B94"/>
    <w:rsid w:val="001212AD"/>
    <w:rsid w:val="0012132D"/>
    <w:rsid w:val="00121686"/>
    <w:rsid w:val="00121759"/>
    <w:rsid w:val="00121B81"/>
    <w:rsid w:val="00121B86"/>
    <w:rsid w:val="00121E91"/>
    <w:rsid w:val="0012206A"/>
    <w:rsid w:val="001220BC"/>
    <w:rsid w:val="001224C0"/>
    <w:rsid w:val="00122549"/>
    <w:rsid w:val="00122807"/>
    <w:rsid w:val="001229B8"/>
    <w:rsid w:val="00122D17"/>
    <w:rsid w:val="0012333A"/>
    <w:rsid w:val="001234D2"/>
    <w:rsid w:val="00123996"/>
    <w:rsid w:val="00123D26"/>
    <w:rsid w:val="00123E99"/>
    <w:rsid w:val="00123FEF"/>
    <w:rsid w:val="00124771"/>
    <w:rsid w:val="00124922"/>
    <w:rsid w:val="00124B26"/>
    <w:rsid w:val="00124FBF"/>
    <w:rsid w:val="001251E1"/>
    <w:rsid w:val="0012535C"/>
    <w:rsid w:val="001255E1"/>
    <w:rsid w:val="00125717"/>
    <w:rsid w:val="00125DEA"/>
    <w:rsid w:val="0012658C"/>
    <w:rsid w:val="001265EE"/>
    <w:rsid w:val="00126A31"/>
    <w:rsid w:val="00126E54"/>
    <w:rsid w:val="00127235"/>
    <w:rsid w:val="00127255"/>
    <w:rsid w:val="0012743D"/>
    <w:rsid w:val="00127528"/>
    <w:rsid w:val="0012768A"/>
    <w:rsid w:val="001278BF"/>
    <w:rsid w:val="00127911"/>
    <w:rsid w:val="00127B08"/>
    <w:rsid w:val="00127CC5"/>
    <w:rsid w:val="00127DFB"/>
    <w:rsid w:val="001302E4"/>
    <w:rsid w:val="001303C8"/>
    <w:rsid w:val="00130409"/>
    <w:rsid w:val="001304B2"/>
    <w:rsid w:val="00130975"/>
    <w:rsid w:val="00130B80"/>
    <w:rsid w:val="00130C5C"/>
    <w:rsid w:val="00130CE0"/>
    <w:rsid w:val="00130D91"/>
    <w:rsid w:val="00131343"/>
    <w:rsid w:val="001315FE"/>
    <w:rsid w:val="0013169C"/>
    <w:rsid w:val="00131BD8"/>
    <w:rsid w:val="00131E3B"/>
    <w:rsid w:val="0013202F"/>
    <w:rsid w:val="001320B2"/>
    <w:rsid w:val="00132130"/>
    <w:rsid w:val="001324FD"/>
    <w:rsid w:val="00132D6E"/>
    <w:rsid w:val="00132DEB"/>
    <w:rsid w:val="00132F44"/>
    <w:rsid w:val="00133271"/>
    <w:rsid w:val="0013395B"/>
    <w:rsid w:val="00133C0C"/>
    <w:rsid w:val="00133C6A"/>
    <w:rsid w:val="00133FA0"/>
    <w:rsid w:val="00134151"/>
    <w:rsid w:val="00134286"/>
    <w:rsid w:val="00134360"/>
    <w:rsid w:val="0013449A"/>
    <w:rsid w:val="00134519"/>
    <w:rsid w:val="00134606"/>
    <w:rsid w:val="00134AC7"/>
    <w:rsid w:val="00134EDC"/>
    <w:rsid w:val="00134F05"/>
    <w:rsid w:val="00134F53"/>
    <w:rsid w:val="00135249"/>
    <w:rsid w:val="00135323"/>
    <w:rsid w:val="001355DC"/>
    <w:rsid w:val="00135965"/>
    <w:rsid w:val="00135CB4"/>
    <w:rsid w:val="0013630D"/>
    <w:rsid w:val="00136566"/>
    <w:rsid w:val="0013678A"/>
    <w:rsid w:val="00136857"/>
    <w:rsid w:val="00136949"/>
    <w:rsid w:val="00136E1B"/>
    <w:rsid w:val="00137997"/>
    <w:rsid w:val="00137B82"/>
    <w:rsid w:val="00137B93"/>
    <w:rsid w:val="001403BF"/>
    <w:rsid w:val="00140779"/>
    <w:rsid w:val="001407DE"/>
    <w:rsid w:val="0014091D"/>
    <w:rsid w:val="00140D0D"/>
    <w:rsid w:val="00141282"/>
    <w:rsid w:val="00141517"/>
    <w:rsid w:val="00141539"/>
    <w:rsid w:val="00141641"/>
    <w:rsid w:val="001416D7"/>
    <w:rsid w:val="001419E6"/>
    <w:rsid w:val="00141A51"/>
    <w:rsid w:val="00141A9D"/>
    <w:rsid w:val="00141B29"/>
    <w:rsid w:val="00141CC6"/>
    <w:rsid w:val="00141E70"/>
    <w:rsid w:val="00141E99"/>
    <w:rsid w:val="00142691"/>
    <w:rsid w:val="0014287F"/>
    <w:rsid w:val="00142C07"/>
    <w:rsid w:val="00142C85"/>
    <w:rsid w:val="00142DDD"/>
    <w:rsid w:val="0014306E"/>
    <w:rsid w:val="001430A4"/>
    <w:rsid w:val="001432C1"/>
    <w:rsid w:val="0014334C"/>
    <w:rsid w:val="0014340F"/>
    <w:rsid w:val="001436C4"/>
    <w:rsid w:val="00143819"/>
    <w:rsid w:val="00143EB3"/>
    <w:rsid w:val="0014412A"/>
    <w:rsid w:val="001443E5"/>
    <w:rsid w:val="00144542"/>
    <w:rsid w:val="00144596"/>
    <w:rsid w:val="001445E8"/>
    <w:rsid w:val="001448D7"/>
    <w:rsid w:val="00144BE1"/>
    <w:rsid w:val="00144E64"/>
    <w:rsid w:val="00145132"/>
    <w:rsid w:val="001455E0"/>
    <w:rsid w:val="00145650"/>
    <w:rsid w:val="00145A7B"/>
    <w:rsid w:val="00145B45"/>
    <w:rsid w:val="00145FCF"/>
    <w:rsid w:val="00146292"/>
    <w:rsid w:val="00146297"/>
    <w:rsid w:val="0014790E"/>
    <w:rsid w:val="00147A92"/>
    <w:rsid w:val="00147B88"/>
    <w:rsid w:val="001501F5"/>
    <w:rsid w:val="001503A6"/>
    <w:rsid w:val="00150774"/>
    <w:rsid w:val="00151BE6"/>
    <w:rsid w:val="00152045"/>
    <w:rsid w:val="0015235D"/>
    <w:rsid w:val="0015238B"/>
    <w:rsid w:val="00152563"/>
    <w:rsid w:val="001526E3"/>
    <w:rsid w:val="0015272C"/>
    <w:rsid w:val="001529B5"/>
    <w:rsid w:val="00153544"/>
    <w:rsid w:val="001538F5"/>
    <w:rsid w:val="0015395C"/>
    <w:rsid w:val="00153AF6"/>
    <w:rsid w:val="001541A2"/>
    <w:rsid w:val="00154376"/>
    <w:rsid w:val="001546BC"/>
    <w:rsid w:val="001549A2"/>
    <w:rsid w:val="00154A31"/>
    <w:rsid w:val="001555E6"/>
    <w:rsid w:val="001555F8"/>
    <w:rsid w:val="00155AA2"/>
    <w:rsid w:val="00155F13"/>
    <w:rsid w:val="0015600C"/>
    <w:rsid w:val="0015650C"/>
    <w:rsid w:val="001567B3"/>
    <w:rsid w:val="00156DF6"/>
    <w:rsid w:val="00156E4B"/>
    <w:rsid w:val="00157030"/>
    <w:rsid w:val="0015761B"/>
    <w:rsid w:val="00157761"/>
    <w:rsid w:val="001578DA"/>
    <w:rsid w:val="0015799E"/>
    <w:rsid w:val="00157B6C"/>
    <w:rsid w:val="00157CBA"/>
    <w:rsid w:val="00157FCD"/>
    <w:rsid w:val="00160176"/>
    <w:rsid w:val="00160501"/>
    <w:rsid w:val="00160545"/>
    <w:rsid w:val="00160750"/>
    <w:rsid w:val="00160C29"/>
    <w:rsid w:val="00160D86"/>
    <w:rsid w:val="00161018"/>
    <w:rsid w:val="0016128E"/>
    <w:rsid w:val="001616C4"/>
    <w:rsid w:val="0016171E"/>
    <w:rsid w:val="001618A0"/>
    <w:rsid w:val="00161A04"/>
    <w:rsid w:val="00161A5D"/>
    <w:rsid w:val="00161AD6"/>
    <w:rsid w:val="00161DEF"/>
    <w:rsid w:val="0016203D"/>
    <w:rsid w:val="001622ED"/>
    <w:rsid w:val="00162679"/>
    <w:rsid w:val="00162DBA"/>
    <w:rsid w:val="00162F30"/>
    <w:rsid w:val="00163074"/>
    <w:rsid w:val="001634DD"/>
    <w:rsid w:val="00163CDA"/>
    <w:rsid w:val="00164006"/>
    <w:rsid w:val="00164838"/>
    <w:rsid w:val="00165240"/>
    <w:rsid w:val="00165438"/>
    <w:rsid w:val="0016584B"/>
    <w:rsid w:val="00165BC9"/>
    <w:rsid w:val="00165C7C"/>
    <w:rsid w:val="00165FF0"/>
    <w:rsid w:val="00166055"/>
    <w:rsid w:val="0016611A"/>
    <w:rsid w:val="00166201"/>
    <w:rsid w:val="001665F3"/>
    <w:rsid w:val="001666CB"/>
    <w:rsid w:val="00166F73"/>
    <w:rsid w:val="00166FC9"/>
    <w:rsid w:val="00167AC2"/>
    <w:rsid w:val="00167C6D"/>
    <w:rsid w:val="0017003A"/>
    <w:rsid w:val="0017014B"/>
    <w:rsid w:val="00170429"/>
    <w:rsid w:val="00170592"/>
    <w:rsid w:val="00170A5D"/>
    <w:rsid w:val="00170B33"/>
    <w:rsid w:val="00170F66"/>
    <w:rsid w:val="0017146D"/>
    <w:rsid w:val="00171470"/>
    <w:rsid w:val="001716D0"/>
    <w:rsid w:val="00171FF3"/>
    <w:rsid w:val="001722BB"/>
    <w:rsid w:val="00172521"/>
    <w:rsid w:val="0017269F"/>
    <w:rsid w:val="001726E5"/>
    <w:rsid w:val="00172AC9"/>
    <w:rsid w:val="00172ADA"/>
    <w:rsid w:val="00172B7B"/>
    <w:rsid w:val="00172D21"/>
    <w:rsid w:val="00172FC7"/>
    <w:rsid w:val="001730D8"/>
    <w:rsid w:val="001736ED"/>
    <w:rsid w:val="001737EF"/>
    <w:rsid w:val="00173CB5"/>
    <w:rsid w:val="00173DF6"/>
    <w:rsid w:val="00173FC5"/>
    <w:rsid w:val="00174288"/>
    <w:rsid w:val="001742B5"/>
    <w:rsid w:val="00174493"/>
    <w:rsid w:val="001745D0"/>
    <w:rsid w:val="0017460E"/>
    <w:rsid w:val="001747C8"/>
    <w:rsid w:val="001748E4"/>
    <w:rsid w:val="00175D45"/>
    <w:rsid w:val="00175DB2"/>
    <w:rsid w:val="00175FCB"/>
    <w:rsid w:val="001761DB"/>
    <w:rsid w:val="0017672D"/>
    <w:rsid w:val="00176DD1"/>
    <w:rsid w:val="00176E54"/>
    <w:rsid w:val="00176FBE"/>
    <w:rsid w:val="0017740C"/>
    <w:rsid w:val="0017769B"/>
    <w:rsid w:val="00177786"/>
    <w:rsid w:val="001777BC"/>
    <w:rsid w:val="00180057"/>
    <w:rsid w:val="0018006F"/>
    <w:rsid w:val="0018009E"/>
    <w:rsid w:val="001801C4"/>
    <w:rsid w:val="001801C7"/>
    <w:rsid w:val="0018097B"/>
    <w:rsid w:val="00181113"/>
    <w:rsid w:val="00181444"/>
    <w:rsid w:val="0018155A"/>
    <w:rsid w:val="00181A35"/>
    <w:rsid w:val="00181A84"/>
    <w:rsid w:val="00181B88"/>
    <w:rsid w:val="00181E14"/>
    <w:rsid w:val="0018224B"/>
    <w:rsid w:val="0018228E"/>
    <w:rsid w:val="001822C4"/>
    <w:rsid w:val="001823C2"/>
    <w:rsid w:val="00182687"/>
    <w:rsid w:val="0018280F"/>
    <w:rsid w:val="0018287C"/>
    <w:rsid w:val="0018297C"/>
    <w:rsid w:val="001829E5"/>
    <w:rsid w:val="00182B46"/>
    <w:rsid w:val="00182D44"/>
    <w:rsid w:val="00183104"/>
    <w:rsid w:val="00183128"/>
    <w:rsid w:val="00183376"/>
    <w:rsid w:val="00183411"/>
    <w:rsid w:val="001834E8"/>
    <w:rsid w:val="00183700"/>
    <w:rsid w:val="00183791"/>
    <w:rsid w:val="00183839"/>
    <w:rsid w:val="00183D52"/>
    <w:rsid w:val="00184222"/>
    <w:rsid w:val="00184235"/>
    <w:rsid w:val="00184452"/>
    <w:rsid w:val="001848C7"/>
    <w:rsid w:val="00184C54"/>
    <w:rsid w:val="00184E1E"/>
    <w:rsid w:val="001855F8"/>
    <w:rsid w:val="00185791"/>
    <w:rsid w:val="001858E8"/>
    <w:rsid w:val="00185A4D"/>
    <w:rsid w:val="00185B13"/>
    <w:rsid w:val="00185BDE"/>
    <w:rsid w:val="00186337"/>
    <w:rsid w:val="0018693D"/>
    <w:rsid w:val="00186B21"/>
    <w:rsid w:val="00186B46"/>
    <w:rsid w:val="00186BB3"/>
    <w:rsid w:val="00186D1C"/>
    <w:rsid w:val="00186E95"/>
    <w:rsid w:val="001870A9"/>
    <w:rsid w:val="0018725E"/>
    <w:rsid w:val="001872F9"/>
    <w:rsid w:val="001876E1"/>
    <w:rsid w:val="001877E9"/>
    <w:rsid w:val="00187BDC"/>
    <w:rsid w:val="0019068E"/>
    <w:rsid w:val="00190A2E"/>
    <w:rsid w:val="00190D9C"/>
    <w:rsid w:val="0019133D"/>
    <w:rsid w:val="00191B66"/>
    <w:rsid w:val="00191CFA"/>
    <w:rsid w:val="00191D7D"/>
    <w:rsid w:val="00191DAF"/>
    <w:rsid w:val="00191FAA"/>
    <w:rsid w:val="00192168"/>
    <w:rsid w:val="0019217B"/>
    <w:rsid w:val="00192966"/>
    <w:rsid w:val="00192CD7"/>
    <w:rsid w:val="00193101"/>
    <w:rsid w:val="001933F7"/>
    <w:rsid w:val="00193554"/>
    <w:rsid w:val="0019360D"/>
    <w:rsid w:val="001938A2"/>
    <w:rsid w:val="00193DA1"/>
    <w:rsid w:val="00193EA9"/>
    <w:rsid w:val="00193F22"/>
    <w:rsid w:val="001940F0"/>
    <w:rsid w:val="0019412C"/>
    <w:rsid w:val="001941B2"/>
    <w:rsid w:val="00194329"/>
    <w:rsid w:val="00194781"/>
    <w:rsid w:val="001947C4"/>
    <w:rsid w:val="001949E7"/>
    <w:rsid w:val="00194B64"/>
    <w:rsid w:val="00194D2B"/>
    <w:rsid w:val="00194D41"/>
    <w:rsid w:val="001952CB"/>
    <w:rsid w:val="001952F5"/>
    <w:rsid w:val="00195551"/>
    <w:rsid w:val="001956B7"/>
    <w:rsid w:val="001959FE"/>
    <w:rsid w:val="00195BFA"/>
    <w:rsid w:val="00195EC9"/>
    <w:rsid w:val="001964CA"/>
    <w:rsid w:val="00196704"/>
    <w:rsid w:val="001968F3"/>
    <w:rsid w:val="00196CF6"/>
    <w:rsid w:val="00196EFF"/>
    <w:rsid w:val="001977A8"/>
    <w:rsid w:val="0019782A"/>
    <w:rsid w:val="0019791C"/>
    <w:rsid w:val="001979EF"/>
    <w:rsid w:val="00197C6C"/>
    <w:rsid w:val="00197D43"/>
    <w:rsid w:val="00197F2D"/>
    <w:rsid w:val="001A0231"/>
    <w:rsid w:val="001A02B3"/>
    <w:rsid w:val="001A0448"/>
    <w:rsid w:val="001A04C6"/>
    <w:rsid w:val="001A0A52"/>
    <w:rsid w:val="001A0B06"/>
    <w:rsid w:val="001A108B"/>
    <w:rsid w:val="001A1316"/>
    <w:rsid w:val="001A1721"/>
    <w:rsid w:val="001A1F31"/>
    <w:rsid w:val="001A20CF"/>
    <w:rsid w:val="001A237C"/>
    <w:rsid w:val="001A23E7"/>
    <w:rsid w:val="001A2495"/>
    <w:rsid w:val="001A258D"/>
    <w:rsid w:val="001A27FE"/>
    <w:rsid w:val="001A28D9"/>
    <w:rsid w:val="001A2A18"/>
    <w:rsid w:val="001A34E4"/>
    <w:rsid w:val="001A3508"/>
    <w:rsid w:val="001A3C50"/>
    <w:rsid w:val="001A3C73"/>
    <w:rsid w:val="001A40ED"/>
    <w:rsid w:val="001A44DA"/>
    <w:rsid w:val="001A49F4"/>
    <w:rsid w:val="001A5089"/>
    <w:rsid w:val="001A50E9"/>
    <w:rsid w:val="001A5517"/>
    <w:rsid w:val="001A5527"/>
    <w:rsid w:val="001A57D9"/>
    <w:rsid w:val="001A5AA5"/>
    <w:rsid w:val="001A5E78"/>
    <w:rsid w:val="001A64F3"/>
    <w:rsid w:val="001A655C"/>
    <w:rsid w:val="001A65DA"/>
    <w:rsid w:val="001A6662"/>
    <w:rsid w:val="001A6743"/>
    <w:rsid w:val="001A6A54"/>
    <w:rsid w:val="001A6B06"/>
    <w:rsid w:val="001A6B2B"/>
    <w:rsid w:val="001A6D4D"/>
    <w:rsid w:val="001A7849"/>
    <w:rsid w:val="001A796F"/>
    <w:rsid w:val="001A7B9E"/>
    <w:rsid w:val="001A7CE2"/>
    <w:rsid w:val="001A7DE2"/>
    <w:rsid w:val="001B0477"/>
    <w:rsid w:val="001B089C"/>
    <w:rsid w:val="001B0AF0"/>
    <w:rsid w:val="001B0CF1"/>
    <w:rsid w:val="001B0D21"/>
    <w:rsid w:val="001B0E04"/>
    <w:rsid w:val="001B0FBE"/>
    <w:rsid w:val="001B13C4"/>
    <w:rsid w:val="001B1790"/>
    <w:rsid w:val="001B1BE8"/>
    <w:rsid w:val="001B1F24"/>
    <w:rsid w:val="001B20DF"/>
    <w:rsid w:val="001B230E"/>
    <w:rsid w:val="001B23AA"/>
    <w:rsid w:val="001B2678"/>
    <w:rsid w:val="001B2EF9"/>
    <w:rsid w:val="001B300D"/>
    <w:rsid w:val="001B3116"/>
    <w:rsid w:val="001B32A0"/>
    <w:rsid w:val="001B332A"/>
    <w:rsid w:val="001B37C8"/>
    <w:rsid w:val="001B3991"/>
    <w:rsid w:val="001B3ECC"/>
    <w:rsid w:val="001B3EE4"/>
    <w:rsid w:val="001B3FC5"/>
    <w:rsid w:val="001B4056"/>
    <w:rsid w:val="001B4185"/>
    <w:rsid w:val="001B4C9E"/>
    <w:rsid w:val="001B5282"/>
    <w:rsid w:val="001B5B14"/>
    <w:rsid w:val="001B624C"/>
    <w:rsid w:val="001B6968"/>
    <w:rsid w:val="001B7371"/>
    <w:rsid w:val="001B79A3"/>
    <w:rsid w:val="001B7DC9"/>
    <w:rsid w:val="001C0619"/>
    <w:rsid w:val="001C0733"/>
    <w:rsid w:val="001C0A6D"/>
    <w:rsid w:val="001C1098"/>
    <w:rsid w:val="001C10C1"/>
    <w:rsid w:val="001C1133"/>
    <w:rsid w:val="001C1392"/>
    <w:rsid w:val="001C13F4"/>
    <w:rsid w:val="001C1522"/>
    <w:rsid w:val="001C1B01"/>
    <w:rsid w:val="001C2269"/>
    <w:rsid w:val="001C22F4"/>
    <w:rsid w:val="001C245E"/>
    <w:rsid w:val="001C25F5"/>
    <w:rsid w:val="001C266D"/>
    <w:rsid w:val="001C2820"/>
    <w:rsid w:val="001C2DE6"/>
    <w:rsid w:val="001C2E5F"/>
    <w:rsid w:val="001C3519"/>
    <w:rsid w:val="001C364A"/>
    <w:rsid w:val="001C3D29"/>
    <w:rsid w:val="001C425A"/>
    <w:rsid w:val="001C44C4"/>
    <w:rsid w:val="001C44D5"/>
    <w:rsid w:val="001C4A10"/>
    <w:rsid w:val="001C511A"/>
    <w:rsid w:val="001C545E"/>
    <w:rsid w:val="001C560E"/>
    <w:rsid w:val="001C5C45"/>
    <w:rsid w:val="001C5ED0"/>
    <w:rsid w:val="001C61BC"/>
    <w:rsid w:val="001C6203"/>
    <w:rsid w:val="001C666D"/>
    <w:rsid w:val="001C66E9"/>
    <w:rsid w:val="001C683E"/>
    <w:rsid w:val="001C71AA"/>
    <w:rsid w:val="001C7344"/>
    <w:rsid w:val="001C773F"/>
    <w:rsid w:val="001C7E1A"/>
    <w:rsid w:val="001CAD56"/>
    <w:rsid w:val="001D0173"/>
    <w:rsid w:val="001D0190"/>
    <w:rsid w:val="001D028B"/>
    <w:rsid w:val="001D0AE7"/>
    <w:rsid w:val="001D0C12"/>
    <w:rsid w:val="001D0C69"/>
    <w:rsid w:val="001D0D08"/>
    <w:rsid w:val="001D0E98"/>
    <w:rsid w:val="001D0ECA"/>
    <w:rsid w:val="001D0F51"/>
    <w:rsid w:val="001D1281"/>
    <w:rsid w:val="001D147F"/>
    <w:rsid w:val="001D17C5"/>
    <w:rsid w:val="001D1A6E"/>
    <w:rsid w:val="001D1D8D"/>
    <w:rsid w:val="001D1FE4"/>
    <w:rsid w:val="001D21A4"/>
    <w:rsid w:val="001D2732"/>
    <w:rsid w:val="001D277F"/>
    <w:rsid w:val="001D29F6"/>
    <w:rsid w:val="001D2AB0"/>
    <w:rsid w:val="001D2CB6"/>
    <w:rsid w:val="001D328F"/>
    <w:rsid w:val="001D34E9"/>
    <w:rsid w:val="001D3615"/>
    <w:rsid w:val="001D40A8"/>
    <w:rsid w:val="001D48CA"/>
    <w:rsid w:val="001D4C89"/>
    <w:rsid w:val="001D4F92"/>
    <w:rsid w:val="001D5406"/>
    <w:rsid w:val="001D563C"/>
    <w:rsid w:val="001D59CE"/>
    <w:rsid w:val="001D5B98"/>
    <w:rsid w:val="001D5C98"/>
    <w:rsid w:val="001D5D11"/>
    <w:rsid w:val="001D662F"/>
    <w:rsid w:val="001D6FC3"/>
    <w:rsid w:val="001D7531"/>
    <w:rsid w:val="001D784E"/>
    <w:rsid w:val="001D7A27"/>
    <w:rsid w:val="001D7B9A"/>
    <w:rsid w:val="001D7BAC"/>
    <w:rsid w:val="001D7D84"/>
    <w:rsid w:val="001E043C"/>
    <w:rsid w:val="001E085E"/>
    <w:rsid w:val="001E0931"/>
    <w:rsid w:val="001E0B27"/>
    <w:rsid w:val="001E1304"/>
    <w:rsid w:val="001E1654"/>
    <w:rsid w:val="001E1BD1"/>
    <w:rsid w:val="001E1D20"/>
    <w:rsid w:val="001E1DDF"/>
    <w:rsid w:val="001E214C"/>
    <w:rsid w:val="001E2DAB"/>
    <w:rsid w:val="001E2F5E"/>
    <w:rsid w:val="001E324C"/>
    <w:rsid w:val="001E3584"/>
    <w:rsid w:val="001E4230"/>
    <w:rsid w:val="001E47ED"/>
    <w:rsid w:val="001E4B0D"/>
    <w:rsid w:val="001E4CF3"/>
    <w:rsid w:val="001E4EDA"/>
    <w:rsid w:val="001E519B"/>
    <w:rsid w:val="001E5327"/>
    <w:rsid w:val="001E54EB"/>
    <w:rsid w:val="001E551B"/>
    <w:rsid w:val="001E5F40"/>
    <w:rsid w:val="001E68B2"/>
    <w:rsid w:val="001E6D2A"/>
    <w:rsid w:val="001E6D35"/>
    <w:rsid w:val="001E6F0A"/>
    <w:rsid w:val="001E719A"/>
    <w:rsid w:val="001E78BF"/>
    <w:rsid w:val="001E7930"/>
    <w:rsid w:val="001E79C1"/>
    <w:rsid w:val="001E7A99"/>
    <w:rsid w:val="001E7DC8"/>
    <w:rsid w:val="001F014B"/>
    <w:rsid w:val="001F0AB9"/>
    <w:rsid w:val="001F0C42"/>
    <w:rsid w:val="001F11CA"/>
    <w:rsid w:val="001F1493"/>
    <w:rsid w:val="001F1904"/>
    <w:rsid w:val="001F1FB4"/>
    <w:rsid w:val="001F2041"/>
    <w:rsid w:val="001F23BD"/>
    <w:rsid w:val="001F28B3"/>
    <w:rsid w:val="001F2CB4"/>
    <w:rsid w:val="001F2F3D"/>
    <w:rsid w:val="001F2FEF"/>
    <w:rsid w:val="001F37B8"/>
    <w:rsid w:val="001F3808"/>
    <w:rsid w:val="001F38B9"/>
    <w:rsid w:val="001F3D1B"/>
    <w:rsid w:val="001F405A"/>
    <w:rsid w:val="001F44F5"/>
    <w:rsid w:val="001F46E2"/>
    <w:rsid w:val="001F5028"/>
    <w:rsid w:val="001F50CF"/>
    <w:rsid w:val="001F5591"/>
    <w:rsid w:val="001F5ACC"/>
    <w:rsid w:val="001F5C91"/>
    <w:rsid w:val="001F5D49"/>
    <w:rsid w:val="001F5DCF"/>
    <w:rsid w:val="001F64DA"/>
    <w:rsid w:val="001F6530"/>
    <w:rsid w:val="001F67CA"/>
    <w:rsid w:val="001F6812"/>
    <w:rsid w:val="001F6A45"/>
    <w:rsid w:val="001F6A6F"/>
    <w:rsid w:val="001F6CE6"/>
    <w:rsid w:val="001F6F8E"/>
    <w:rsid w:val="001F7604"/>
    <w:rsid w:val="001F787E"/>
    <w:rsid w:val="002004A3"/>
    <w:rsid w:val="002008A3"/>
    <w:rsid w:val="00200D05"/>
    <w:rsid w:val="00200DE0"/>
    <w:rsid w:val="00200EEC"/>
    <w:rsid w:val="0020132A"/>
    <w:rsid w:val="0020143A"/>
    <w:rsid w:val="00201461"/>
    <w:rsid w:val="00201783"/>
    <w:rsid w:val="00201D1F"/>
    <w:rsid w:val="002026A7"/>
    <w:rsid w:val="002027AD"/>
    <w:rsid w:val="00202D9C"/>
    <w:rsid w:val="00203112"/>
    <w:rsid w:val="00203169"/>
    <w:rsid w:val="00203543"/>
    <w:rsid w:val="00203672"/>
    <w:rsid w:val="0020384C"/>
    <w:rsid w:val="0020398D"/>
    <w:rsid w:val="002039BE"/>
    <w:rsid w:val="0020432C"/>
    <w:rsid w:val="00204544"/>
    <w:rsid w:val="002046CF"/>
    <w:rsid w:val="00205121"/>
    <w:rsid w:val="00205310"/>
    <w:rsid w:val="00205344"/>
    <w:rsid w:val="00205523"/>
    <w:rsid w:val="002055FB"/>
    <w:rsid w:val="00205D01"/>
    <w:rsid w:val="00206574"/>
    <w:rsid w:val="002067AC"/>
    <w:rsid w:val="002068D1"/>
    <w:rsid w:val="0020757F"/>
    <w:rsid w:val="00207A85"/>
    <w:rsid w:val="00207D7D"/>
    <w:rsid w:val="00207E24"/>
    <w:rsid w:val="00207F34"/>
    <w:rsid w:val="0020CDE0"/>
    <w:rsid w:val="002101E5"/>
    <w:rsid w:val="002103D1"/>
    <w:rsid w:val="002107A9"/>
    <w:rsid w:val="002108B8"/>
    <w:rsid w:val="00210E62"/>
    <w:rsid w:val="0021143D"/>
    <w:rsid w:val="00211451"/>
    <w:rsid w:val="00211580"/>
    <w:rsid w:val="002115D3"/>
    <w:rsid w:val="002115FA"/>
    <w:rsid w:val="002119F8"/>
    <w:rsid w:val="00212520"/>
    <w:rsid w:val="00212EBA"/>
    <w:rsid w:val="00212FCF"/>
    <w:rsid w:val="00213906"/>
    <w:rsid w:val="00213CE9"/>
    <w:rsid w:val="0021428C"/>
    <w:rsid w:val="0021455F"/>
    <w:rsid w:val="002146FC"/>
    <w:rsid w:val="00214AF6"/>
    <w:rsid w:val="00214C53"/>
    <w:rsid w:val="00215578"/>
    <w:rsid w:val="002155A5"/>
    <w:rsid w:val="0021577F"/>
    <w:rsid w:val="0021585D"/>
    <w:rsid w:val="00215DB7"/>
    <w:rsid w:val="0021609E"/>
    <w:rsid w:val="00216386"/>
    <w:rsid w:val="00216735"/>
    <w:rsid w:val="00216CD4"/>
    <w:rsid w:val="00217417"/>
    <w:rsid w:val="0021763B"/>
    <w:rsid w:val="00217745"/>
    <w:rsid w:val="00217767"/>
    <w:rsid w:val="00217A96"/>
    <w:rsid w:val="00217E2D"/>
    <w:rsid w:val="00217E44"/>
    <w:rsid w:val="00217EAD"/>
    <w:rsid w:val="00217F50"/>
    <w:rsid w:val="00220259"/>
    <w:rsid w:val="002202A2"/>
    <w:rsid w:val="00220567"/>
    <w:rsid w:val="00221268"/>
    <w:rsid w:val="002215D2"/>
    <w:rsid w:val="002222F6"/>
    <w:rsid w:val="0022264C"/>
    <w:rsid w:val="0022275F"/>
    <w:rsid w:val="002227B5"/>
    <w:rsid w:val="00222A21"/>
    <w:rsid w:val="00222BA8"/>
    <w:rsid w:val="00222D55"/>
    <w:rsid w:val="00223A61"/>
    <w:rsid w:val="00223C2F"/>
    <w:rsid w:val="00223EB4"/>
    <w:rsid w:val="002241AE"/>
    <w:rsid w:val="00224320"/>
    <w:rsid w:val="002243A3"/>
    <w:rsid w:val="00224A2B"/>
    <w:rsid w:val="00224AAD"/>
    <w:rsid w:val="00224B0E"/>
    <w:rsid w:val="00224E0A"/>
    <w:rsid w:val="002250D4"/>
    <w:rsid w:val="00225B32"/>
    <w:rsid w:val="00225BEA"/>
    <w:rsid w:val="00225C27"/>
    <w:rsid w:val="00225E3B"/>
    <w:rsid w:val="00225F16"/>
    <w:rsid w:val="00225FB0"/>
    <w:rsid w:val="002263C3"/>
    <w:rsid w:val="002263C6"/>
    <w:rsid w:val="002267B6"/>
    <w:rsid w:val="00226812"/>
    <w:rsid w:val="002268D5"/>
    <w:rsid w:val="0022694F"/>
    <w:rsid w:val="00226E57"/>
    <w:rsid w:val="00227352"/>
    <w:rsid w:val="00227553"/>
    <w:rsid w:val="00227951"/>
    <w:rsid w:val="00227A5B"/>
    <w:rsid w:val="00227B2A"/>
    <w:rsid w:val="00227B94"/>
    <w:rsid w:val="00227C7F"/>
    <w:rsid w:val="00227F1C"/>
    <w:rsid w:val="00230200"/>
    <w:rsid w:val="0023034E"/>
    <w:rsid w:val="00230D5F"/>
    <w:rsid w:val="00230DA4"/>
    <w:rsid w:val="00230DF1"/>
    <w:rsid w:val="00230E4A"/>
    <w:rsid w:val="00231155"/>
    <w:rsid w:val="0023155F"/>
    <w:rsid w:val="00231685"/>
    <w:rsid w:val="0023172B"/>
    <w:rsid w:val="00231A11"/>
    <w:rsid w:val="00231A1A"/>
    <w:rsid w:val="00232077"/>
    <w:rsid w:val="002320AC"/>
    <w:rsid w:val="002320B4"/>
    <w:rsid w:val="00232E96"/>
    <w:rsid w:val="00232F68"/>
    <w:rsid w:val="00233382"/>
    <w:rsid w:val="002336EB"/>
    <w:rsid w:val="00233B77"/>
    <w:rsid w:val="00233B9E"/>
    <w:rsid w:val="00233D7E"/>
    <w:rsid w:val="00233E3A"/>
    <w:rsid w:val="00233ED5"/>
    <w:rsid w:val="00234628"/>
    <w:rsid w:val="00234827"/>
    <w:rsid w:val="00234A6E"/>
    <w:rsid w:val="00234B4E"/>
    <w:rsid w:val="00234EE2"/>
    <w:rsid w:val="00235001"/>
    <w:rsid w:val="00235B4B"/>
    <w:rsid w:val="00235E5E"/>
    <w:rsid w:val="00235FDC"/>
    <w:rsid w:val="0023628A"/>
    <w:rsid w:val="00236301"/>
    <w:rsid w:val="00236527"/>
    <w:rsid w:val="002369C2"/>
    <w:rsid w:val="00236AE7"/>
    <w:rsid w:val="00237258"/>
    <w:rsid w:val="0023736A"/>
    <w:rsid w:val="002375A3"/>
    <w:rsid w:val="00237615"/>
    <w:rsid w:val="00237B06"/>
    <w:rsid w:val="00237C47"/>
    <w:rsid w:val="00237E87"/>
    <w:rsid w:val="00240155"/>
    <w:rsid w:val="00240289"/>
    <w:rsid w:val="002403D1"/>
    <w:rsid w:val="00240510"/>
    <w:rsid w:val="0024056D"/>
    <w:rsid w:val="002405F3"/>
    <w:rsid w:val="002406D9"/>
    <w:rsid w:val="00240889"/>
    <w:rsid w:val="002409C5"/>
    <w:rsid w:val="00240F3A"/>
    <w:rsid w:val="00241246"/>
    <w:rsid w:val="0024152E"/>
    <w:rsid w:val="0024170F"/>
    <w:rsid w:val="00241861"/>
    <w:rsid w:val="00241A0C"/>
    <w:rsid w:val="00241ADA"/>
    <w:rsid w:val="00241CCC"/>
    <w:rsid w:val="00241D89"/>
    <w:rsid w:val="00241FBF"/>
    <w:rsid w:val="00242011"/>
    <w:rsid w:val="002422B9"/>
    <w:rsid w:val="00242572"/>
    <w:rsid w:val="002425EB"/>
    <w:rsid w:val="00242896"/>
    <w:rsid w:val="002429A9"/>
    <w:rsid w:val="00242FBA"/>
    <w:rsid w:val="0024314C"/>
    <w:rsid w:val="002434E6"/>
    <w:rsid w:val="00243CA0"/>
    <w:rsid w:val="00243D9E"/>
    <w:rsid w:val="00243EE7"/>
    <w:rsid w:val="002444FB"/>
    <w:rsid w:val="00244956"/>
    <w:rsid w:val="00244A39"/>
    <w:rsid w:val="00244EAE"/>
    <w:rsid w:val="00244FA2"/>
    <w:rsid w:val="002450A1"/>
    <w:rsid w:val="00245581"/>
    <w:rsid w:val="002458B5"/>
    <w:rsid w:val="00245CCD"/>
    <w:rsid w:val="00245D10"/>
    <w:rsid w:val="00245D9F"/>
    <w:rsid w:val="00245E53"/>
    <w:rsid w:val="00245F58"/>
    <w:rsid w:val="00246245"/>
    <w:rsid w:val="002463C2"/>
    <w:rsid w:val="0024646C"/>
    <w:rsid w:val="0024658A"/>
    <w:rsid w:val="0024662C"/>
    <w:rsid w:val="002467D9"/>
    <w:rsid w:val="00246F30"/>
    <w:rsid w:val="00247874"/>
    <w:rsid w:val="0024788E"/>
    <w:rsid w:val="0024790F"/>
    <w:rsid w:val="002479CE"/>
    <w:rsid w:val="00247C04"/>
    <w:rsid w:val="00247CC4"/>
    <w:rsid w:val="00247E12"/>
    <w:rsid w:val="002504A7"/>
    <w:rsid w:val="002509BF"/>
    <w:rsid w:val="00250B20"/>
    <w:rsid w:val="00250C5B"/>
    <w:rsid w:val="00250F8F"/>
    <w:rsid w:val="002515F8"/>
    <w:rsid w:val="00251C75"/>
    <w:rsid w:val="00252036"/>
    <w:rsid w:val="0025218C"/>
    <w:rsid w:val="0025262A"/>
    <w:rsid w:val="00252654"/>
    <w:rsid w:val="00252F26"/>
    <w:rsid w:val="0025339B"/>
    <w:rsid w:val="002536DF"/>
    <w:rsid w:val="002539CE"/>
    <w:rsid w:val="00253A20"/>
    <w:rsid w:val="00253DB2"/>
    <w:rsid w:val="00253E27"/>
    <w:rsid w:val="0025419F"/>
    <w:rsid w:val="00254312"/>
    <w:rsid w:val="00254385"/>
    <w:rsid w:val="002543E8"/>
    <w:rsid w:val="0025494A"/>
    <w:rsid w:val="00254A57"/>
    <w:rsid w:val="00254C2A"/>
    <w:rsid w:val="00254D19"/>
    <w:rsid w:val="00255260"/>
    <w:rsid w:val="00255758"/>
    <w:rsid w:val="0025599D"/>
    <w:rsid w:val="00255AAD"/>
    <w:rsid w:val="00255F29"/>
    <w:rsid w:val="00255F6B"/>
    <w:rsid w:val="00256289"/>
    <w:rsid w:val="0025679D"/>
    <w:rsid w:val="00256CCF"/>
    <w:rsid w:val="0025745E"/>
    <w:rsid w:val="00257507"/>
    <w:rsid w:val="002578FF"/>
    <w:rsid w:val="00257C8A"/>
    <w:rsid w:val="0026057C"/>
    <w:rsid w:val="00260601"/>
    <w:rsid w:val="002606FB"/>
    <w:rsid w:val="0026072E"/>
    <w:rsid w:val="00260CEF"/>
    <w:rsid w:val="00260D60"/>
    <w:rsid w:val="00260F71"/>
    <w:rsid w:val="00261169"/>
    <w:rsid w:val="00261181"/>
    <w:rsid w:val="002616AD"/>
    <w:rsid w:val="00261AC2"/>
    <w:rsid w:val="00261BFB"/>
    <w:rsid w:val="00261C3E"/>
    <w:rsid w:val="00261C6F"/>
    <w:rsid w:val="00261D8C"/>
    <w:rsid w:val="00261E14"/>
    <w:rsid w:val="002622BE"/>
    <w:rsid w:val="00262343"/>
    <w:rsid w:val="002625B7"/>
    <w:rsid w:val="002625BF"/>
    <w:rsid w:val="0026278A"/>
    <w:rsid w:val="00262A0A"/>
    <w:rsid w:val="00262AD6"/>
    <w:rsid w:val="00262AFC"/>
    <w:rsid w:val="00262FA9"/>
    <w:rsid w:val="0026336A"/>
    <w:rsid w:val="00263462"/>
    <w:rsid w:val="0026373A"/>
    <w:rsid w:val="00263A3D"/>
    <w:rsid w:val="00263BB8"/>
    <w:rsid w:val="00263BD6"/>
    <w:rsid w:val="002648D4"/>
    <w:rsid w:val="00264A3B"/>
    <w:rsid w:val="00264BC6"/>
    <w:rsid w:val="00264F26"/>
    <w:rsid w:val="00265083"/>
    <w:rsid w:val="00265679"/>
    <w:rsid w:val="00265D36"/>
    <w:rsid w:val="00265E83"/>
    <w:rsid w:val="0026696B"/>
    <w:rsid w:val="00266E31"/>
    <w:rsid w:val="00267080"/>
    <w:rsid w:val="0026725C"/>
    <w:rsid w:val="00267627"/>
    <w:rsid w:val="0026791E"/>
    <w:rsid w:val="00267BDF"/>
    <w:rsid w:val="00267C48"/>
    <w:rsid w:val="00267E36"/>
    <w:rsid w:val="00270016"/>
    <w:rsid w:val="002700F9"/>
    <w:rsid w:val="0027012A"/>
    <w:rsid w:val="002701F8"/>
    <w:rsid w:val="00270265"/>
    <w:rsid w:val="00270363"/>
    <w:rsid w:val="00270863"/>
    <w:rsid w:val="00270A3E"/>
    <w:rsid w:val="00270B8F"/>
    <w:rsid w:val="00270F37"/>
    <w:rsid w:val="002710AC"/>
    <w:rsid w:val="00271749"/>
    <w:rsid w:val="002718D8"/>
    <w:rsid w:val="00271DBE"/>
    <w:rsid w:val="00271FC1"/>
    <w:rsid w:val="002720F0"/>
    <w:rsid w:val="00272124"/>
    <w:rsid w:val="00272467"/>
    <w:rsid w:val="0027274B"/>
    <w:rsid w:val="002727EF"/>
    <w:rsid w:val="00272ACD"/>
    <w:rsid w:val="00272C67"/>
    <w:rsid w:val="00272DAF"/>
    <w:rsid w:val="00273110"/>
    <w:rsid w:val="00273A22"/>
    <w:rsid w:val="00273A83"/>
    <w:rsid w:val="00273FA5"/>
    <w:rsid w:val="00274177"/>
    <w:rsid w:val="002741A6"/>
    <w:rsid w:val="002746C7"/>
    <w:rsid w:val="002749F9"/>
    <w:rsid w:val="00274EB5"/>
    <w:rsid w:val="002750C9"/>
    <w:rsid w:val="00275464"/>
    <w:rsid w:val="00275481"/>
    <w:rsid w:val="00275E20"/>
    <w:rsid w:val="00276D95"/>
    <w:rsid w:val="00277368"/>
    <w:rsid w:val="0027791B"/>
    <w:rsid w:val="00277A0B"/>
    <w:rsid w:val="00277DB6"/>
    <w:rsid w:val="00277E62"/>
    <w:rsid w:val="00280050"/>
    <w:rsid w:val="00280229"/>
    <w:rsid w:val="00280529"/>
    <w:rsid w:val="00280862"/>
    <w:rsid w:val="0028097B"/>
    <w:rsid w:val="0028187E"/>
    <w:rsid w:val="00281C0C"/>
    <w:rsid w:val="00281DFA"/>
    <w:rsid w:val="00282028"/>
    <w:rsid w:val="002823F8"/>
    <w:rsid w:val="00283708"/>
    <w:rsid w:val="0028370B"/>
    <w:rsid w:val="00283A45"/>
    <w:rsid w:val="00283AC3"/>
    <w:rsid w:val="00283B33"/>
    <w:rsid w:val="00283B4D"/>
    <w:rsid w:val="00283DD9"/>
    <w:rsid w:val="00283E8E"/>
    <w:rsid w:val="00283FA2"/>
    <w:rsid w:val="00284028"/>
    <w:rsid w:val="002842E1"/>
    <w:rsid w:val="00284477"/>
    <w:rsid w:val="00284C6D"/>
    <w:rsid w:val="00284FF6"/>
    <w:rsid w:val="002852CD"/>
    <w:rsid w:val="0028534B"/>
    <w:rsid w:val="00285472"/>
    <w:rsid w:val="002856BB"/>
    <w:rsid w:val="00285A09"/>
    <w:rsid w:val="00285A39"/>
    <w:rsid w:val="00285A56"/>
    <w:rsid w:val="002866C8"/>
    <w:rsid w:val="002867BA"/>
    <w:rsid w:val="00286890"/>
    <w:rsid w:val="00286CEA"/>
    <w:rsid w:val="002871F1"/>
    <w:rsid w:val="00287242"/>
    <w:rsid w:val="0028725B"/>
    <w:rsid w:val="002872B7"/>
    <w:rsid w:val="00287779"/>
    <w:rsid w:val="00287A5B"/>
    <w:rsid w:val="00287A8F"/>
    <w:rsid w:val="00287ABC"/>
    <w:rsid w:val="00287C87"/>
    <w:rsid w:val="00287C8C"/>
    <w:rsid w:val="00290E49"/>
    <w:rsid w:val="00291230"/>
    <w:rsid w:val="002912CD"/>
    <w:rsid w:val="00291370"/>
    <w:rsid w:val="00291A08"/>
    <w:rsid w:val="00291EA9"/>
    <w:rsid w:val="00291ED7"/>
    <w:rsid w:val="00291F6A"/>
    <w:rsid w:val="002920AA"/>
    <w:rsid w:val="002921B7"/>
    <w:rsid w:val="002921F2"/>
    <w:rsid w:val="002923B6"/>
    <w:rsid w:val="00292548"/>
    <w:rsid w:val="00292688"/>
    <w:rsid w:val="00292823"/>
    <w:rsid w:val="00292F3D"/>
    <w:rsid w:val="00293331"/>
    <w:rsid w:val="00293B0E"/>
    <w:rsid w:val="00294000"/>
    <w:rsid w:val="00294100"/>
    <w:rsid w:val="00294117"/>
    <w:rsid w:val="002943A4"/>
    <w:rsid w:val="00294564"/>
    <w:rsid w:val="00294BCB"/>
    <w:rsid w:val="00294E7D"/>
    <w:rsid w:val="0029525E"/>
    <w:rsid w:val="00295448"/>
    <w:rsid w:val="00295886"/>
    <w:rsid w:val="00295E02"/>
    <w:rsid w:val="00295EE5"/>
    <w:rsid w:val="00295F43"/>
    <w:rsid w:val="002960EF"/>
    <w:rsid w:val="0029663A"/>
    <w:rsid w:val="002969CC"/>
    <w:rsid w:val="00296A38"/>
    <w:rsid w:val="00296ACE"/>
    <w:rsid w:val="00296C4F"/>
    <w:rsid w:val="00296EB9"/>
    <w:rsid w:val="002970EF"/>
    <w:rsid w:val="0029734C"/>
    <w:rsid w:val="00297627"/>
    <w:rsid w:val="00297C5D"/>
    <w:rsid w:val="00297EF8"/>
    <w:rsid w:val="00297F64"/>
    <w:rsid w:val="002A0089"/>
    <w:rsid w:val="002A01A0"/>
    <w:rsid w:val="002A032F"/>
    <w:rsid w:val="002A06A5"/>
    <w:rsid w:val="002A07A5"/>
    <w:rsid w:val="002A0B8D"/>
    <w:rsid w:val="002A0C42"/>
    <w:rsid w:val="002A0EDB"/>
    <w:rsid w:val="002A0F3F"/>
    <w:rsid w:val="002A1255"/>
    <w:rsid w:val="002A1366"/>
    <w:rsid w:val="002A1400"/>
    <w:rsid w:val="002A150A"/>
    <w:rsid w:val="002A156E"/>
    <w:rsid w:val="002A15D5"/>
    <w:rsid w:val="002A177F"/>
    <w:rsid w:val="002A17DA"/>
    <w:rsid w:val="002A18BC"/>
    <w:rsid w:val="002A2832"/>
    <w:rsid w:val="002A2945"/>
    <w:rsid w:val="002A2E14"/>
    <w:rsid w:val="002A3169"/>
    <w:rsid w:val="002A383C"/>
    <w:rsid w:val="002A3D38"/>
    <w:rsid w:val="002A4A30"/>
    <w:rsid w:val="002A4C49"/>
    <w:rsid w:val="002A5109"/>
    <w:rsid w:val="002A551C"/>
    <w:rsid w:val="002A595E"/>
    <w:rsid w:val="002A5B81"/>
    <w:rsid w:val="002A5C92"/>
    <w:rsid w:val="002A6032"/>
    <w:rsid w:val="002A60A9"/>
    <w:rsid w:val="002A6447"/>
    <w:rsid w:val="002A6B67"/>
    <w:rsid w:val="002A6CAC"/>
    <w:rsid w:val="002A6F14"/>
    <w:rsid w:val="002A72DA"/>
    <w:rsid w:val="002A7324"/>
    <w:rsid w:val="002A7A35"/>
    <w:rsid w:val="002B0139"/>
    <w:rsid w:val="002B03D8"/>
    <w:rsid w:val="002B0890"/>
    <w:rsid w:val="002B08B7"/>
    <w:rsid w:val="002B0A25"/>
    <w:rsid w:val="002B0B2B"/>
    <w:rsid w:val="002B0E5E"/>
    <w:rsid w:val="002B0F35"/>
    <w:rsid w:val="002B1099"/>
    <w:rsid w:val="002B10E8"/>
    <w:rsid w:val="002B1197"/>
    <w:rsid w:val="002B134E"/>
    <w:rsid w:val="002B178B"/>
    <w:rsid w:val="002B1899"/>
    <w:rsid w:val="002B1A46"/>
    <w:rsid w:val="002B1E77"/>
    <w:rsid w:val="002B2162"/>
    <w:rsid w:val="002B22F6"/>
    <w:rsid w:val="002B29CE"/>
    <w:rsid w:val="002B2C89"/>
    <w:rsid w:val="002B2F84"/>
    <w:rsid w:val="002B333C"/>
    <w:rsid w:val="002B336A"/>
    <w:rsid w:val="002B3613"/>
    <w:rsid w:val="002B367B"/>
    <w:rsid w:val="002B376E"/>
    <w:rsid w:val="002B39AA"/>
    <w:rsid w:val="002B401A"/>
    <w:rsid w:val="002B4508"/>
    <w:rsid w:val="002B49C0"/>
    <w:rsid w:val="002B4A5E"/>
    <w:rsid w:val="002B4CFB"/>
    <w:rsid w:val="002B4E33"/>
    <w:rsid w:val="002B5143"/>
    <w:rsid w:val="002B5454"/>
    <w:rsid w:val="002B55B9"/>
    <w:rsid w:val="002B5925"/>
    <w:rsid w:val="002B5C8D"/>
    <w:rsid w:val="002B6726"/>
    <w:rsid w:val="002B6D93"/>
    <w:rsid w:val="002B6DB0"/>
    <w:rsid w:val="002B7210"/>
    <w:rsid w:val="002B729F"/>
    <w:rsid w:val="002B7508"/>
    <w:rsid w:val="002B753B"/>
    <w:rsid w:val="002B75DB"/>
    <w:rsid w:val="002B77C5"/>
    <w:rsid w:val="002C008B"/>
    <w:rsid w:val="002C0288"/>
    <w:rsid w:val="002C0290"/>
    <w:rsid w:val="002C0811"/>
    <w:rsid w:val="002C08D5"/>
    <w:rsid w:val="002C0935"/>
    <w:rsid w:val="002C0B2F"/>
    <w:rsid w:val="002C138F"/>
    <w:rsid w:val="002C13F8"/>
    <w:rsid w:val="002C154B"/>
    <w:rsid w:val="002C1657"/>
    <w:rsid w:val="002C1A63"/>
    <w:rsid w:val="002C1F80"/>
    <w:rsid w:val="002C2219"/>
    <w:rsid w:val="002C22E9"/>
    <w:rsid w:val="002C2476"/>
    <w:rsid w:val="002C2663"/>
    <w:rsid w:val="002C287B"/>
    <w:rsid w:val="002C2AA2"/>
    <w:rsid w:val="002C2CD3"/>
    <w:rsid w:val="002C2E45"/>
    <w:rsid w:val="002C3428"/>
    <w:rsid w:val="002C36DC"/>
    <w:rsid w:val="002C3857"/>
    <w:rsid w:val="002C3C73"/>
    <w:rsid w:val="002C3EC9"/>
    <w:rsid w:val="002C4530"/>
    <w:rsid w:val="002C47ED"/>
    <w:rsid w:val="002C4803"/>
    <w:rsid w:val="002C509C"/>
    <w:rsid w:val="002C543D"/>
    <w:rsid w:val="002C55A0"/>
    <w:rsid w:val="002C5944"/>
    <w:rsid w:val="002C5C70"/>
    <w:rsid w:val="002C5CAC"/>
    <w:rsid w:val="002C5E1B"/>
    <w:rsid w:val="002C6461"/>
    <w:rsid w:val="002C6C08"/>
    <w:rsid w:val="002C6C65"/>
    <w:rsid w:val="002C6E93"/>
    <w:rsid w:val="002C710F"/>
    <w:rsid w:val="002C73F0"/>
    <w:rsid w:val="002C7449"/>
    <w:rsid w:val="002C74DF"/>
    <w:rsid w:val="002C772B"/>
    <w:rsid w:val="002C7BA4"/>
    <w:rsid w:val="002C7CC7"/>
    <w:rsid w:val="002C7F8E"/>
    <w:rsid w:val="002C7FE3"/>
    <w:rsid w:val="002D058C"/>
    <w:rsid w:val="002D07CE"/>
    <w:rsid w:val="002D0AE8"/>
    <w:rsid w:val="002D0B40"/>
    <w:rsid w:val="002D0B58"/>
    <w:rsid w:val="002D0BEA"/>
    <w:rsid w:val="002D0C05"/>
    <w:rsid w:val="002D0C6E"/>
    <w:rsid w:val="002D0D2F"/>
    <w:rsid w:val="002D10DF"/>
    <w:rsid w:val="002D157C"/>
    <w:rsid w:val="002D1665"/>
    <w:rsid w:val="002D200D"/>
    <w:rsid w:val="002D237D"/>
    <w:rsid w:val="002D2819"/>
    <w:rsid w:val="002D2868"/>
    <w:rsid w:val="002D29E3"/>
    <w:rsid w:val="002D2FBE"/>
    <w:rsid w:val="002D31D8"/>
    <w:rsid w:val="002D3C5F"/>
    <w:rsid w:val="002D3E7A"/>
    <w:rsid w:val="002D40FA"/>
    <w:rsid w:val="002D47B4"/>
    <w:rsid w:val="002D5174"/>
    <w:rsid w:val="002D524F"/>
    <w:rsid w:val="002D5D6F"/>
    <w:rsid w:val="002D5DC8"/>
    <w:rsid w:val="002D5FBC"/>
    <w:rsid w:val="002D642E"/>
    <w:rsid w:val="002D6438"/>
    <w:rsid w:val="002D6748"/>
    <w:rsid w:val="002D68A2"/>
    <w:rsid w:val="002D7168"/>
    <w:rsid w:val="002D71A8"/>
    <w:rsid w:val="002D72A5"/>
    <w:rsid w:val="002D75CF"/>
    <w:rsid w:val="002D774F"/>
    <w:rsid w:val="002D7907"/>
    <w:rsid w:val="002D7E70"/>
    <w:rsid w:val="002E0062"/>
    <w:rsid w:val="002E0645"/>
    <w:rsid w:val="002E0F07"/>
    <w:rsid w:val="002E10E2"/>
    <w:rsid w:val="002E13F7"/>
    <w:rsid w:val="002E1402"/>
    <w:rsid w:val="002E1531"/>
    <w:rsid w:val="002E157F"/>
    <w:rsid w:val="002E19FF"/>
    <w:rsid w:val="002E1B3F"/>
    <w:rsid w:val="002E2021"/>
    <w:rsid w:val="002E2579"/>
    <w:rsid w:val="002E2AB9"/>
    <w:rsid w:val="002E2EA6"/>
    <w:rsid w:val="002E302F"/>
    <w:rsid w:val="002E315A"/>
    <w:rsid w:val="002E32DD"/>
    <w:rsid w:val="002E32E7"/>
    <w:rsid w:val="002E38A9"/>
    <w:rsid w:val="002E3A57"/>
    <w:rsid w:val="002E3DF4"/>
    <w:rsid w:val="002E4347"/>
    <w:rsid w:val="002E440F"/>
    <w:rsid w:val="002E4709"/>
    <w:rsid w:val="002E48B1"/>
    <w:rsid w:val="002E4949"/>
    <w:rsid w:val="002E49EE"/>
    <w:rsid w:val="002E4A47"/>
    <w:rsid w:val="002E4B85"/>
    <w:rsid w:val="002E5538"/>
    <w:rsid w:val="002E5590"/>
    <w:rsid w:val="002E5927"/>
    <w:rsid w:val="002E5964"/>
    <w:rsid w:val="002E5A0D"/>
    <w:rsid w:val="002E5A77"/>
    <w:rsid w:val="002E5D64"/>
    <w:rsid w:val="002E61EE"/>
    <w:rsid w:val="002E64B1"/>
    <w:rsid w:val="002E6A9B"/>
    <w:rsid w:val="002E710D"/>
    <w:rsid w:val="002E726D"/>
    <w:rsid w:val="002E7270"/>
    <w:rsid w:val="002E7520"/>
    <w:rsid w:val="002E752B"/>
    <w:rsid w:val="002E76EB"/>
    <w:rsid w:val="002E76F8"/>
    <w:rsid w:val="002E7EAB"/>
    <w:rsid w:val="002F0449"/>
    <w:rsid w:val="002F09E9"/>
    <w:rsid w:val="002F0A69"/>
    <w:rsid w:val="002F0B61"/>
    <w:rsid w:val="002F117C"/>
    <w:rsid w:val="002F12F7"/>
    <w:rsid w:val="002F140F"/>
    <w:rsid w:val="002F1DB8"/>
    <w:rsid w:val="002F1DD4"/>
    <w:rsid w:val="002F1E51"/>
    <w:rsid w:val="002F24A2"/>
    <w:rsid w:val="002F2519"/>
    <w:rsid w:val="002F27AF"/>
    <w:rsid w:val="002F39E5"/>
    <w:rsid w:val="002F3A0B"/>
    <w:rsid w:val="002F3AE8"/>
    <w:rsid w:val="002F3AF6"/>
    <w:rsid w:val="002F3DB6"/>
    <w:rsid w:val="002F3E9B"/>
    <w:rsid w:val="002F3F33"/>
    <w:rsid w:val="002F4203"/>
    <w:rsid w:val="002F42FF"/>
    <w:rsid w:val="002F48A9"/>
    <w:rsid w:val="002F4DA9"/>
    <w:rsid w:val="002F515C"/>
    <w:rsid w:val="002F5433"/>
    <w:rsid w:val="002F57E9"/>
    <w:rsid w:val="002F583B"/>
    <w:rsid w:val="002F5842"/>
    <w:rsid w:val="002F58FD"/>
    <w:rsid w:val="002F5AA0"/>
    <w:rsid w:val="002F6055"/>
    <w:rsid w:val="002F617A"/>
    <w:rsid w:val="002F61F7"/>
    <w:rsid w:val="002F6598"/>
    <w:rsid w:val="002F6625"/>
    <w:rsid w:val="002F6899"/>
    <w:rsid w:val="002F703B"/>
    <w:rsid w:val="002F7142"/>
    <w:rsid w:val="002F7329"/>
    <w:rsid w:val="002F7338"/>
    <w:rsid w:val="002F75A5"/>
    <w:rsid w:val="002F75BE"/>
    <w:rsid w:val="002F76B1"/>
    <w:rsid w:val="002F7B5F"/>
    <w:rsid w:val="002F7C72"/>
    <w:rsid w:val="003002FA"/>
    <w:rsid w:val="00300344"/>
    <w:rsid w:val="00300749"/>
    <w:rsid w:val="00300803"/>
    <w:rsid w:val="0030087F"/>
    <w:rsid w:val="003008C0"/>
    <w:rsid w:val="00300C1F"/>
    <w:rsid w:val="00300E8A"/>
    <w:rsid w:val="00300EE2"/>
    <w:rsid w:val="00300F82"/>
    <w:rsid w:val="00301362"/>
    <w:rsid w:val="003016B4"/>
    <w:rsid w:val="00301A43"/>
    <w:rsid w:val="00301DCC"/>
    <w:rsid w:val="00302011"/>
    <w:rsid w:val="00302A8F"/>
    <w:rsid w:val="00302AD6"/>
    <w:rsid w:val="003031E8"/>
    <w:rsid w:val="003034BB"/>
    <w:rsid w:val="00303533"/>
    <w:rsid w:val="00303939"/>
    <w:rsid w:val="00303C26"/>
    <w:rsid w:val="0030400D"/>
    <w:rsid w:val="00304088"/>
    <w:rsid w:val="003041A3"/>
    <w:rsid w:val="00304426"/>
    <w:rsid w:val="0030442B"/>
    <w:rsid w:val="0030498F"/>
    <w:rsid w:val="003050F9"/>
    <w:rsid w:val="0030522B"/>
    <w:rsid w:val="003053CD"/>
    <w:rsid w:val="003055BA"/>
    <w:rsid w:val="0030588D"/>
    <w:rsid w:val="00305B64"/>
    <w:rsid w:val="00305CD9"/>
    <w:rsid w:val="0030606D"/>
    <w:rsid w:val="0030608B"/>
    <w:rsid w:val="00306103"/>
    <w:rsid w:val="00306279"/>
    <w:rsid w:val="00306CF0"/>
    <w:rsid w:val="00306D67"/>
    <w:rsid w:val="00306F31"/>
    <w:rsid w:val="003070AA"/>
    <w:rsid w:val="003070EA"/>
    <w:rsid w:val="003074CD"/>
    <w:rsid w:val="0030777C"/>
    <w:rsid w:val="003079C3"/>
    <w:rsid w:val="00307BB2"/>
    <w:rsid w:val="00307BBD"/>
    <w:rsid w:val="003105CE"/>
    <w:rsid w:val="00310781"/>
    <w:rsid w:val="0031083D"/>
    <w:rsid w:val="003109C1"/>
    <w:rsid w:val="003110E1"/>
    <w:rsid w:val="0031114F"/>
    <w:rsid w:val="0031133B"/>
    <w:rsid w:val="003114D6"/>
    <w:rsid w:val="003115F3"/>
    <w:rsid w:val="00311792"/>
    <w:rsid w:val="00311BC2"/>
    <w:rsid w:val="00311C25"/>
    <w:rsid w:val="00311C2F"/>
    <w:rsid w:val="0031210B"/>
    <w:rsid w:val="00312623"/>
    <w:rsid w:val="003134F3"/>
    <w:rsid w:val="00313615"/>
    <w:rsid w:val="0031371B"/>
    <w:rsid w:val="003137F6"/>
    <w:rsid w:val="0031387F"/>
    <w:rsid w:val="0031393F"/>
    <w:rsid w:val="00313A2B"/>
    <w:rsid w:val="00313A3B"/>
    <w:rsid w:val="00313C4E"/>
    <w:rsid w:val="00313C73"/>
    <w:rsid w:val="003142BE"/>
    <w:rsid w:val="003143F8"/>
    <w:rsid w:val="00315040"/>
    <w:rsid w:val="0031551B"/>
    <w:rsid w:val="00315773"/>
    <w:rsid w:val="00315AC4"/>
    <w:rsid w:val="00315C34"/>
    <w:rsid w:val="00315F40"/>
    <w:rsid w:val="0031615A"/>
    <w:rsid w:val="00316771"/>
    <w:rsid w:val="003167C1"/>
    <w:rsid w:val="003170DE"/>
    <w:rsid w:val="00317365"/>
    <w:rsid w:val="003174CC"/>
    <w:rsid w:val="003175F2"/>
    <w:rsid w:val="00317800"/>
    <w:rsid w:val="00317D52"/>
    <w:rsid w:val="0032002C"/>
    <w:rsid w:val="003201EA"/>
    <w:rsid w:val="0032039A"/>
    <w:rsid w:val="0032043D"/>
    <w:rsid w:val="0032060F"/>
    <w:rsid w:val="00320976"/>
    <w:rsid w:val="00320C96"/>
    <w:rsid w:val="00320D56"/>
    <w:rsid w:val="00320D7D"/>
    <w:rsid w:val="00320E15"/>
    <w:rsid w:val="00320E89"/>
    <w:rsid w:val="00321128"/>
    <w:rsid w:val="0032131D"/>
    <w:rsid w:val="0032157F"/>
    <w:rsid w:val="003215E1"/>
    <w:rsid w:val="00321B52"/>
    <w:rsid w:val="00321E05"/>
    <w:rsid w:val="00321F77"/>
    <w:rsid w:val="00321FBF"/>
    <w:rsid w:val="00322292"/>
    <w:rsid w:val="00322748"/>
    <w:rsid w:val="0032294A"/>
    <w:rsid w:val="00323005"/>
    <w:rsid w:val="00323127"/>
    <w:rsid w:val="003231EA"/>
    <w:rsid w:val="00323276"/>
    <w:rsid w:val="003238D7"/>
    <w:rsid w:val="003239AD"/>
    <w:rsid w:val="00323C69"/>
    <w:rsid w:val="00323CF6"/>
    <w:rsid w:val="00323ECB"/>
    <w:rsid w:val="00323FB5"/>
    <w:rsid w:val="003242FB"/>
    <w:rsid w:val="0032451C"/>
    <w:rsid w:val="00324583"/>
    <w:rsid w:val="00324632"/>
    <w:rsid w:val="00324C09"/>
    <w:rsid w:val="003255A7"/>
    <w:rsid w:val="0032566C"/>
    <w:rsid w:val="003256A6"/>
    <w:rsid w:val="00326048"/>
    <w:rsid w:val="00326072"/>
    <w:rsid w:val="0032618A"/>
    <w:rsid w:val="00326583"/>
    <w:rsid w:val="00326742"/>
    <w:rsid w:val="0032675A"/>
    <w:rsid w:val="00327671"/>
    <w:rsid w:val="003276A2"/>
    <w:rsid w:val="0032784C"/>
    <w:rsid w:val="003278B7"/>
    <w:rsid w:val="00327A16"/>
    <w:rsid w:val="003301B6"/>
    <w:rsid w:val="0033058E"/>
    <w:rsid w:val="00330CB9"/>
    <w:rsid w:val="00330D3C"/>
    <w:rsid w:val="00331327"/>
    <w:rsid w:val="0033166A"/>
    <w:rsid w:val="00331C6E"/>
    <w:rsid w:val="00331DF4"/>
    <w:rsid w:val="003323C9"/>
    <w:rsid w:val="003325C2"/>
    <w:rsid w:val="003326FB"/>
    <w:rsid w:val="003329A5"/>
    <w:rsid w:val="00332DAF"/>
    <w:rsid w:val="00332F1A"/>
    <w:rsid w:val="00332FAB"/>
    <w:rsid w:val="003330D3"/>
    <w:rsid w:val="003332BF"/>
    <w:rsid w:val="003336F1"/>
    <w:rsid w:val="00333A76"/>
    <w:rsid w:val="00333AB0"/>
    <w:rsid w:val="00333E83"/>
    <w:rsid w:val="00333FA5"/>
    <w:rsid w:val="003346AB"/>
    <w:rsid w:val="003347A4"/>
    <w:rsid w:val="00334982"/>
    <w:rsid w:val="003349D4"/>
    <w:rsid w:val="00334A1D"/>
    <w:rsid w:val="00334C5D"/>
    <w:rsid w:val="00334CC6"/>
    <w:rsid w:val="003351D5"/>
    <w:rsid w:val="00335467"/>
    <w:rsid w:val="00335886"/>
    <w:rsid w:val="00335EFE"/>
    <w:rsid w:val="003360C6"/>
    <w:rsid w:val="003365B8"/>
    <w:rsid w:val="003368E6"/>
    <w:rsid w:val="00336CA3"/>
    <w:rsid w:val="00336D4A"/>
    <w:rsid w:val="003374F6"/>
    <w:rsid w:val="0033762B"/>
    <w:rsid w:val="0033769B"/>
    <w:rsid w:val="00337A19"/>
    <w:rsid w:val="00337B98"/>
    <w:rsid w:val="003402E9"/>
    <w:rsid w:val="00340393"/>
    <w:rsid w:val="003408B5"/>
    <w:rsid w:val="003410C6"/>
    <w:rsid w:val="00341735"/>
    <w:rsid w:val="00341C22"/>
    <w:rsid w:val="00341E03"/>
    <w:rsid w:val="00342C4A"/>
    <w:rsid w:val="00343138"/>
    <w:rsid w:val="0034314E"/>
    <w:rsid w:val="0034318F"/>
    <w:rsid w:val="003432D6"/>
    <w:rsid w:val="0034399A"/>
    <w:rsid w:val="00343A33"/>
    <w:rsid w:val="00343ADA"/>
    <w:rsid w:val="00343BF5"/>
    <w:rsid w:val="00343E5A"/>
    <w:rsid w:val="00344C6E"/>
    <w:rsid w:val="00345158"/>
    <w:rsid w:val="00345373"/>
    <w:rsid w:val="003454BA"/>
    <w:rsid w:val="00345596"/>
    <w:rsid w:val="0034579D"/>
    <w:rsid w:val="003457BB"/>
    <w:rsid w:val="0034580A"/>
    <w:rsid w:val="00345A03"/>
    <w:rsid w:val="00345BC3"/>
    <w:rsid w:val="003460C0"/>
    <w:rsid w:val="0034622F"/>
    <w:rsid w:val="003466D4"/>
    <w:rsid w:val="00347632"/>
    <w:rsid w:val="003478FC"/>
    <w:rsid w:val="00347A4C"/>
    <w:rsid w:val="00347D69"/>
    <w:rsid w:val="00347E76"/>
    <w:rsid w:val="00347EEA"/>
    <w:rsid w:val="00347F76"/>
    <w:rsid w:val="00350489"/>
    <w:rsid w:val="0035054B"/>
    <w:rsid w:val="0035056D"/>
    <w:rsid w:val="003505B4"/>
    <w:rsid w:val="00350727"/>
    <w:rsid w:val="00350A11"/>
    <w:rsid w:val="00350A71"/>
    <w:rsid w:val="00351297"/>
    <w:rsid w:val="0035158D"/>
    <w:rsid w:val="0035168B"/>
    <w:rsid w:val="00351C07"/>
    <w:rsid w:val="00351DFF"/>
    <w:rsid w:val="00351F8E"/>
    <w:rsid w:val="0035223D"/>
    <w:rsid w:val="00352908"/>
    <w:rsid w:val="00352F25"/>
    <w:rsid w:val="00352FF3"/>
    <w:rsid w:val="00353221"/>
    <w:rsid w:val="0035335B"/>
    <w:rsid w:val="00353387"/>
    <w:rsid w:val="00353644"/>
    <w:rsid w:val="003540B6"/>
    <w:rsid w:val="003540F1"/>
    <w:rsid w:val="00354299"/>
    <w:rsid w:val="00354B81"/>
    <w:rsid w:val="00354D27"/>
    <w:rsid w:val="00354FA6"/>
    <w:rsid w:val="00355509"/>
    <w:rsid w:val="0035551D"/>
    <w:rsid w:val="00355711"/>
    <w:rsid w:val="00355919"/>
    <w:rsid w:val="00355B16"/>
    <w:rsid w:val="00355CF0"/>
    <w:rsid w:val="00355E6D"/>
    <w:rsid w:val="00356D79"/>
    <w:rsid w:val="00356F28"/>
    <w:rsid w:val="003570B5"/>
    <w:rsid w:val="0035715C"/>
    <w:rsid w:val="003571AF"/>
    <w:rsid w:val="0035742A"/>
    <w:rsid w:val="003576C2"/>
    <w:rsid w:val="00357903"/>
    <w:rsid w:val="00357B3A"/>
    <w:rsid w:val="00357DDE"/>
    <w:rsid w:val="00357F8B"/>
    <w:rsid w:val="00357FB9"/>
    <w:rsid w:val="003600AC"/>
    <w:rsid w:val="003605CE"/>
    <w:rsid w:val="0036072D"/>
    <w:rsid w:val="00360C40"/>
    <w:rsid w:val="003611C5"/>
    <w:rsid w:val="00361359"/>
    <w:rsid w:val="00361714"/>
    <w:rsid w:val="00361A20"/>
    <w:rsid w:val="00361BCD"/>
    <w:rsid w:val="00361EDA"/>
    <w:rsid w:val="00362140"/>
    <w:rsid w:val="00362358"/>
    <w:rsid w:val="00362622"/>
    <w:rsid w:val="003627C5"/>
    <w:rsid w:val="00362C70"/>
    <w:rsid w:val="00362D94"/>
    <w:rsid w:val="00362DC0"/>
    <w:rsid w:val="00362F5A"/>
    <w:rsid w:val="00363165"/>
    <w:rsid w:val="0036347B"/>
    <w:rsid w:val="00363A0E"/>
    <w:rsid w:val="00363EFC"/>
    <w:rsid w:val="0036429D"/>
    <w:rsid w:val="003648C4"/>
    <w:rsid w:val="00364E12"/>
    <w:rsid w:val="00365243"/>
    <w:rsid w:val="003654DC"/>
    <w:rsid w:val="00365CF5"/>
    <w:rsid w:val="003662A8"/>
    <w:rsid w:val="003663B3"/>
    <w:rsid w:val="0036671B"/>
    <w:rsid w:val="00366790"/>
    <w:rsid w:val="003669B9"/>
    <w:rsid w:val="00367087"/>
    <w:rsid w:val="0036777F"/>
    <w:rsid w:val="0036781F"/>
    <w:rsid w:val="0036797D"/>
    <w:rsid w:val="00367B4A"/>
    <w:rsid w:val="00367CA6"/>
    <w:rsid w:val="00367D66"/>
    <w:rsid w:val="00370411"/>
    <w:rsid w:val="00370D6B"/>
    <w:rsid w:val="00370DD2"/>
    <w:rsid w:val="003712DF"/>
    <w:rsid w:val="00371AF9"/>
    <w:rsid w:val="00371C3E"/>
    <w:rsid w:val="00372132"/>
    <w:rsid w:val="003722AE"/>
    <w:rsid w:val="003725ED"/>
    <w:rsid w:val="003730C6"/>
    <w:rsid w:val="0037439C"/>
    <w:rsid w:val="00374690"/>
    <w:rsid w:val="003747C6"/>
    <w:rsid w:val="00374B2B"/>
    <w:rsid w:val="003751D1"/>
    <w:rsid w:val="0037520A"/>
    <w:rsid w:val="00375459"/>
    <w:rsid w:val="00375B91"/>
    <w:rsid w:val="00375F76"/>
    <w:rsid w:val="003764BB"/>
    <w:rsid w:val="00376D95"/>
    <w:rsid w:val="00376FB2"/>
    <w:rsid w:val="00376FBE"/>
    <w:rsid w:val="003770CA"/>
    <w:rsid w:val="003776B3"/>
    <w:rsid w:val="003777C3"/>
    <w:rsid w:val="00377868"/>
    <w:rsid w:val="00377EF3"/>
    <w:rsid w:val="003803A8"/>
    <w:rsid w:val="003809CA"/>
    <w:rsid w:val="00380A22"/>
    <w:rsid w:val="00380A7A"/>
    <w:rsid w:val="00380CC7"/>
    <w:rsid w:val="003812A7"/>
    <w:rsid w:val="00381353"/>
    <w:rsid w:val="003814E1"/>
    <w:rsid w:val="003820D5"/>
    <w:rsid w:val="00382457"/>
    <w:rsid w:val="00382EF2"/>
    <w:rsid w:val="0038308A"/>
    <w:rsid w:val="003830CD"/>
    <w:rsid w:val="00383101"/>
    <w:rsid w:val="0038320A"/>
    <w:rsid w:val="003835D3"/>
    <w:rsid w:val="0038383D"/>
    <w:rsid w:val="003839C6"/>
    <w:rsid w:val="00383FAE"/>
    <w:rsid w:val="0038406D"/>
    <w:rsid w:val="00384275"/>
    <w:rsid w:val="00384B65"/>
    <w:rsid w:val="00384D69"/>
    <w:rsid w:val="00385059"/>
    <w:rsid w:val="003850F3"/>
    <w:rsid w:val="003856C5"/>
    <w:rsid w:val="00385766"/>
    <w:rsid w:val="00385BE5"/>
    <w:rsid w:val="00385E33"/>
    <w:rsid w:val="0038605D"/>
    <w:rsid w:val="00386654"/>
    <w:rsid w:val="0038697C"/>
    <w:rsid w:val="00386A25"/>
    <w:rsid w:val="00386ABF"/>
    <w:rsid w:val="00386E80"/>
    <w:rsid w:val="0038724E"/>
    <w:rsid w:val="0038728E"/>
    <w:rsid w:val="003875E5"/>
    <w:rsid w:val="003876EF"/>
    <w:rsid w:val="003877C4"/>
    <w:rsid w:val="00387BC0"/>
    <w:rsid w:val="00387BC5"/>
    <w:rsid w:val="00387DA8"/>
    <w:rsid w:val="00390006"/>
    <w:rsid w:val="00390014"/>
    <w:rsid w:val="00390062"/>
    <w:rsid w:val="0039034F"/>
    <w:rsid w:val="0039052F"/>
    <w:rsid w:val="003908BE"/>
    <w:rsid w:val="003908D7"/>
    <w:rsid w:val="00390DFA"/>
    <w:rsid w:val="00390EEA"/>
    <w:rsid w:val="003910AA"/>
    <w:rsid w:val="003911C3"/>
    <w:rsid w:val="00391332"/>
    <w:rsid w:val="00391500"/>
    <w:rsid w:val="0039196D"/>
    <w:rsid w:val="00391A9F"/>
    <w:rsid w:val="00392075"/>
    <w:rsid w:val="00392479"/>
    <w:rsid w:val="0039256D"/>
    <w:rsid w:val="00392794"/>
    <w:rsid w:val="00392B91"/>
    <w:rsid w:val="00392C14"/>
    <w:rsid w:val="00392C61"/>
    <w:rsid w:val="0039314A"/>
    <w:rsid w:val="003931D0"/>
    <w:rsid w:val="0039360F"/>
    <w:rsid w:val="003936A0"/>
    <w:rsid w:val="003938FE"/>
    <w:rsid w:val="00395351"/>
    <w:rsid w:val="00395483"/>
    <w:rsid w:val="0039585A"/>
    <w:rsid w:val="003958BE"/>
    <w:rsid w:val="00395943"/>
    <w:rsid w:val="00395F04"/>
    <w:rsid w:val="00396234"/>
    <w:rsid w:val="00396246"/>
    <w:rsid w:val="00396439"/>
    <w:rsid w:val="00396644"/>
    <w:rsid w:val="0039670D"/>
    <w:rsid w:val="003967EE"/>
    <w:rsid w:val="00396B2E"/>
    <w:rsid w:val="00396FF7"/>
    <w:rsid w:val="00397484"/>
    <w:rsid w:val="00397517"/>
    <w:rsid w:val="00397843"/>
    <w:rsid w:val="00397DDB"/>
    <w:rsid w:val="00397E0A"/>
    <w:rsid w:val="00397EF2"/>
    <w:rsid w:val="00397F6E"/>
    <w:rsid w:val="00397F8A"/>
    <w:rsid w:val="00397FAD"/>
    <w:rsid w:val="003A016D"/>
    <w:rsid w:val="003A02A3"/>
    <w:rsid w:val="003A04E1"/>
    <w:rsid w:val="003A06FC"/>
    <w:rsid w:val="003A075D"/>
    <w:rsid w:val="003A09AF"/>
    <w:rsid w:val="003A1250"/>
    <w:rsid w:val="003A17E0"/>
    <w:rsid w:val="003A1E52"/>
    <w:rsid w:val="003A1EAA"/>
    <w:rsid w:val="003A1FCB"/>
    <w:rsid w:val="003A2320"/>
    <w:rsid w:val="003A25F7"/>
    <w:rsid w:val="003A269A"/>
    <w:rsid w:val="003A2742"/>
    <w:rsid w:val="003A27FB"/>
    <w:rsid w:val="003A2875"/>
    <w:rsid w:val="003A29FD"/>
    <w:rsid w:val="003A2B80"/>
    <w:rsid w:val="003A2CBB"/>
    <w:rsid w:val="003A2D97"/>
    <w:rsid w:val="003A2EE3"/>
    <w:rsid w:val="003A2FAD"/>
    <w:rsid w:val="003A35DE"/>
    <w:rsid w:val="003A36E3"/>
    <w:rsid w:val="003A3754"/>
    <w:rsid w:val="003A3DE6"/>
    <w:rsid w:val="003A425A"/>
    <w:rsid w:val="003A44CF"/>
    <w:rsid w:val="003A4792"/>
    <w:rsid w:val="003A48F9"/>
    <w:rsid w:val="003A546B"/>
    <w:rsid w:val="003A5B21"/>
    <w:rsid w:val="003A5F4F"/>
    <w:rsid w:val="003A5FC8"/>
    <w:rsid w:val="003A61AD"/>
    <w:rsid w:val="003A64B1"/>
    <w:rsid w:val="003A689F"/>
    <w:rsid w:val="003A6921"/>
    <w:rsid w:val="003A6D8D"/>
    <w:rsid w:val="003A6EE5"/>
    <w:rsid w:val="003A6FBB"/>
    <w:rsid w:val="003A6FBE"/>
    <w:rsid w:val="003A71F6"/>
    <w:rsid w:val="003A7216"/>
    <w:rsid w:val="003A7416"/>
    <w:rsid w:val="003A7573"/>
    <w:rsid w:val="003A765D"/>
    <w:rsid w:val="003B006C"/>
    <w:rsid w:val="003B022D"/>
    <w:rsid w:val="003B0344"/>
    <w:rsid w:val="003B08F4"/>
    <w:rsid w:val="003B0A3F"/>
    <w:rsid w:val="003B0D44"/>
    <w:rsid w:val="003B1338"/>
    <w:rsid w:val="003B1474"/>
    <w:rsid w:val="003B1638"/>
    <w:rsid w:val="003B1686"/>
    <w:rsid w:val="003B1A05"/>
    <w:rsid w:val="003B1CA8"/>
    <w:rsid w:val="003B1D32"/>
    <w:rsid w:val="003B208B"/>
    <w:rsid w:val="003B21CF"/>
    <w:rsid w:val="003B2418"/>
    <w:rsid w:val="003B24C4"/>
    <w:rsid w:val="003B255C"/>
    <w:rsid w:val="003B266A"/>
    <w:rsid w:val="003B27AC"/>
    <w:rsid w:val="003B3079"/>
    <w:rsid w:val="003B341D"/>
    <w:rsid w:val="003B3618"/>
    <w:rsid w:val="003B389A"/>
    <w:rsid w:val="003B3B78"/>
    <w:rsid w:val="003B3ED1"/>
    <w:rsid w:val="003B4BA2"/>
    <w:rsid w:val="003B56D8"/>
    <w:rsid w:val="003B58C9"/>
    <w:rsid w:val="003B5915"/>
    <w:rsid w:val="003B5E36"/>
    <w:rsid w:val="003B6321"/>
    <w:rsid w:val="003B6624"/>
    <w:rsid w:val="003B7301"/>
    <w:rsid w:val="003B7B32"/>
    <w:rsid w:val="003C0278"/>
    <w:rsid w:val="003C0351"/>
    <w:rsid w:val="003C0D9E"/>
    <w:rsid w:val="003C0DF0"/>
    <w:rsid w:val="003C0E7E"/>
    <w:rsid w:val="003C12D7"/>
    <w:rsid w:val="003C12FE"/>
    <w:rsid w:val="003C13A0"/>
    <w:rsid w:val="003C1A58"/>
    <w:rsid w:val="003C1DFC"/>
    <w:rsid w:val="003C21D5"/>
    <w:rsid w:val="003C24BC"/>
    <w:rsid w:val="003C25D5"/>
    <w:rsid w:val="003C2867"/>
    <w:rsid w:val="003C2930"/>
    <w:rsid w:val="003C2AC6"/>
    <w:rsid w:val="003C2E5F"/>
    <w:rsid w:val="003C2EBE"/>
    <w:rsid w:val="003C379A"/>
    <w:rsid w:val="003C38AE"/>
    <w:rsid w:val="003C38D3"/>
    <w:rsid w:val="003C3B51"/>
    <w:rsid w:val="003C43FE"/>
    <w:rsid w:val="003C4BC0"/>
    <w:rsid w:val="003C4BF6"/>
    <w:rsid w:val="003C4CEA"/>
    <w:rsid w:val="003C4FD8"/>
    <w:rsid w:val="003C50F0"/>
    <w:rsid w:val="003C5748"/>
    <w:rsid w:val="003C57EF"/>
    <w:rsid w:val="003C5AD6"/>
    <w:rsid w:val="003C5B9D"/>
    <w:rsid w:val="003C5C29"/>
    <w:rsid w:val="003C5CD3"/>
    <w:rsid w:val="003C6256"/>
    <w:rsid w:val="003C6592"/>
    <w:rsid w:val="003C699E"/>
    <w:rsid w:val="003C6B9A"/>
    <w:rsid w:val="003C6DB6"/>
    <w:rsid w:val="003C6DEE"/>
    <w:rsid w:val="003C6E4A"/>
    <w:rsid w:val="003C7378"/>
    <w:rsid w:val="003C7A61"/>
    <w:rsid w:val="003C7B92"/>
    <w:rsid w:val="003C7C64"/>
    <w:rsid w:val="003C7FA8"/>
    <w:rsid w:val="003D074F"/>
    <w:rsid w:val="003D0F09"/>
    <w:rsid w:val="003D121E"/>
    <w:rsid w:val="003D127A"/>
    <w:rsid w:val="003D1526"/>
    <w:rsid w:val="003D16CE"/>
    <w:rsid w:val="003D1E65"/>
    <w:rsid w:val="003D2577"/>
    <w:rsid w:val="003D2ACD"/>
    <w:rsid w:val="003D2F0C"/>
    <w:rsid w:val="003D3522"/>
    <w:rsid w:val="003D369B"/>
    <w:rsid w:val="003D379E"/>
    <w:rsid w:val="003D3D0A"/>
    <w:rsid w:val="003D3D8F"/>
    <w:rsid w:val="003D4072"/>
    <w:rsid w:val="003D4173"/>
    <w:rsid w:val="003D4A43"/>
    <w:rsid w:val="003D4AC6"/>
    <w:rsid w:val="003D4D1D"/>
    <w:rsid w:val="003D50B5"/>
    <w:rsid w:val="003D5335"/>
    <w:rsid w:val="003D54D1"/>
    <w:rsid w:val="003D54FB"/>
    <w:rsid w:val="003D6327"/>
    <w:rsid w:val="003D66C7"/>
    <w:rsid w:val="003D6E13"/>
    <w:rsid w:val="003D6FF5"/>
    <w:rsid w:val="003D73E3"/>
    <w:rsid w:val="003D776C"/>
    <w:rsid w:val="003D7A4B"/>
    <w:rsid w:val="003D7F15"/>
    <w:rsid w:val="003E0289"/>
    <w:rsid w:val="003E039D"/>
    <w:rsid w:val="003E0582"/>
    <w:rsid w:val="003E06D9"/>
    <w:rsid w:val="003E08D1"/>
    <w:rsid w:val="003E0FF1"/>
    <w:rsid w:val="003E1057"/>
    <w:rsid w:val="003E16B2"/>
    <w:rsid w:val="003E1881"/>
    <w:rsid w:val="003E1A4A"/>
    <w:rsid w:val="003E1C8E"/>
    <w:rsid w:val="003E2140"/>
    <w:rsid w:val="003E252C"/>
    <w:rsid w:val="003E2DE2"/>
    <w:rsid w:val="003E2EF7"/>
    <w:rsid w:val="003E32C8"/>
    <w:rsid w:val="003E32F8"/>
    <w:rsid w:val="003E339E"/>
    <w:rsid w:val="003E341D"/>
    <w:rsid w:val="003E4554"/>
    <w:rsid w:val="003E4CDE"/>
    <w:rsid w:val="003E4F52"/>
    <w:rsid w:val="003E4F87"/>
    <w:rsid w:val="003E50E4"/>
    <w:rsid w:val="003E51C4"/>
    <w:rsid w:val="003E547E"/>
    <w:rsid w:val="003E5B13"/>
    <w:rsid w:val="003E5EF3"/>
    <w:rsid w:val="003E5FE0"/>
    <w:rsid w:val="003E64C9"/>
    <w:rsid w:val="003E6F0C"/>
    <w:rsid w:val="003E7565"/>
    <w:rsid w:val="003E781A"/>
    <w:rsid w:val="003E7BA6"/>
    <w:rsid w:val="003E7C49"/>
    <w:rsid w:val="003F0150"/>
    <w:rsid w:val="003F09A0"/>
    <w:rsid w:val="003F09BA"/>
    <w:rsid w:val="003F0F0B"/>
    <w:rsid w:val="003F1719"/>
    <w:rsid w:val="003F1B0A"/>
    <w:rsid w:val="003F1C90"/>
    <w:rsid w:val="003F1E42"/>
    <w:rsid w:val="003F270A"/>
    <w:rsid w:val="003F2B24"/>
    <w:rsid w:val="003F2D35"/>
    <w:rsid w:val="003F2DF6"/>
    <w:rsid w:val="003F2E21"/>
    <w:rsid w:val="003F2E6F"/>
    <w:rsid w:val="003F2FA4"/>
    <w:rsid w:val="003F306E"/>
    <w:rsid w:val="003F32B8"/>
    <w:rsid w:val="003F336E"/>
    <w:rsid w:val="003F39D1"/>
    <w:rsid w:val="003F3C9B"/>
    <w:rsid w:val="003F3CA0"/>
    <w:rsid w:val="003F3EC3"/>
    <w:rsid w:val="003F4132"/>
    <w:rsid w:val="003F42BD"/>
    <w:rsid w:val="003F47BE"/>
    <w:rsid w:val="003F49BD"/>
    <w:rsid w:val="003F4C72"/>
    <w:rsid w:val="003F4E28"/>
    <w:rsid w:val="003F4E54"/>
    <w:rsid w:val="003F4E67"/>
    <w:rsid w:val="003F4F70"/>
    <w:rsid w:val="003F507E"/>
    <w:rsid w:val="003F51C4"/>
    <w:rsid w:val="003F55BB"/>
    <w:rsid w:val="003F5FB7"/>
    <w:rsid w:val="003F5FE3"/>
    <w:rsid w:val="003F6B07"/>
    <w:rsid w:val="003F7B15"/>
    <w:rsid w:val="003F7EB1"/>
    <w:rsid w:val="003F7F64"/>
    <w:rsid w:val="0040005C"/>
    <w:rsid w:val="00400367"/>
    <w:rsid w:val="004006E5"/>
    <w:rsid w:val="00400858"/>
    <w:rsid w:val="00400D33"/>
    <w:rsid w:val="0040177E"/>
    <w:rsid w:val="0040178C"/>
    <w:rsid w:val="00401F15"/>
    <w:rsid w:val="004023C2"/>
    <w:rsid w:val="00402499"/>
    <w:rsid w:val="00402866"/>
    <w:rsid w:val="00402A5E"/>
    <w:rsid w:val="00402A64"/>
    <w:rsid w:val="00402DC7"/>
    <w:rsid w:val="00402E81"/>
    <w:rsid w:val="00402F54"/>
    <w:rsid w:val="004033D0"/>
    <w:rsid w:val="00403473"/>
    <w:rsid w:val="0040384B"/>
    <w:rsid w:val="00403EE2"/>
    <w:rsid w:val="00403FAA"/>
    <w:rsid w:val="004040F6"/>
    <w:rsid w:val="0040433B"/>
    <w:rsid w:val="0040441E"/>
    <w:rsid w:val="00404C5F"/>
    <w:rsid w:val="00404E5A"/>
    <w:rsid w:val="00404FD2"/>
    <w:rsid w:val="00405201"/>
    <w:rsid w:val="00405A75"/>
    <w:rsid w:val="00405A7A"/>
    <w:rsid w:val="00405CBE"/>
    <w:rsid w:val="00405E5E"/>
    <w:rsid w:val="00405EBE"/>
    <w:rsid w:val="00406410"/>
    <w:rsid w:val="00406546"/>
    <w:rsid w:val="0040694B"/>
    <w:rsid w:val="00407263"/>
    <w:rsid w:val="00407347"/>
    <w:rsid w:val="004074F7"/>
    <w:rsid w:val="004076A6"/>
    <w:rsid w:val="00407CE9"/>
    <w:rsid w:val="00407EE8"/>
    <w:rsid w:val="00410247"/>
    <w:rsid w:val="004103AC"/>
    <w:rsid w:val="00410DF1"/>
    <w:rsid w:val="00410E85"/>
    <w:rsid w:val="0041164A"/>
    <w:rsid w:val="004118FC"/>
    <w:rsid w:val="00411A8C"/>
    <w:rsid w:val="00411BA9"/>
    <w:rsid w:val="00411FA7"/>
    <w:rsid w:val="0041218E"/>
    <w:rsid w:val="00412284"/>
    <w:rsid w:val="00412574"/>
    <w:rsid w:val="00412948"/>
    <w:rsid w:val="004129BD"/>
    <w:rsid w:val="00412F06"/>
    <w:rsid w:val="004130A2"/>
    <w:rsid w:val="00413121"/>
    <w:rsid w:val="00413810"/>
    <w:rsid w:val="00414650"/>
    <w:rsid w:val="004146B6"/>
    <w:rsid w:val="004146B7"/>
    <w:rsid w:val="00414851"/>
    <w:rsid w:val="00415117"/>
    <w:rsid w:val="004151EE"/>
    <w:rsid w:val="00415252"/>
    <w:rsid w:val="004152F9"/>
    <w:rsid w:val="004160ED"/>
    <w:rsid w:val="004160EF"/>
    <w:rsid w:val="00416ACB"/>
    <w:rsid w:val="00416BB0"/>
    <w:rsid w:val="00416D90"/>
    <w:rsid w:val="00417007"/>
    <w:rsid w:val="00417099"/>
    <w:rsid w:val="00417B3A"/>
    <w:rsid w:val="00417C07"/>
    <w:rsid w:val="00420576"/>
    <w:rsid w:val="00420666"/>
    <w:rsid w:val="00420E17"/>
    <w:rsid w:val="004210E0"/>
    <w:rsid w:val="00421256"/>
    <w:rsid w:val="004212A5"/>
    <w:rsid w:val="004212D8"/>
    <w:rsid w:val="004215E9"/>
    <w:rsid w:val="0042178F"/>
    <w:rsid w:val="0042184C"/>
    <w:rsid w:val="00421BBD"/>
    <w:rsid w:val="00421D13"/>
    <w:rsid w:val="00421F21"/>
    <w:rsid w:val="004223C9"/>
    <w:rsid w:val="00422B29"/>
    <w:rsid w:val="00423ADE"/>
    <w:rsid w:val="00423D0B"/>
    <w:rsid w:val="00424008"/>
    <w:rsid w:val="0042431F"/>
    <w:rsid w:val="0042438D"/>
    <w:rsid w:val="00424CAB"/>
    <w:rsid w:val="00425178"/>
    <w:rsid w:val="0042566C"/>
    <w:rsid w:val="00425881"/>
    <w:rsid w:val="004259CB"/>
    <w:rsid w:val="00425C2B"/>
    <w:rsid w:val="00425D62"/>
    <w:rsid w:val="00425F2A"/>
    <w:rsid w:val="004262C9"/>
    <w:rsid w:val="0042633E"/>
    <w:rsid w:val="0042636E"/>
    <w:rsid w:val="00426CBA"/>
    <w:rsid w:val="00426CCF"/>
    <w:rsid w:val="004277DE"/>
    <w:rsid w:val="00427928"/>
    <w:rsid w:val="00427A1A"/>
    <w:rsid w:val="00427BAD"/>
    <w:rsid w:val="00427EC2"/>
    <w:rsid w:val="00427FC8"/>
    <w:rsid w:val="00430960"/>
    <w:rsid w:val="0043136C"/>
    <w:rsid w:val="004315D3"/>
    <w:rsid w:val="004315E0"/>
    <w:rsid w:val="0043171E"/>
    <w:rsid w:val="00431DAA"/>
    <w:rsid w:val="00431E0A"/>
    <w:rsid w:val="00432023"/>
    <w:rsid w:val="0043234B"/>
    <w:rsid w:val="00432BD6"/>
    <w:rsid w:val="00432D9C"/>
    <w:rsid w:val="0043308C"/>
    <w:rsid w:val="00433107"/>
    <w:rsid w:val="00433163"/>
    <w:rsid w:val="0043326A"/>
    <w:rsid w:val="00433413"/>
    <w:rsid w:val="00433728"/>
    <w:rsid w:val="004337E7"/>
    <w:rsid w:val="00433827"/>
    <w:rsid w:val="00433C20"/>
    <w:rsid w:val="00433DE0"/>
    <w:rsid w:val="00433F1B"/>
    <w:rsid w:val="00434040"/>
    <w:rsid w:val="0043434A"/>
    <w:rsid w:val="004343E1"/>
    <w:rsid w:val="00434435"/>
    <w:rsid w:val="00434570"/>
    <w:rsid w:val="0043520E"/>
    <w:rsid w:val="004353FE"/>
    <w:rsid w:val="00435A71"/>
    <w:rsid w:val="00435DB5"/>
    <w:rsid w:val="00436075"/>
    <w:rsid w:val="0043620E"/>
    <w:rsid w:val="00436212"/>
    <w:rsid w:val="00436268"/>
    <w:rsid w:val="00436D33"/>
    <w:rsid w:val="00436E74"/>
    <w:rsid w:val="004375C7"/>
    <w:rsid w:val="00437C3E"/>
    <w:rsid w:val="00437D76"/>
    <w:rsid w:val="00440366"/>
    <w:rsid w:val="004405DD"/>
    <w:rsid w:val="004407AA"/>
    <w:rsid w:val="004409C7"/>
    <w:rsid w:val="00440BBA"/>
    <w:rsid w:val="00440CAA"/>
    <w:rsid w:val="00440E77"/>
    <w:rsid w:val="00440F59"/>
    <w:rsid w:val="00440FDD"/>
    <w:rsid w:val="004410A7"/>
    <w:rsid w:val="004412C6"/>
    <w:rsid w:val="004412CD"/>
    <w:rsid w:val="00441519"/>
    <w:rsid w:val="00441772"/>
    <w:rsid w:val="00441AD0"/>
    <w:rsid w:val="00441B0D"/>
    <w:rsid w:val="00441B1E"/>
    <w:rsid w:val="004426AE"/>
    <w:rsid w:val="004427B4"/>
    <w:rsid w:val="00442E51"/>
    <w:rsid w:val="00443116"/>
    <w:rsid w:val="00443287"/>
    <w:rsid w:val="00443363"/>
    <w:rsid w:val="004433C2"/>
    <w:rsid w:val="0044391F"/>
    <w:rsid w:val="00443C0D"/>
    <w:rsid w:val="00443D38"/>
    <w:rsid w:val="0044438B"/>
    <w:rsid w:val="0044456E"/>
    <w:rsid w:val="0044476F"/>
    <w:rsid w:val="00444CA3"/>
    <w:rsid w:val="00444F43"/>
    <w:rsid w:val="0044549F"/>
    <w:rsid w:val="004459CF"/>
    <w:rsid w:val="00445E83"/>
    <w:rsid w:val="0044609B"/>
    <w:rsid w:val="0044635F"/>
    <w:rsid w:val="0044676B"/>
    <w:rsid w:val="004476BD"/>
    <w:rsid w:val="004479B7"/>
    <w:rsid w:val="00447AAB"/>
    <w:rsid w:val="00447CFA"/>
    <w:rsid w:val="00450005"/>
    <w:rsid w:val="00450161"/>
    <w:rsid w:val="004509E5"/>
    <w:rsid w:val="00450FE7"/>
    <w:rsid w:val="00451693"/>
    <w:rsid w:val="00451C6B"/>
    <w:rsid w:val="004521E7"/>
    <w:rsid w:val="0045270B"/>
    <w:rsid w:val="004527D0"/>
    <w:rsid w:val="00452BB8"/>
    <w:rsid w:val="00452BEF"/>
    <w:rsid w:val="0045302D"/>
    <w:rsid w:val="004530C8"/>
    <w:rsid w:val="004530DA"/>
    <w:rsid w:val="0045328A"/>
    <w:rsid w:val="00453376"/>
    <w:rsid w:val="00453800"/>
    <w:rsid w:val="00453AC2"/>
    <w:rsid w:val="00453E4B"/>
    <w:rsid w:val="00453E6E"/>
    <w:rsid w:val="00453EA2"/>
    <w:rsid w:val="00454633"/>
    <w:rsid w:val="00454966"/>
    <w:rsid w:val="00454AB2"/>
    <w:rsid w:val="00454D39"/>
    <w:rsid w:val="00454FCC"/>
    <w:rsid w:val="00455363"/>
    <w:rsid w:val="00455CF4"/>
    <w:rsid w:val="004560BC"/>
    <w:rsid w:val="00456245"/>
    <w:rsid w:val="0045638F"/>
    <w:rsid w:val="00456642"/>
    <w:rsid w:val="004566A3"/>
    <w:rsid w:val="00456AF4"/>
    <w:rsid w:val="00456C65"/>
    <w:rsid w:val="00457301"/>
    <w:rsid w:val="00457680"/>
    <w:rsid w:val="00457FAD"/>
    <w:rsid w:val="004580E1"/>
    <w:rsid w:val="0045FE04"/>
    <w:rsid w:val="004600FA"/>
    <w:rsid w:val="004608EB"/>
    <w:rsid w:val="0046095B"/>
    <w:rsid w:val="00461475"/>
    <w:rsid w:val="00461532"/>
    <w:rsid w:val="00461878"/>
    <w:rsid w:val="004619FA"/>
    <w:rsid w:val="00461F4F"/>
    <w:rsid w:val="00461F5B"/>
    <w:rsid w:val="00462063"/>
    <w:rsid w:val="004623BF"/>
    <w:rsid w:val="004626C8"/>
    <w:rsid w:val="004626F2"/>
    <w:rsid w:val="00462764"/>
    <w:rsid w:val="00462875"/>
    <w:rsid w:val="0046297D"/>
    <w:rsid w:val="00462C7A"/>
    <w:rsid w:val="00462DCA"/>
    <w:rsid w:val="0046309D"/>
    <w:rsid w:val="00463147"/>
    <w:rsid w:val="00463687"/>
    <w:rsid w:val="0046376A"/>
    <w:rsid w:val="004638E4"/>
    <w:rsid w:val="004639E5"/>
    <w:rsid w:val="00463A71"/>
    <w:rsid w:val="00463BAE"/>
    <w:rsid w:val="00463E3A"/>
    <w:rsid w:val="00463F0E"/>
    <w:rsid w:val="00464025"/>
    <w:rsid w:val="00464146"/>
    <w:rsid w:val="00464412"/>
    <w:rsid w:val="004647CA"/>
    <w:rsid w:val="00464876"/>
    <w:rsid w:val="00464A31"/>
    <w:rsid w:val="00464EBE"/>
    <w:rsid w:val="0046530E"/>
    <w:rsid w:val="0046568B"/>
    <w:rsid w:val="00465E18"/>
    <w:rsid w:val="00465F59"/>
    <w:rsid w:val="004661F5"/>
    <w:rsid w:val="0046685A"/>
    <w:rsid w:val="00466B88"/>
    <w:rsid w:val="00466C65"/>
    <w:rsid w:val="004670C1"/>
    <w:rsid w:val="00467185"/>
    <w:rsid w:val="004674C9"/>
    <w:rsid w:val="004684CF"/>
    <w:rsid w:val="0046C66C"/>
    <w:rsid w:val="004702FE"/>
    <w:rsid w:val="004704CF"/>
    <w:rsid w:val="00470694"/>
    <w:rsid w:val="0047089C"/>
    <w:rsid w:val="00470909"/>
    <w:rsid w:val="00470A30"/>
    <w:rsid w:val="00470DD4"/>
    <w:rsid w:val="00470DEB"/>
    <w:rsid w:val="00470F39"/>
    <w:rsid w:val="00471470"/>
    <w:rsid w:val="00471608"/>
    <w:rsid w:val="00471774"/>
    <w:rsid w:val="0047204A"/>
    <w:rsid w:val="0047269E"/>
    <w:rsid w:val="0047296B"/>
    <w:rsid w:val="00472ACF"/>
    <w:rsid w:val="00473114"/>
    <w:rsid w:val="004731CE"/>
    <w:rsid w:val="004735EE"/>
    <w:rsid w:val="004737ED"/>
    <w:rsid w:val="004738CF"/>
    <w:rsid w:val="004741C5"/>
    <w:rsid w:val="0047487F"/>
    <w:rsid w:val="00474C31"/>
    <w:rsid w:val="00475181"/>
    <w:rsid w:val="004752A7"/>
    <w:rsid w:val="00475337"/>
    <w:rsid w:val="00475B24"/>
    <w:rsid w:val="00475B52"/>
    <w:rsid w:val="00475BDB"/>
    <w:rsid w:val="00476056"/>
    <w:rsid w:val="00476122"/>
    <w:rsid w:val="004761F6"/>
    <w:rsid w:val="0047631B"/>
    <w:rsid w:val="004764F8"/>
    <w:rsid w:val="00476736"/>
    <w:rsid w:val="0047677C"/>
    <w:rsid w:val="004768AA"/>
    <w:rsid w:val="00476ED7"/>
    <w:rsid w:val="004771F2"/>
    <w:rsid w:val="0047735D"/>
    <w:rsid w:val="004773F4"/>
    <w:rsid w:val="004779AB"/>
    <w:rsid w:val="00477CA3"/>
    <w:rsid w:val="00477DC8"/>
    <w:rsid w:val="00477FAF"/>
    <w:rsid w:val="00480990"/>
    <w:rsid w:val="004809AC"/>
    <w:rsid w:val="00480D1E"/>
    <w:rsid w:val="00480DA2"/>
    <w:rsid w:val="00480E12"/>
    <w:rsid w:val="00480E48"/>
    <w:rsid w:val="00480FBF"/>
    <w:rsid w:val="00480FCF"/>
    <w:rsid w:val="00481DFA"/>
    <w:rsid w:val="00481F87"/>
    <w:rsid w:val="0048202D"/>
    <w:rsid w:val="0048206A"/>
    <w:rsid w:val="004822D4"/>
    <w:rsid w:val="00482A8C"/>
    <w:rsid w:val="00482B75"/>
    <w:rsid w:val="00482DF6"/>
    <w:rsid w:val="00483186"/>
    <w:rsid w:val="004840F1"/>
    <w:rsid w:val="00484122"/>
    <w:rsid w:val="004845A9"/>
    <w:rsid w:val="00484958"/>
    <w:rsid w:val="00484AA5"/>
    <w:rsid w:val="00484B0F"/>
    <w:rsid w:val="00484C77"/>
    <w:rsid w:val="00484E89"/>
    <w:rsid w:val="00484EF7"/>
    <w:rsid w:val="00485212"/>
    <w:rsid w:val="004854B0"/>
    <w:rsid w:val="0048573F"/>
    <w:rsid w:val="00485A8F"/>
    <w:rsid w:val="00486605"/>
    <w:rsid w:val="004867E4"/>
    <w:rsid w:val="00486845"/>
    <w:rsid w:val="00486DA4"/>
    <w:rsid w:val="00486F48"/>
    <w:rsid w:val="004872B3"/>
    <w:rsid w:val="0048760A"/>
    <w:rsid w:val="004876C3"/>
    <w:rsid w:val="004876ED"/>
    <w:rsid w:val="00487AE5"/>
    <w:rsid w:val="00487C10"/>
    <w:rsid w:val="00487E00"/>
    <w:rsid w:val="004900E9"/>
    <w:rsid w:val="00490145"/>
    <w:rsid w:val="004902BF"/>
    <w:rsid w:val="00490408"/>
    <w:rsid w:val="004914D8"/>
    <w:rsid w:val="00491546"/>
    <w:rsid w:val="0049184F"/>
    <w:rsid w:val="00491A79"/>
    <w:rsid w:val="00492305"/>
    <w:rsid w:val="00492447"/>
    <w:rsid w:val="00492D66"/>
    <w:rsid w:val="00492FE3"/>
    <w:rsid w:val="00493A58"/>
    <w:rsid w:val="00493A64"/>
    <w:rsid w:val="00493C00"/>
    <w:rsid w:val="00493C80"/>
    <w:rsid w:val="00493FBA"/>
    <w:rsid w:val="00494023"/>
    <w:rsid w:val="004941DF"/>
    <w:rsid w:val="00494201"/>
    <w:rsid w:val="00494382"/>
    <w:rsid w:val="004943B0"/>
    <w:rsid w:val="004944C9"/>
    <w:rsid w:val="00494597"/>
    <w:rsid w:val="004945C5"/>
    <w:rsid w:val="0049465F"/>
    <w:rsid w:val="00494D3B"/>
    <w:rsid w:val="00494E29"/>
    <w:rsid w:val="0049514A"/>
    <w:rsid w:val="00495534"/>
    <w:rsid w:val="004955A5"/>
    <w:rsid w:val="0049574D"/>
    <w:rsid w:val="00495DCF"/>
    <w:rsid w:val="00495E09"/>
    <w:rsid w:val="00495F08"/>
    <w:rsid w:val="00495FB8"/>
    <w:rsid w:val="00496723"/>
    <w:rsid w:val="00496831"/>
    <w:rsid w:val="00496AAD"/>
    <w:rsid w:val="00496C6C"/>
    <w:rsid w:val="00496D14"/>
    <w:rsid w:val="00496FD0"/>
    <w:rsid w:val="00497033"/>
    <w:rsid w:val="00497C5D"/>
    <w:rsid w:val="00497E40"/>
    <w:rsid w:val="004A053F"/>
    <w:rsid w:val="004A07A5"/>
    <w:rsid w:val="004A087D"/>
    <w:rsid w:val="004A0CAD"/>
    <w:rsid w:val="004A11F0"/>
    <w:rsid w:val="004A1410"/>
    <w:rsid w:val="004A149A"/>
    <w:rsid w:val="004A1835"/>
    <w:rsid w:val="004A1892"/>
    <w:rsid w:val="004A1ADB"/>
    <w:rsid w:val="004A1ADC"/>
    <w:rsid w:val="004A1BDC"/>
    <w:rsid w:val="004A1D92"/>
    <w:rsid w:val="004A2236"/>
    <w:rsid w:val="004A253C"/>
    <w:rsid w:val="004A2BF7"/>
    <w:rsid w:val="004A2C87"/>
    <w:rsid w:val="004A323E"/>
    <w:rsid w:val="004A3894"/>
    <w:rsid w:val="004A3A36"/>
    <w:rsid w:val="004A3D3C"/>
    <w:rsid w:val="004A3F75"/>
    <w:rsid w:val="004A41AA"/>
    <w:rsid w:val="004A448D"/>
    <w:rsid w:val="004A44E8"/>
    <w:rsid w:val="004A45C6"/>
    <w:rsid w:val="004A48D6"/>
    <w:rsid w:val="004A4D9C"/>
    <w:rsid w:val="004A4E5F"/>
    <w:rsid w:val="004A51D0"/>
    <w:rsid w:val="004A54DA"/>
    <w:rsid w:val="004A59FE"/>
    <w:rsid w:val="004A5E36"/>
    <w:rsid w:val="004A6141"/>
    <w:rsid w:val="004A61EF"/>
    <w:rsid w:val="004A6602"/>
    <w:rsid w:val="004A6F14"/>
    <w:rsid w:val="004A6F7C"/>
    <w:rsid w:val="004A724C"/>
    <w:rsid w:val="004A744B"/>
    <w:rsid w:val="004A75C8"/>
    <w:rsid w:val="004A7AE7"/>
    <w:rsid w:val="004A7BFB"/>
    <w:rsid w:val="004A7F25"/>
    <w:rsid w:val="004B00AE"/>
    <w:rsid w:val="004B00CC"/>
    <w:rsid w:val="004B01AF"/>
    <w:rsid w:val="004B04E1"/>
    <w:rsid w:val="004B06AA"/>
    <w:rsid w:val="004B0C73"/>
    <w:rsid w:val="004B0D04"/>
    <w:rsid w:val="004B0DEA"/>
    <w:rsid w:val="004B1274"/>
    <w:rsid w:val="004B13E8"/>
    <w:rsid w:val="004B162E"/>
    <w:rsid w:val="004B1894"/>
    <w:rsid w:val="004B28C9"/>
    <w:rsid w:val="004B28DD"/>
    <w:rsid w:val="004B2DAE"/>
    <w:rsid w:val="004B2DEE"/>
    <w:rsid w:val="004B302E"/>
    <w:rsid w:val="004B34DA"/>
    <w:rsid w:val="004B35D7"/>
    <w:rsid w:val="004B35F3"/>
    <w:rsid w:val="004B36E7"/>
    <w:rsid w:val="004B36FC"/>
    <w:rsid w:val="004B380D"/>
    <w:rsid w:val="004B3835"/>
    <w:rsid w:val="004B38CA"/>
    <w:rsid w:val="004B3E13"/>
    <w:rsid w:val="004B3EFB"/>
    <w:rsid w:val="004B401E"/>
    <w:rsid w:val="004B40B0"/>
    <w:rsid w:val="004B4384"/>
    <w:rsid w:val="004B48C8"/>
    <w:rsid w:val="004B4CA6"/>
    <w:rsid w:val="004B4DA6"/>
    <w:rsid w:val="004B501B"/>
    <w:rsid w:val="004B5090"/>
    <w:rsid w:val="004B53BE"/>
    <w:rsid w:val="004B547E"/>
    <w:rsid w:val="004B5874"/>
    <w:rsid w:val="004B5894"/>
    <w:rsid w:val="004B59F1"/>
    <w:rsid w:val="004B5D36"/>
    <w:rsid w:val="004B6220"/>
    <w:rsid w:val="004B631D"/>
    <w:rsid w:val="004B681C"/>
    <w:rsid w:val="004B6C6C"/>
    <w:rsid w:val="004B712C"/>
    <w:rsid w:val="004B7444"/>
    <w:rsid w:val="004B7835"/>
    <w:rsid w:val="004B78F7"/>
    <w:rsid w:val="004B795B"/>
    <w:rsid w:val="004B795C"/>
    <w:rsid w:val="004B7A70"/>
    <w:rsid w:val="004B7CFB"/>
    <w:rsid w:val="004B7D9A"/>
    <w:rsid w:val="004B7DCE"/>
    <w:rsid w:val="004B7F60"/>
    <w:rsid w:val="004C019E"/>
    <w:rsid w:val="004C09D5"/>
    <w:rsid w:val="004C0B40"/>
    <w:rsid w:val="004C0F9A"/>
    <w:rsid w:val="004C118D"/>
    <w:rsid w:val="004C1560"/>
    <w:rsid w:val="004C173A"/>
    <w:rsid w:val="004C1C88"/>
    <w:rsid w:val="004C27AC"/>
    <w:rsid w:val="004C2D23"/>
    <w:rsid w:val="004C328F"/>
    <w:rsid w:val="004C361B"/>
    <w:rsid w:val="004C37BB"/>
    <w:rsid w:val="004C4030"/>
    <w:rsid w:val="004C4604"/>
    <w:rsid w:val="004C4800"/>
    <w:rsid w:val="004C4D85"/>
    <w:rsid w:val="004C4FB6"/>
    <w:rsid w:val="004C5362"/>
    <w:rsid w:val="004C54F7"/>
    <w:rsid w:val="004C57ED"/>
    <w:rsid w:val="004C57FE"/>
    <w:rsid w:val="004C59F0"/>
    <w:rsid w:val="004C5BA8"/>
    <w:rsid w:val="004C5F5D"/>
    <w:rsid w:val="004C6189"/>
    <w:rsid w:val="004C62EC"/>
    <w:rsid w:val="004C708A"/>
    <w:rsid w:val="004C71A9"/>
    <w:rsid w:val="004C792E"/>
    <w:rsid w:val="004C7BE1"/>
    <w:rsid w:val="004C7EA6"/>
    <w:rsid w:val="004D023B"/>
    <w:rsid w:val="004D0475"/>
    <w:rsid w:val="004D0A06"/>
    <w:rsid w:val="004D0DEF"/>
    <w:rsid w:val="004D1330"/>
    <w:rsid w:val="004D1553"/>
    <w:rsid w:val="004D1768"/>
    <w:rsid w:val="004D1A2E"/>
    <w:rsid w:val="004D1B41"/>
    <w:rsid w:val="004D1C2E"/>
    <w:rsid w:val="004D1C56"/>
    <w:rsid w:val="004D2027"/>
    <w:rsid w:val="004D2156"/>
    <w:rsid w:val="004D2411"/>
    <w:rsid w:val="004D2E4E"/>
    <w:rsid w:val="004D37C8"/>
    <w:rsid w:val="004D3B96"/>
    <w:rsid w:val="004D3FE2"/>
    <w:rsid w:val="004D41E6"/>
    <w:rsid w:val="004D44A8"/>
    <w:rsid w:val="004D4552"/>
    <w:rsid w:val="004D4834"/>
    <w:rsid w:val="004D526A"/>
    <w:rsid w:val="004D57C9"/>
    <w:rsid w:val="004D5F62"/>
    <w:rsid w:val="004D6075"/>
    <w:rsid w:val="004D63AD"/>
    <w:rsid w:val="004D656E"/>
    <w:rsid w:val="004D667C"/>
    <w:rsid w:val="004D6CFB"/>
    <w:rsid w:val="004D6ECD"/>
    <w:rsid w:val="004D7235"/>
    <w:rsid w:val="004D7401"/>
    <w:rsid w:val="004D7841"/>
    <w:rsid w:val="004D7A23"/>
    <w:rsid w:val="004D7C7E"/>
    <w:rsid w:val="004D7D55"/>
    <w:rsid w:val="004E00AB"/>
    <w:rsid w:val="004E0225"/>
    <w:rsid w:val="004E03E5"/>
    <w:rsid w:val="004E0408"/>
    <w:rsid w:val="004E04B4"/>
    <w:rsid w:val="004E0AD5"/>
    <w:rsid w:val="004E1834"/>
    <w:rsid w:val="004E198E"/>
    <w:rsid w:val="004E1BCC"/>
    <w:rsid w:val="004E201E"/>
    <w:rsid w:val="004E21D8"/>
    <w:rsid w:val="004E2220"/>
    <w:rsid w:val="004E28F2"/>
    <w:rsid w:val="004E2D16"/>
    <w:rsid w:val="004E36E6"/>
    <w:rsid w:val="004E3A0E"/>
    <w:rsid w:val="004E4358"/>
    <w:rsid w:val="004E4477"/>
    <w:rsid w:val="004E4681"/>
    <w:rsid w:val="004E476E"/>
    <w:rsid w:val="004E47CD"/>
    <w:rsid w:val="004E4853"/>
    <w:rsid w:val="004E4944"/>
    <w:rsid w:val="004E5022"/>
    <w:rsid w:val="004E5062"/>
    <w:rsid w:val="004E520C"/>
    <w:rsid w:val="004E5211"/>
    <w:rsid w:val="004E5484"/>
    <w:rsid w:val="004E54C2"/>
    <w:rsid w:val="004E5B5D"/>
    <w:rsid w:val="004E5C35"/>
    <w:rsid w:val="004E5CEE"/>
    <w:rsid w:val="004E5FA9"/>
    <w:rsid w:val="004E6123"/>
    <w:rsid w:val="004E631C"/>
    <w:rsid w:val="004E662E"/>
    <w:rsid w:val="004E6663"/>
    <w:rsid w:val="004E666C"/>
    <w:rsid w:val="004E66A6"/>
    <w:rsid w:val="004E7452"/>
    <w:rsid w:val="004E78D5"/>
    <w:rsid w:val="004E7A23"/>
    <w:rsid w:val="004E7ADE"/>
    <w:rsid w:val="004F0368"/>
    <w:rsid w:val="004F0479"/>
    <w:rsid w:val="004F07B5"/>
    <w:rsid w:val="004F0A11"/>
    <w:rsid w:val="004F0B4F"/>
    <w:rsid w:val="004F12ED"/>
    <w:rsid w:val="004F1600"/>
    <w:rsid w:val="004F17D7"/>
    <w:rsid w:val="004F193D"/>
    <w:rsid w:val="004F1B3F"/>
    <w:rsid w:val="004F233D"/>
    <w:rsid w:val="004F241A"/>
    <w:rsid w:val="004F2495"/>
    <w:rsid w:val="004F2532"/>
    <w:rsid w:val="004F2A21"/>
    <w:rsid w:val="004F2F3A"/>
    <w:rsid w:val="004F3232"/>
    <w:rsid w:val="004F3318"/>
    <w:rsid w:val="004F3595"/>
    <w:rsid w:val="004F36AF"/>
    <w:rsid w:val="004F3868"/>
    <w:rsid w:val="004F3A96"/>
    <w:rsid w:val="004F3E49"/>
    <w:rsid w:val="004F3E60"/>
    <w:rsid w:val="004F456D"/>
    <w:rsid w:val="004F4A0D"/>
    <w:rsid w:val="004F4B40"/>
    <w:rsid w:val="004F4F3F"/>
    <w:rsid w:val="004F4F70"/>
    <w:rsid w:val="004F52F9"/>
    <w:rsid w:val="004F54A8"/>
    <w:rsid w:val="004F5AC5"/>
    <w:rsid w:val="004F61F8"/>
    <w:rsid w:val="004F6C8A"/>
    <w:rsid w:val="004F6D04"/>
    <w:rsid w:val="004F6D21"/>
    <w:rsid w:val="004F6D96"/>
    <w:rsid w:val="004F6FE4"/>
    <w:rsid w:val="004F7635"/>
    <w:rsid w:val="004F7911"/>
    <w:rsid w:val="004F7BD4"/>
    <w:rsid w:val="00500095"/>
    <w:rsid w:val="00500317"/>
    <w:rsid w:val="0050040D"/>
    <w:rsid w:val="00500707"/>
    <w:rsid w:val="005009AC"/>
    <w:rsid w:val="00500A92"/>
    <w:rsid w:val="00501262"/>
    <w:rsid w:val="00501699"/>
    <w:rsid w:val="00501C42"/>
    <w:rsid w:val="0050273D"/>
    <w:rsid w:val="00502860"/>
    <w:rsid w:val="00502D6E"/>
    <w:rsid w:val="00502E01"/>
    <w:rsid w:val="0050317E"/>
    <w:rsid w:val="00503AA4"/>
    <w:rsid w:val="00503C12"/>
    <w:rsid w:val="00503D15"/>
    <w:rsid w:val="0050422E"/>
    <w:rsid w:val="005043A5"/>
    <w:rsid w:val="005044FD"/>
    <w:rsid w:val="00504593"/>
    <w:rsid w:val="00504E10"/>
    <w:rsid w:val="00504EB1"/>
    <w:rsid w:val="00505323"/>
    <w:rsid w:val="005053E6"/>
    <w:rsid w:val="00505661"/>
    <w:rsid w:val="00505F6A"/>
    <w:rsid w:val="005069EA"/>
    <w:rsid w:val="00506C70"/>
    <w:rsid w:val="0050717D"/>
    <w:rsid w:val="00507758"/>
    <w:rsid w:val="00507894"/>
    <w:rsid w:val="00507A38"/>
    <w:rsid w:val="00507C0E"/>
    <w:rsid w:val="00507D5F"/>
    <w:rsid w:val="00510119"/>
    <w:rsid w:val="0051073E"/>
    <w:rsid w:val="005107E1"/>
    <w:rsid w:val="00510957"/>
    <w:rsid w:val="00510C79"/>
    <w:rsid w:val="005111A5"/>
    <w:rsid w:val="0051163D"/>
    <w:rsid w:val="005120EA"/>
    <w:rsid w:val="00512381"/>
    <w:rsid w:val="00512695"/>
    <w:rsid w:val="005127B5"/>
    <w:rsid w:val="005136B6"/>
    <w:rsid w:val="00513878"/>
    <w:rsid w:val="005139C8"/>
    <w:rsid w:val="00513BFF"/>
    <w:rsid w:val="005141F4"/>
    <w:rsid w:val="005147A8"/>
    <w:rsid w:val="00514B6C"/>
    <w:rsid w:val="00514C07"/>
    <w:rsid w:val="00515769"/>
    <w:rsid w:val="005159FA"/>
    <w:rsid w:val="00516399"/>
    <w:rsid w:val="005164D5"/>
    <w:rsid w:val="005164E6"/>
    <w:rsid w:val="005166EE"/>
    <w:rsid w:val="0051684C"/>
    <w:rsid w:val="0051696A"/>
    <w:rsid w:val="00516AB1"/>
    <w:rsid w:val="00516C1C"/>
    <w:rsid w:val="00516CC5"/>
    <w:rsid w:val="005176B9"/>
    <w:rsid w:val="00517A7E"/>
    <w:rsid w:val="005200BE"/>
    <w:rsid w:val="005200E7"/>
    <w:rsid w:val="00520228"/>
    <w:rsid w:val="005202C6"/>
    <w:rsid w:val="005206CF"/>
    <w:rsid w:val="005209B5"/>
    <w:rsid w:val="00520F67"/>
    <w:rsid w:val="0052156E"/>
    <w:rsid w:val="0052157F"/>
    <w:rsid w:val="00521749"/>
    <w:rsid w:val="00521803"/>
    <w:rsid w:val="005218E8"/>
    <w:rsid w:val="0052193E"/>
    <w:rsid w:val="00521ECC"/>
    <w:rsid w:val="005222D4"/>
    <w:rsid w:val="00522363"/>
    <w:rsid w:val="005223A6"/>
    <w:rsid w:val="005225C4"/>
    <w:rsid w:val="00522651"/>
    <w:rsid w:val="005229E5"/>
    <w:rsid w:val="00522E39"/>
    <w:rsid w:val="00522F4B"/>
    <w:rsid w:val="00524171"/>
    <w:rsid w:val="0052498F"/>
    <w:rsid w:val="00524B5B"/>
    <w:rsid w:val="00524C20"/>
    <w:rsid w:val="00525121"/>
    <w:rsid w:val="00525125"/>
    <w:rsid w:val="00525566"/>
    <w:rsid w:val="00525D6E"/>
    <w:rsid w:val="0052607E"/>
    <w:rsid w:val="005261DF"/>
    <w:rsid w:val="00526402"/>
    <w:rsid w:val="005265CB"/>
    <w:rsid w:val="00526621"/>
    <w:rsid w:val="005267BC"/>
    <w:rsid w:val="00526827"/>
    <w:rsid w:val="00526877"/>
    <w:rsid w:val="00526AC8"/>
    <w:rsid w:val="00526C44"/>
    <w:rsid w:val="00526D2B"/>
    <w:rsid w:val="00526F6F"/>
    <w:rsid w:val="005270EE"/>
    <w:rsid w:val="0052725C"/>
    <w:rsid w:val="005273E9"/>
    <w:rsid w:val="00527E97"/>
    <w:rsid w:val="00530B2D"/>
    <w:rsid w:val="00530C47"/>
    <w:rsid w:val="0053108B"/>
    <w:rsid w:val="00531665"/>
    <w:rsid w:val="0053190B"/>
    <w:rsid w:val="00531918"/>
    <w:rsid w:val="00531963"/>
    <w:rsid w:val="00531AB7"/>
    <w:rsid w:val="00532DCF"/>
    <w:rsid w:val="005330D7"/>
    <w:rsid w:val="0053365C"/>
    <w:rsid w:val="00533939"/>
    <w:rsid w:val="00533A4E"/>
    <w:rsid w:val="00534241"/>
    <w:rsid w:val="005342DC"/>
    <w:rsid w:val="0053464E"/>
    <w:rsid w:val="00534833"/>
    <w:rsid w:val="00534B26"/>
    <w:rsid w:val="00535008"/>
    <w:rsid w:val="00535A6F"/>
    <w:rsid w:val="005361E2"/>
    <w:rsid w:val="0053658C"/>
    <w:rsid w:val="00536611"/>
    <w:rsid w:val="00536755"/>
    <w:rsid w:val="0053698E"/>
    <w:rsid w:val="00536EC7"/>
    <w:rsid w:val="0053720D"/>
    <w:rsid w:val="00537746"/>
    <w:rsid w:val="00537855"/>
    <w:rsid w:val="00537D0E"/>
    <w:rsid w:val="00540044"/>
    <w:rsid w:val="00540100"/>
    <w:rsid w:val="005401B0"/>
    <w:rsid w:val="005401EA"/>
    <w:rsid w:val="00540B13"/>
    <w:rsid w:val="00540C65"/>
    <w:rsid w:val="00540D8F"/>
    <w:rsid w:val="00540F2D"/>
    <w:rsid w:val="005411C9"/>
    <w:rsid w:val="00541592"/>
    <w:rsid w:val="00541624"/>
    <w:rsid w:val="005416A9"/>
    <w:rsid w:val="00541897"/>
    <w:rsid w:val="00541ECB"/>
    <w:rsid w:val="0054232B"/>
    <w:rsid w:val="0054274A"/>
    <w:rsid w:val="005429D6"/>
    <w:rsid w:val="005435DE"/>
    <w:rsid w:val="005437FA"/>
    <w:rsid w:val="0054385E"/>
    <w:rsid w:val="00543B94"/>
    <w:rsid w:val="0054401E"/>
    <w:rsid w:val="00544104"/>
    <w:rsid w:val="005445C5"/>
    <w:rsid w:val="00544AD5"/>
    <w:rsid w:val="00544B00"/>
    <w:rsid w:val="00544CAA"/>
    <w:rsid w:val="00544CEB"/>
    <w:rsid w:val="00544F24"/>
    <w:rsid w:val="00545035"/>
    <w:rsid w:val="00545192"/>
    <w:rsid w:val="005451EA"/>
    <w:rsid w:val="0054555A"/>
    <w:rsid w:val="005455C6"/>
    <w:rsid w:val="005455F6"/>
    <w:rsid w:val="0054566A"/>
    <w:rsid w:val="00545A57"/>
    <w:rsid w:val="005467AB"/>
    <w:rsid w:val="00546A37"/>
    <w:rsid w:val="00546D74"/>
    <w:rsid w:val="00546F0E"/>
    <w:rsid w:val="00546F92"/>
    <w:rsid w:val="005475C6"/>
    <w:rsid w:val="005475CC"/>
    <w:rsid w:val="0054790B"/>
    <w:rsid w:val="00547E1E"/>
    <w:rsid w:val="00550194"/>
    <w:rsid w:val="005502E5"/>
    <w:rsid w:val="00550CF3"/>
    <w:rsid w:val="00550D34"/>
    <w:rsid w:val="00550FCD"/>
    <w:rsid w:val="0055104A"/>
    <w:rsid w:val="00551884"/>
    <w:rsid w:val="00551972"/>
    <w:rsid w:val="00551A9F"/>
    <w:rsid w:val="00551B79"/>
    <w:rsid w:val="00551C36"/>
    <w:rsid w:val="00551D4C"/>
    <w:rsid w:val="00551F7D"/>
    <w:rsid w:val="005520CE"/>
    <w:rsid w:val="005528D1"/>
    <w:rsid w:val="00552EAC"/>
    <w:rsid w:val="005530F4"/>
    <w:rsid w:val="0055337D"/>
    <w:rsid w:val="0055365D"/>
    <w:rsid w:val="005539A1"/>
    <w:rsid w:val="00553F51"/>
    <w:rsid w:val="0055421A"/>
    <w:rsid w:val="0055473A"/>
    <w:rsid w:val="005547BF"/>
    <w:rsid w:val="005548C8"/>
    <w:rsid w:val="00554A08"/>
    <w:rsid w:val="00554B10"/>
    <w:rsid w:val="00554E67"/>
    <w:rsid w:val="00554ED2"/>
    <w:rsid w:val="00555210"/>
    <w:rsid w:val="00555220"/>
    <w:rsid w:val="00555286"/>
    <w:rsid w:val="00555782"/>
    <w:rsid w:val="005559DA"/>
    <w:rsid w:val="00555C47"/>
    <w:rsid w:val="00555E11"/>
    <w:rsid w:val="005562A0"/>
    <w:rsid w:val="00556377"/>
    <w:rsid w:val="005563CC"/>
    <w:rsid w:val="005565F8"/>
    <w:rsid w:val="00556883"/>
    <w:rsid w:val="00556A35"/>
    <w:rsid w:val="00556AB8"/>
    <w:rsid w:val="00556C1C"/>
    <w:rsid w:val="00556F38"/>
    <w:rsid w:val="00557191"/>
    <w:rsid w:val="0055747D"/>
    <w:rsid w:val="005575F5"/>
    <w:rsid w:val="005577B7"/>
    <w:rsid w:val="00557B08"/>
    <w:rsid w:val="00557E0F"/>
    <w:rsid w:val="00557E94"/>
    <w:rsid w:val="00557F0C"/>
    <w:rsid w:val="00557F34"/>
    <w:rsid w:val="005600AF"/>
    <w:rsid w:val="0056039C"/>
    <w:rsid w:val="00560452"/>
    <w:rsid w:val="00560479"/>
    <w:rsid w:val="00560773"/>
    <w:rsid w:val="00560869"/>
    <w:rsid w:val="00560889"/>
    <w:rsid w:val="00560BA1"/>
    <w:rsid w:val="005611FE"/>
    <w:rsid w:val="00561765"/>
    <w:rsid w:val="005617F4"/>
    <w:rsid w:val="00561C02"/>
    <w:rsid w:val="00561C42"/>
    <w:rsid w:val="00561EB0"/>
    <w:rsid w:val="00562532"/>
    <w:rsid w:val="0056274E"/>
    <w:rsid w:val="00562928"/>
    <w:rsid w:val="00562A89"/>
    <w:rsid w:val="00562A98"/>
    <w:rsid w:val="00562BA6"/>
    <w:rsid w:val="00562DDF"/>
    <w:rsid w:val="00562FBC"/>
    <w:rsid w:val="0056333B"/>
    <w:rsid w:val="0056336D"/>
    <w:rsid w:val="00563467"/>
    <w:rsid w:val="005638A5"/>
    <w:rsid w:val="00563A8E"/>
    <w:rsid w:val="00564325"/>
    <w:rsid w:val="0056437D"/>
    <w:rsid w:val="005647AB"/>
    <w:rsid w:val="00564BE0"/>
    <w:rsid w:val="00564DBD"/>
    <w:rsid w:val="0056501A"/>
    <w:rsid w:val="00565288"/>
    <w:rsid w:val="00565610"/>
    <w:rsid w:val="00565692"/>
    <w:rsid w:val="00565A08"/>
    <w:rsid w:val="00565AFA"/>
    <w:rsid w:val="00565CC8"/>
    <w:rsid w:val="00565E9D"/>
    <w:rsid w:val="00565FB6"/>
    <w:rsid w:val="00566183"/>
    <w:rsid w:val="0056655E"/>
    <w:rsid w:val="00566EB9"/>
    <w:rsid w:val="00566F32"/>
    <w:rsid w:val="0056707C"/>
    <w:rsid w:val="005672DC"/>
    <w:rsid w:val="005675F1"/>
    <w:rsid w:val="00567A24"/>
    <w:rsid w:val="00567A33"/>
    <w:rsid w:val="00567B81"/>
    <w:rsid w:val="00567EED"/>
    <w:rsid w:val="00567F6C"/>
    <w:rsid w:val="005702ED"/>
    <w:rsid w:val="0057046D"/>
    <w:rsid w:val="005705AD"/>
    <w:rsid w:val="00570843"/>
    <w:rsid w:val="00570D15"/>
    <w:rsid w:val="00570E7C"/>
    <w:rsid w:val="0057104A"/>
    <w:rsid w:val="0057178E"/>
    <w:rsid w:val="00571795"/>
    <w:rsid w:val="0057194B"/>
    <w:rsid w:val="00571950"/>
    <w:rsid w:val="00571A3C"/>
    <w:rsid w:val="00571E28"/>
    <w:rsid w:val="00572063"/>
    <w:rsid w:val="00572177"/>
    <w:rsid w:val="00572483"/>
    <w:rsid w:val="0057280C"/>
    <w:rsid w:val="00573374"/>
    <w:rsid w:val="005737DE"/>
    <w:rsid w:val="00573C77"/>
    <w:rsid w:val="00573E79"/>
    <w:rsid w:val="005744E0"/>
    <w:rsid w:val="00574AAF"/>
    <w:rsid w:val="00574E96"/>
    <w:rsid w:val="005753FD"/>
    <w:rsid w:val="005754BA"/>
    <w:rsid w:val="0057598B"/>
    <w:rsid w:val="00575BBA"/>
    <w:rsid w:val="00575D97"/>
    <w:rsid w:val="00575E1D"/>
    <w:rsid w:val="00575ED1"/>
    <w:rsid w:val="00575FD6"/>
    <w:rsid w:val="0057675B"/>
    <w:rsid w:val="00576A19"/>
    <w:rsid w:val="00576DED"/>
    <w:rsid w:val="00576E76"/>
    <w:rsid w:val="0057709F"/>
    <w:rsid w:val="00577382"/>
    <w:rsid w:val="0057784B"/>
    <w:rsid w:val="00577E41"/>
    <w:rsid w:val="0058000A"/>
    <w:rsid w:val="0058056F"/>
    <w:rsid w:val="0058073F"/>
    <w:rsid w:val="005808F1"/>
    <w:rsid w:val="00580C4A"/>
    <w:rsid w:val="00580DAB"/>
    <w:rsid w:val="00581847"/>
    <w:rsid w:val="00581C6A"/>
    <w:rsid w:val="00581F94"/>
    <w:rsid w:val="00582025"/>
    <w:rsid w:val="00582103"/>
    <w:rsid w:val="005822D0"/>
    <w:rsid w:val="00582316"/>
    <w:rsid w:val="005823A5"/>
    <w:rsid w:val="005826D8"/>
    <w:rsid w:val="005829A7"/>
    <w:rsid w:val="00582A47"/>
    <w:rsid w:val="00582CB2"/>
    <w:rsid w:val="00582F70"/>
    <w:rsid w:val="00583194"/>
    <w:rsid w:val="005831CF"/>
    <w:rsid w:val="005839F6"/>
    <w:rsid w:val="00583ACB"/>
    <w:rsid w:val="00583D77"/>
    <w:rsid w:val="0058431C"/>
    <w:rsid w:val="0058437A"/>
    <w:rsid w:val="00584508"/>
    <w:rsid w:val="005845BF"/>
    <w:rsid w:val="005847AF"/>
    <w:rsid w:val="005848C6"/>
    <w:rsid w:val="00584A98"/>
    <w:rsid w:val="00584CD5"/>
    <w:rsid w:val="00585224"/>
    <w:rsid w:val="005855CB"/>
    <w:rsid w:val="00585C2A"/>
    <w:rsid w:val="00585DA9"/>
    <w:rsid w:val="00585E14"/>
    <w:rsid w:val="00586095"/>
    <w:rsid w:val="00586259"/>
    <w:rsid w:val="00586449"/>
    <w:rsid w:val="00586572"/>
    <w:rsid w:val="005866A1"/>
    <w:rsid w:val="00587138"/>
    <w:rsid w:val="005872A9"/>
    <w:rsid w:val="005874A3"/>
    <w:rsid w:val="005874E2"/>
    <w:rsid w:val="005878F4"/>
    <w:rsid w:val="00587909"/>
    <w:rsid w:val="00587992"/>
    <w:rsid w:val="00587B9E"/>
    <w:rsid w:val="0059002F"/>
    <w:rsid w:val="005900F2"/>
    <w:rsid w:val="00590221"/>
    <w:rsid w:val="00590473"/>
    <w:rsid w:val="005906D6"/>
    <w:rsid w:val="00590AB9"/>
    <w:rsid w:val="00591280"/>
    <w:rsid w:val="005917FE"/>
    <w:rsid w:val="00591A3B"/>
    <w:rsid w:val="00591C2B"/>
    <w:rsid w:val="00592400"/>
    <w:rsid w:val="005926D1"/>
    <w:rsid w:val="00592DE9"/>
    <w:rsid w:val="00592E6B"/>
    <w:rsid w:val="00592F60"/>
    <w:rsid w:val="00593166"/>
    <w:rsid w:val="00593299"/>
    <w:rsid w:val="00593317"/>
    <w:rsid w:val="005934B2"/>
    <w:rsid w:val="00593A4B"/>
    <w:rsid w:val="00593AA5"/>
    <w:rsid w:val="00593E70"/>
    <w:rsid w:val="00594240"/>
    <w:rsid w:val="005942D4"/>
    <w:rsid w:val="0059437A"/>
    <w:rsid w:val="005946B4"/>
    <w:rsid w:val="00594D7F"/>
    <w:rsid w:val="00594E9B"/>
    <w:rsid w:val="0059509C"/>
    <w:rsid w:val="0059533F"/>
    <w:rsid w:val="00595597"/>
    <w:rsid w:val="00595BAF"/>
    <w:rsid w:val="00595EF1"/>
    <w:rsid w:val="00596012"/>
    <w:rsid w:val="00596470"/>
    <w:rsid w:val="005964D8"/>
    <w:rsid w:val="005966B8"/>
    <w:rsid w:val="00596B35"/>
    <w:rsid w:val="00596BFF"/>
    <w:rsid w:val="00596E62"/>
    <w:rsid w:val="00596EC1"/>
    <w:rsid w:val="0059705A"/>
    <w:rsid w:val="005975AA"/>
    <w:rsid w:val="005976B2"/>
    <w:rsid w:val="005978FE"/>
    <w:rsid w:val="005A02C9"/>
    <w:rsid w:val="005A06F1"/>
    <w:rsid w:val="005A07D4"/>
    <w:rsid w:val="005A091B"/>
    <w:rsid w:val="005A0BC9"/>
    <w:rsid w:val="005A0DFE"/>
    <w:rsid w:val="005A0E0D"/>
    <w:rsid w:val="005A0EB0"/>
    <w:rsid w:val="005A0EB8"/>
    <w:rsid w:val="005A12A3"/>
    <w:rsid w:val="005A1485"/>
    <w:rsid w:val="005A1C12"/>
    <w:rsid w:val="005A1C79"/>
    <w:rsid w:val="005A1E35"/>
    <w:rsid w:val="005A1EC8"/>
    <w:rsid w:val="005A1FA0"/>
    <w:rsid w:val="005A2094"/>
    <w:rsid w:val="005A2233"/>
    <w:rsid w:val="005A22D0"/>
    <w:rsid w:val="005A2974"/>
    <w:rsid w:val="005A2A46"/>
    <w:rsid w:val="005A2BDF"/>
    <w:rsid w:val="005A3079"/>
    <w:rsid w:val="005A30AB"/>
    <w:rsid w:val="005A37E3"/>
    <w:rsid w:val="005A3948"/>
    <w:rsid w:val="005A3E7A"/>
    <w:rsid w:val="005A4195"/>
    <w:rsid w:val="005A47A2"/>
    <w:rsid w:val="005A47F9"/>
    <w:rsid w:val="005A4949"/>
    <w:rsid w:val="005A4E62"/>
    <w:rsid w:val="005A5036"/>
    <w:rsid w:val="005A51EE"/>
    <w:rsid w:val="005A53ED"/>
    <w:rsid w:val="005A5722"/>
    <w:rsid w:val="005A577E"/>
    <w:rsid w:val="005A5E57"/>
    <w:rsid w:val="005A6021"/>
    <w:rsid w:val="005A61DC"/>
    <w:rsid w:val="005A623A"/>
    <w:rsid w:val="005A653D"/>
    <w:rsid w:val="005A65FB"/>
    <w:rsid w:val="005A663D"/>
    <w:rsid w:val="005A6664"/>
    <w:rsid w:val="005A66B7"/>
    <w:rsid w:val="005A66E4"/>
    <w:rsid w:val="005A6805"/>
    <w:rsid w:val="005A6842"/>
    <w:rsid w:val="005A7332"/>
    <w:rsid w:val="005A7AE4"/>
    <w:rsid w:val="005A7BD0"/>
    <w:rsid w:val="005B041C"/>
    <w:rsid w:val="005B0781"/>
    <w:rsid w:val="005B0ED2"/>
    <w:rsid w:val="005B0F19"/>
    <w:rsid w:val="005B158C"/>
    <w:rsid w:val="005B1F0A"/>
    <w:rsid w:val="005B2582"/>
    <w:rsid w:val="005B29F4"/>
    <w:rsid w:val="005B303D"/>
    <w:rsid w:val="005B3277"/>
    <w:rsid w:val="005B3B9D"/>
    <w:rsid w:val="005B3C58"/>
    <w:rsid w:val="005B3DD2"/>
    <w:rsid w:val="005B409C"/>
    <w:rsid w:val="005B4136"/>
    <w:rsid w:val="005B456B"/>
    <w:rsid w:val="005B457B"/>
    <w:rsid w:val="005B4B7B"/>
    <w:rsid w:val="005B4DDB"/>
    <w:rsid w:val="005B5224"/>
    <w:rsid w:val="005B58AD"/>
    <w:rsid w:val="005B5E3D"/>
    <w:rsid w:val="005B60CD"/>
    <w:rsid w:val="005B6348"/>
    <w:rsid w:val="005B6549"/>
    <w:rsid w:val="005B655A"/>
    <w:rsid w:val="005B6FCD"/>
    <w:rsid w:val="005B737C"/>
    <w:rsid w:val="005B7406"/>
    <w:rsid w:val="005B74BF"/>
    <w:rsid w:val="005B7878"/>
    <w:rsid w:val="005B7B38"/>
    <w:rsid w:val="005B7BEA"/>
    <w:rsid w:val="005B7D88"/>
    <w:rsid w:val="005C006C"/>
    <w:rsid w:val="005C00A1"/>
    <w:rsid w:val="005C018D"/>
    <w:rsid w:val="005C01B4"/>
    <w:rsid w:val="005C0382"/>
    <w:rsid w:val="005C03A9"/>
    <w:rsid w:val="005C0AB5"/>
    <w:rsid w:val="005C0EAE"/>
    <w:rsid w:val="005C1072"/>
    <w:rsid w:val="005C14EB"/>
    <w:rsid w:val="005C17B3"/>
    <w:rsid w:val="005C17E2"/>
    <w:rsid w:val="005C19A3"/>
    <w:rsid w:val="005C1A87"/>
    <w:rsid w:val="005C1D28"/>
    <w:rsid w:val="005C1FC4"/>
    <w:rsid w:val="005C203A"/>
    <w:rsid w:val="005C252D"/>
    <w:rsid w:val="005C25B5"/>
    <w:rsid w:val="005C293C"/>
    <w:rsid w:val="005C2A45"/>
    <w:rsid w:val="005C2AEF"/>
    <w:rsid w:val="005C316E"/>
    <w:rsid w:val="005C33E0"/>
    <w:rsid w:val="005C3525"/>
    <w:rsid w:val="005C37A0"/>
    <w:rsid w:val="005C3870"/>
    <w:rsid w:val="005C4400"/>
    <w:rsid w:val="005C4628"/>
    <w:rsid w:val="005C4658"/>
    <w:rsid w:val="005C49FE"/>
    <w:rsid w:val="005C4B0A"/>
    <w:rsid w:val="005C4B0C"/>
    <w:rsid w:val="005C4C6D"/>
    <w:rsid w:val="005C4E10"/>
    <w:rsid w:val="005C4E3A"/>
    <w:rsid w:val="005C50F5"/>
    <w:rsid w:val="005C52A6"/>
    <w:rsid w:val="005C5376"/>
    <w:rsid w:val="005C596E"/>
    <w:rsid w:val="005C5AA6"/>
    <w:rsid w:val="005C5CAF"/>
    <w:rsid w:val="005C5E27"/>
    <w:rsid w:val="005C5E35"/>
    <w:rsid w:val="005C5F89"/>
    <w:rsid w:val="005C600D"/>
    <w:rsid w:val="005C62DF"/>
    <w:rsid w:val="005C6435"/>
    <w:rsid w:val="005C646E"/>
    <w:rsid w:val="005C664B"/>
    <w:rsid w:val="005C692C"/>
    <w:rsid w:val="005C69EC"/>
    <w:rsid w:val="005C6F4B"/>
    <w:rsid w:val="005C75C4"/>
    <w:rsid w:val="005C774E"/>
    <w:rsid w:val="005C7943"/>
    <w:rsid w:val="005C7E51"/>
    <w:rsid w:val="005C7F70"/>
    <w:rsid w:val="005D0219"/>
    <w:rsid w:val="005D02B5"/>
    <w:rsid w:val="005D0996"/>
    <w:rsid w:val="005D0FAC"/>
    <w:rsid w:val="005D1140"/>
    <w:rsid w:val="005D11D0"/>
    <w:rsid w:val="005D1202"/>
    <w:rsid w:val="005D126E"/>
    <w:rsid w:val="005D12CA"/>
    <w:rsid w:val="005D1416"/>
    <w:rsid w:val="005D14D4"/>
    <w:rsid w:val="005D15A0"/>
    <w:rsid w:val="005D19E9"/>
    <w:rsid w:val="005D1B10"/>
    <w:rsid w:val="005D1C40"/>
    <w:rsid w:val="005D237F"/>
    <w:rsid w:val="005D2C66"/>
    <w:rsid w:val="005D2E00"/>
    <w:rsid w:val="005D3304"/>
    <w:rsid w:val="005D3347"/>
    <w:rsid w:val="005D33A4"/>
    <w:rsid w:val="005D3699"/>
    <w:rsid w:val="005D3DF7"/>
    <w:rsid w:val="005D432D"/>
    <w:rsid w:val="005D4339"/>
    <w:rsid w:val="005D4459"/>
    <w:rsid w:val="005D44B8"/>
    <w:rsid w:val="005D4518"/>
    <w:rsid w:val="005D454F"/>
    <w:rsid w:val="005D4580"/>
    <w:rsid w:val="005D46AB"/>
    <w:rsid w:val="005D489E"/>
    <w:rsid w:val="005D4AE4"/>
    <w:rsid w:val="005D4C97"/>
    <w:rsid w:val="005D4E41"/>
    <w:rsid w:val="005D4F3A"/>
    <w:rsid w:val="005D53A1"/>
    <w:rsid w:val="005D552C"/>
    <w:rsid w:val="005D5593"/>
    <w:rsid w:val="005D5C72"/>
    <w:rsid w:val="005D5CA7"/>
    <w:rsid w:val="005D6555"/>
    <w:rsid w:val="005D6640"/>
    <w:rsid w:val="005D694D"/>
    <w:rsid w:val="005D71E6"/>
    <w:rsid w:val="005D7316"/>
    <w:rsid w:val="005D73B0"/>
    <w:rsid w:val="005D740B"/>
    <w:rsid w:val="005D7424"/>
    <w:rsid w:val="005D75D6"/>
    <w:rsid w:val="005D7DB3"/>
    <w:rsid w:val="005D7ED2"/>
    <w:rsid w:val="005E01D3"/>
    <w:rsid w:val="005E0221"/>
    <w:rsid w:val="005E045C"/>
    <w:rsid w:val="005E078E"/>
    <w:rsid w:val="005E0F52"/>
    <w:rsid w:val="005E124F"/>
    <w:rsid w:val="005E13F9"/>
    <w:rsid w:val="005E1AD2"/>
    <w:rsid w:val="005E1ADD"/>
    <w:rsid w:val="005E26D8"/>
    <w:rsid w:val="005E27DD"/>
    <w:rsid w:val="005E2961"/>
    <w:rsid w:val="005E2A6E"/>
    <w:rsid w:val="005E3A28"/>
    <w:rsid w:val="005E3AE2"/>
    <w:rsid w:val="005E3CB7"/>
    <w:rsid w:val="005E4426"/>
    <w:rsid w:val="005E4783"/>
    <w:rsid w:val="005E47F6"/>
    <w:rsid w:val="005E5490"/>
    <w:rsid w:val="005E58E9"/>
    <w:rsid w:val="005E5953"/>
    <w:rsid w:val="005E606D"/>
    <w:rsid w:val="005E6168"/>
    <w:rsid w:val="005E6183"/>
    <w:rsid w:val="005E6869"/>
    <w:rsid w:val="005E6CEB"/>
    <w:rsid w:val="005E6E4E"/>
    <w:rsid w:val="005E7096"/>
    <w:rsid w:val="005E764A"/>
    <w:rsid w:val="005E7D3F"/>
    <w:rsid w:val="005E7DF4"/>
    <w:rsid w:val="005F00A4"/>
    <w:rsid w:val="005F0324"/>
    <w:rsid w:val="005F04B8"/>
    <w:rsid w:val="005F06A0"/>
    <w:rsid w:val="005F07BA"/>
    <w:rsid w:val="005F0940"/>
    <w:rsid w:val="005F0CED"/>
    <w:rsid w:val="005F11DD"/>
    <w:rsid w:val="005F13E2"/>
    <w:rsid w:val="005F189D"/>
    <w:rsid w:val="005F196F"/>
    <w:rsid w:val="005F1C1A"/>
    <w:rsid w:val="005F364E"/>
    <w:rsid w:val="005F36AA"/>
    <w:rsid w:val="005F3C68"/>
    <w:rsid w:val="005F3E72"/>
    <w:rsid w:val="005F42E9"/>
    <w:rsid w:val="005F4469"/>
    <w:rsid w:val="005F44DC"/>
    <w:rsid w:val="005F471C"/>
    <w:rsid w:val="005F4A44"/>
    <w:rsid w:val="005F4C0D"/>
    <w:rsid w:val="005F52E5"/>
    <w:rsid w:val="005F5805"/>
    <w:rsid w:val="005F596E"/>
    <w:rsid w:val="005F5D3E"/>
    <w:rsid w:val="005F5D89"/>
    <w:rsid w:val="005F5E50"/>
    <w:rsid w:val="005F622B"/>
    <w:rsid w:val="005F622C"/>
    <w:rsid w:val="005F645B"/>
    <w:rsid w:val="005F64A8"/>
    <w:rsid w:val="005F64C3"/>
    <w:rsid w:val="005F6669"/>
    <w:rsid w:val="005F67DD"/>
    <w:rsid w:val="005F6CD5"/>
    <w:rsid w:val="005F6E06"/>
    <w:rsid w:val="005F7215"/>
    <w:rsid w:val="005F7744"/>
    <w:rsid w:val="005F7A70"/>
    <w:rsid w:val="005F7B30"/>
    <w:rsid w:val="005F7C77"/>
    <w:rsid w:val="005F7F82"/>
    <w:rsid w:val="006001FE"/>
    <w:rsid w:val="006002AA"/>
    <w:rsid w:val="00600369"/>
    <w:rsid w:val="0060079D"/>
    <w:rsid w:val="00600DD2"/>
    <w:rsid w:val="00600E62"/>
    <w:rsid w:val="00600F0A"/>
    <w:rsid w:val="0060150D"/>
    <w:rsid w:val="00601B97"/>
    <w:rsid w:val="00601CF2"/>
    <w:rsid w:val="0060248D"/>
    <w:rsid w:val="0060280A"/>
    <w:rsid w:val="00602AC6"/>
    <w:rsid w:val="00602CFC"/>
    <w:rsid w:val="00602EBD"/>
    <w:rsid w:val="00602ECB"/>
    <w:rsid w:val="00603329"/>
    <w:rsid w:val="006033E6"/>
    <w:rsid w:val="006035EF"/>
    <w:rsid w:val="00603DD7"/>
    <w:rsid w:val="00604278"/>
    <w:rsid w:val="00604428"/>
    <w:rsid w:val="006044AE"/>
    <w:rsid w:val="0060488A"/>
    <w:rsid w:val="00604BE9"/>
    <w:rsid w:val="00604C09"/>
    <w:rsid w:val="00604CAF"/>
    <w:rsid w:val="0060518A"/>
    <w:rsid w:val="0060537C"/>
    <w:rsid w:val="0060563A"/>
    <w:rsid w:val="00605932"/>
    <w:rsid w:val="00605B70"/>
    <w:rsid w:val="00605CB2"/>
    <w:rsid w:val="0060643F"/>
    <w:rsid w:val="00606822"/>
    <w:rsid w:val="00606952"/>
    <w:rsid w:val="00606B1C"/>
    <w:rsid w:val="00606CA1"/>
    <w:rsid w:val="006072BC"/>
    <w:rsid w:val="006073E5"/>
    <w:rsid w:val="0060744C"/>
    <w:rsid w:val="006077FB"/>
    <w:rsid w:val="00607B36"/>
    <w:rsid w:val="00607C0C"/>
    <w:rsid w:val="00607D22"/>
    <w:rsid w:val="0061011B"/>
    <w:rsid w:val="0061019C"/>
    <w:rsid w:val="0061025B"/>
    <w:rsid w:val="0061090B"/>
    <w:rsid w:val="00610CDE"/>
    <w:rsid w:val="00610EB0"/>
    <w:rsid w:val="00611502"/>
    <w:rsid w:val="006116C7"/>
    <w:rsid w:val="006119CE"/>
    <w:rsid w:val="00611CA6"/>
    <w:rsid w:val="00612024"/>
    <w:rsid w:val="006122A7"/>
    <w:rsid w:val="0061239B"/>
    <w:rsid w:val="00612C21"/>
    <w:rsid w:val="00612D01"/>
    <w:rsid w:val="00612F7C"/>
    <w:rsid w:val="00612F87"/>
    <w:rsid w:val="00613090"/>
    <w:rsid w:val="006131C9"/>
    <w:rsid w:val="00613391"/>
    <w:rsid w:val="006135E6"/>
    <w:rsid w:val="006137A5"/>
    <w:rsid w:val="00613B81"/>
    <w:rsid w:val="00613C76"/>
    <w:rsid w:val="00613E2E"/>
    <w:rsid w:val="00613FB5"/>
    <w:rsid w:val="00614254"/>
    <w:rsid w:val="006144AF"/>
    <w:rsid w:val="00614A17"/>
    <w:rsid w:val="00614CBB"/>
    <w:rsid w:val="00614ED4"/>
    <w:rsid w:val="00615679"/>
    <w:rsid w:val="006157AB"/>
    <w:rsid w:val="00615B49"/>
    <w:rsid w:val="00615C2E"/>
    <w:rsid w:val="00615DB5"/>
    <w:rsid w:val="00616072"/>
    <w:rsid w:val="006162D0"/>
    <w:rsid w:val="00616767"/>
    <w:rsid w:val="006169A2"/>
    <w:rsid w:val="00616CBE"/>
    <w:rsid w:val="00617132"/>
    <w:rsid w:val="006172F5"/>
    <w:rsid w:val="006176DA"/>
    <w:rsid w:val="00617802"/>
    <w:rsid w:val="00617A65"/>
    <w:rsid w:val="00617D3B"/>
    <w:rsid w:val="00617E25"/>
    <w:rsid w:val="00620642"/>
    <w:rsid w:val="00620D2B"/>
    <w:rsid w:val="00620EBC"/>
    <w:rsid w:val="00620F23"/>
    <w:rsid w:val="006217EA"/>
    <w:rsid w:val="0062180C"/>
    <w:rsid w:val="00621A8F"/>
    <w:rsid w:val="00621E08"/>
    <w:rsid w:val="00621EA4"/>
    <w:rsid w:val="006220CE"/>
    <w:rsid w:val="0062231B"/>
    <w:rsid w:val="006223E0"/>
    <w:rsid w:val="006229A6"/>
    <w:rsid w:val="006229FC"/>
    <w:rsid w:val="00622AED"/>
    <w:rsid w:val="00622CBA"/>
    <w:rsid w:val="00623317"/>
    <w:rsid w:val="006235E8"/>
    <w:rsid w:val="00623610"/>
    <w:rsid w:val="00623A70"/>
    <w:rsid w:val="00623C83"/>
    <w:rsid w:val="00623EA6"/>
    <w:rsid w:val="00624239"/>
    <w:rsid w:val="00624327"/>
    <w:rsid w:val="006244FC"/>
    <w:rsid w:val="006245EF"/>
    <w:rsid w:val="00624AE0"/>
    <w:rsid w:val="00624BDD"/>
    <w:rsid w:val="00625046"/>
    <w:rsid w:val="006250A4"/>
    <w:rsid w:val="00625307"/>
    <w:rsid w:val="006254F8"/>
    <w:rsid w:val="00625927"/>
    <w:rsid w:val="0062596C"/>
    <w:rsid w:val="00625E91"/>
    <w:rsid w:val="00626096"/>
    <w:rsid w:val="0062624E"/>
    <w:rsid w:val="0062646B"/>
    <w:rsid w:val="006268A8"/>
    <w:rsid w:val="006268BF"/>
    <w:rsid w:val="006268C6"/>
    <w:rsid w:val="00627100"/>
    <w:rsid w:val="006272A3"/>
    <w:rsid w:val="006274A0"/>
    <w:rsid w:val="0062763D"/>
    <w:rsid w:val="0062767B"/>
    <w:rsid w:val="00627691"/>
    <w:rsid w:val="006277D1"/>
    <w:rsid w:val="00627E13"/>
    <w:rsid w:val="00627EB8"/>
    <w:rsid w:val="0063013A"/>
    <w:rsid w:val="00630360"/>
    <w:rsid w:val="0063058E"/>
    <w:rsid w:val="00630D55"/>
    <w:rsid w:val="00630F01"/>
    <w:rsid w:val="00631000"/>
    <w:rsid w:val="0063103D"/>
    <w:rsid w:val="00631071"/>
    <w:rsid w:val="006311CD"/>
    <w:rsid w:val="00631362"/>
    <w:rsid w:val="0063172D"/>
    <w:rsid w:val="00631A41"/>
    <w:rsid w:val="00631BBA"/>
    <w:rsid w:val="00631BF1"/>
    <w:rsid w:val="00631E06"/>
    <w:rsid w:val="0063200D"/>
    <w:rsid w:val="0063245D"/>
    <w:rsid w:val="006327BA"/>
    <w:rsid w:val="00633817"/>
    <w:rsid w:val="006338A5"/>
    <w:rsid w:val="00633C33"/>
    <w:rsid w:val="00633C97"/>
    <w:rsid w:val="00633DD3"/>
    <w:rsid w:val="00634326"/>
    <w:rsid w:val="0063452D"/>
    <w:rsid w:val="006345DF"/>
    <w:rsid w:val="00634883"/>
    <w:rsid w:val="006349C0"/>
    <w:rsid w:val="00634D3A"/>
    <w:rsid w:val="006350A3"/>
    <w:rsid w:val="0063513D"/>
    <w:rsid w:val="00635381"/>
    <w:rsid w:val="00635741"/>
    <w:rsid w:val="006357CF"/>
    <w:rsid w:val="00635987"/>
    <w:rsid w:val="00635CF7"/>
    <w:rsid w:val="006360E0"/>
    <w:rsid w:val="00636122"/>
    <w:rsid w:val="0063658B"/>
    <w:rsid w:val="006368CD"/>
    <w:rsid w:val="006369FA"/>
    <w:rsid w:val="00637069"/>
    <w:rsid w:val="00637D94"/>
    <w:rsid w:val="00637E11"/>
    <w:rsid w:val="0064024C"/>
    <w:rsid w:val="006403D2"/>
    <w:rsid w:val="0064064C"/>
    <w:rsid w:val="00640E5F"/>
    <w:rsid w:val="00640F92"/>
    <w:rsid w:val="00641236"/>
    <w:rsid w:val="0064136D"/>
    <w:rsid w:val="00641820"/>
    <w:rsid w:val="00641B6F"/>
    <w:rsid w:val="00641EA5"/>
    <w:rsid w:val="0064217F"/>
    <w:rsid w:val="0064226C"/>
    <w:rsid w:val="00642616"/>
    <w:rsid w:val="00642893"/>
    <w:rsid w:val="006428E7"/>
    <w:rsid w:val="00642931"/>
    <w:rsid w:val="00642E39"/>
    <w:rsid w:val="0064310A"/>
    <w:rsid w:val="00643226"/>
    <w:rsid w:val="00643430"/>
    <w:rsid w:val="00644019"/>
    <w:rsid w:val="00644090"/>
    <w:rsid w:val="00644318"/>
    <w:rsid w:val="00644320"/>
    <w:rsid w:val="006448BB"/>
    <w:rsid w:val="00644D80"/>
    <w:rsid w:val="00644D8A"/>
    <w:rsid w:val="006451A7"/>
    <w:rsid w:val="0064527C"/>
    <w:rsid w:val="00645322"/>
    <w:rsid w:val="0064537E"/>
    <w:rsid w:val="00645AE9"/>
    <w:rsid w:val="00645BE9"/>
    <w:rsid w:val="0064627D"/>
    <w:rsid w:val="006463AF"/>
    <w:rsid w:val="006463CC"/>
    <w:rsid w:val="00646415"/>
    <w:rsid w:val="00646632"/>
    <w:rsid w:val="00646703"/>
    <w:rsid w:val="00646873"/>
    <w:rsid w:val="006468CA"/>
    <w:rsid w:val="00646C55"/>
    <w:rsid w:val="0064764F"/>
    <w:rsid w:val="00647A00"/>
    <w:rsid w:val="00647F1B"/>
    <w:rsid w:val="00650472"/>
    <w:rsid w:val="0065082B"/>
    <w:rsid w:val="006508C3"/>
    <w:rsid w:val="00650996"/>
    <w:rsid w:val="006515C6"/>
    <w:rsid w:val="006516E7"/>
    <w:rsid w:val="00651997"/>
    <w:rsid w:val="00651CF8"/>
    <w:rsid w:val="00651F38"/>
    <w:rsid w:val="00652496"/>
    <w:rsid w:val="00652A12"/>
    <w:rsid w:val="00652A37"/>
    <w:rsid w:val="006531CB"/>
    <w:rsid w:val="00653204"/>
    <w:rsid w:val="0065350F"/>
    <w:rsid w:val="00653752"/>
    <w:rsid w:val="00653788"/>
    <w:rsid w:val="00653D0F"/>
    <w:rsid w:val="00653DC7"/>
    <w:rsid w:val="00653FD7"/>
    <w:rsid w:val="006540E4"/>
    <w:rsid w:val="00654139"/>
    <w:rsid w:val="00654340"/>
    <w:rsid w:val="006547F0"/>
    <w:rsid w:val="00654890"/>
    <w:rsid w:val="00654BE9"/>
    <w:rsid w:val="00654FA1"/>
    <w:rsid w:val="006550F2"/>
    <w:rsid w:val="0065524C"/>
    <w:rsid w:val="006553AF"/>
    <w:rsid w:val="00655475"/>
    <w:rsid w:val="006554AA"/>
    <w:rsid w:val="006561AB"/>
    <w:rsid w:val="00656280"/>
    <w:rsid w:val="006562BB"/>
    <w:rsid w:val="006566E8"/>
    <w:rsid w:val="0065718D"/>
    <w:rsid w:val="006571E4"/>
    <w:rsid w:val="006576CD"/>
    <w:rsid w:val="00657CB7"/>
    <w:rsid w:val="00657D6D"/>
    <w:rsid w:val="00657F6F"/>
    <w:rsid w:val="00660143"/>
    <w:rsid w:val="006603B9"/>
    <w:rsid w:val="006604F8"/>
    <w:rsid w:val="00661773"/>
    <w:rsid w:val="00661AEC"/>
    <w:rsid w:val="00661BF3"/>
    <w:rsid w:val="00661F69"/>
    <w:rsid w:val="00662087"/>
    <w:rsid w:val="00662540"/>
    <w:rsid w:val="00662786"/>
    <w:rsid w:val="00662A69"/>
    <w:rsid w:val="00662B1C"/>
    <w:rsid w:val="00662D49"/>
    <w:rsid w:val="0066366E"/>
    <w:rsid w:val="006638AB"/>
    <w:rsid w:val="00663CFA"/>
    <w:rsid w:val="00663F3B"/>
    <w:rsid w:val="00664187"/>
    <w:rsid w:val="006645CB"/>
    <w:rsid w:val="00664767"/>
    <w:rsid w:val="00664C06"/>
    <w:rsid w:val="00664D06"/>
    <w:rsid w:val="00664E20"/>
    <w:rsid w:val="00665009"/>
    <w:rsid w:val="00665121"/>
    <w:rsid w:val="006651BD"/>
    <w:rsid w:val="006652F7"/>
    <w:rsid w:val="0066548C"/>
    <w:rsid w:val="006655F3"/>
    <w:rsid w:val="00665801"/>
    <w:rsid w:val="006658D4"/>
    <w:rsid w:val="00665BB3"/>
    <w:rsid w:val="00665BFD"/>
    <w:rsid w:val="00666274"/>
    <w:rsid w:val="006666CE"/>
    <w:rsid w:val="00666B43"/>
    <w:rsid w:val="00666B97"/>
    <w:rsid w:val="006671BE"/>
    <w:rsid w:val="0066731E"/>
    <w:rsid w:val="0066769A"/>
    <w:rsid w:val="006677F2"/>
    <w:rsid w:val="00667AD3"/>
    <w:rsid w:val="00667B7C"/>
    <w:rsid w:val="00670461"/>
    <w:rsid w:val="00670624"/>
    <w:rsid w:val="00670634"/>
    <w:rsid w:val="00670B47"/>
    <w:rsid w:val="00671491"/>
    <w:rsid w:val="00671696"/>
    <w:rsid w:val="00671BD3"/>
    <w:rsid w:val="0067283F"/>
    <w:rsid w:val="00672C5C"/>
    <w:rsid w:val="00672CFB"/>
    <w:rsid w:val="00672D56"/>
    <w:rsid w:val="00672E24"/>
    <w:rsid w:val="00672ECF"/>
    <w:rsid w:val="00673A3C"/>
    <w:rsid w:val="00674180"/>
    <w:rsid w:val="006744AE"/>
    <w:rsid w:val="00674DF7"/>
    <w:rsid w:val="00674EFA"/>
    <w:rsid w:val="0067534B"/>
    <w:rsid w:val="006755BC"/>
    <w:rsid w:val="0067589A"/>
    <w:rsid w:val="0067591C"/>
    <w:rsid w:val="00675E3B"/>
    <w:rsid w:val="006766F1"/>
    <w:rsid w:val="00676737"/>
    <w:rsid w:val="0067689B"/>
    <w:rsid w:val="00676930"/>
    <w:rsid w:val="006769AE"/>
    <w:rsid w:val="00676A8A"/>
    <w:rsid w:val="00676D9F"/>
    <w:rsid w:val="0067725B"/>
    <w:rsid w:val="006772B2"/>
    <w:rsid w:val="006772C2"/>
    <w:rsid w:val="00677496"/>
    <w:rsid w:val="00677D6A"/>
    <w:rsid w:val="00677E5F"/>
    <w:rsid w:val="00677F19"/>
    <w:rsid w:val="00680084"/>
    <w:rsid w:val="006802A4"/>
    <w:rsid w:val="00680745"/>
    <w:rsid w:val="00680751"/>
    <w:rsid w:val="006808A0"/>
    <w:rsid w:val="006808E4"/>
    <w:rsid w:val="0068092A"/>
    <w:rsid w:val="00680A78"/>
    <w:rsid w:val="00680B55"/>
    <w:rsid w:val="00680EB7"/>
    <w:rsid w:val="006810A9"/>
    <w:rsid w:val="00681133"/>
    <w:rsid w:val="0068170F"/>
    <w:rsid w:val="00681761"/>
    <w:rsid w:val="00681858"/>
    <w:rsid w:val="00681B61"/>
    <w:rsid w:val="00681E1D"/>
    <w:rsid w:val="0068219F"/>
    <w:rsid w:val="00682363"/>
    <w:rsid w:val="0068249B"/>
    <w:rsid w:val="006827B6"/>
    <w:rsid w:val="00683101"/>
    <w:rsid w:val="0068393D"/>
    <w:rsid w:val="00683D9D"/>
    <w:rsid w:val="00684827"/>
    <w:rsid w:val="006857BA"/>
    <w:rsid w:val="00686594"/>
    <w:rsid w:val="006866A0"/>
    <w:rsid w:val="00686A81"/>
    <w:rsid w:val="00686E6F"/>
    <w:rsid w:val="00686EA6"/>
    <w:rsid w:val="00686F05"/>
    <w:rsid w:val="0068752E"/>
    <w:rsid w:val="006875D5"/>
    <w:rsid w:val="006875EB"/>
    <w:rsid w:val="006876C8"/>
    <w:rsid w:val="006877AC"/>
    <w:rsid w:val="0068790B"/>
    <w:rsid w:val="00687AE1"/>
    <w:rsid w:val="00687B65"/>
    <w:rsid w:val="00687F6C"/>
    <w:rsid w:val="00690052"/>
    <w:rsid w:val="00690064"/>
    <w:rsid w:val="0069053A"/>
    <w:rsid w:val="00690557"/>
    <w:rsid w:val="00690599"/>
    <w:rsid w:val="006908B0"/>
    <w:rsid w:val="00690E13"/>
    <w:rsid w:val="0069128B"/>
    <w:rsid w:val="00691318"/>
    <w:rsid w:val="006917F7"/>
    <w:rsid w:val="006919EB"/>
    <w:rsid w:val="00691BB3"/>
    <w:rsid w:val="00691E0D"/>
    <w:rsid w:val="00692666"/>
    <w:rsid w:val="006929F7"/>
    <w:rsid w:val="00692C49"/>
    <w:rsid w:val="00692D33"/>
    <w:rsid w:val="00692FB6"/>
    <w:rsid w:val="00693723"/>
    <w:rsid w:val="00693B15"/>
    <w:rsid w:val="006940F1"/>
    <w:rsid w:val="00694261"/>
    <w:rsid w:val="006942BF"/>
    <w:rsid w:val="006946A1"/>
    <w:rsid w:val="00694910"/>
    <w:rsid w:val="00694AEF"/>
    <w:rsid w:val="00694ED6"/>
    <w:rsid w:val="00694F51"/>
    <w:rsid w:val="00695041"/>
    <w:rsid w:val="0069510E"/>
    <w:rsid w:val="006952F9"/>
    <w:rsid w:val="00695462"/>
    <w:rsid w:val="0069595D"/>
    <w:rsid w:val="0069597D"/>
    <w:rsid w:val="00695A29"/>
    <w:rsid w:val="00697047"/>
    <w:rsid w:val="00697061"/>
    <w:rsid w:val="00697096"/>
    <w:rsid w:val="006972CE"/>
    <w:rsid w:val="00697633"/>
    <w:rsid w:val="006979F2"/>
    <w:rsid w:val="0069E367"/>
    <w:rsid w:val="006A09D1"/>
    <w:rsid w:val="006A0A0C"/>
    <w:rsid w:val="006A13B8"/>
    <w:rsid w:val="006A13BF"/>
    <w:rsid w:val="006A146C"/>
    <w:rsid w:val="006A14D0"/>
    <w:rsid w:val="006A186D"/>
    <w:rsid w:val="006A1A8C"/>
    <w:rsid w:val="006A22F2"/>
    <w:rsid w:val="006A234E"/>
    <w:rsid w:val="006A2521"/>
    <w:rsid w:val="006A2676"/>
    <w:rsid w:val="006A2CC6"/>
    <w:rsid w:val="006A2D53"/>
    <w:rsid w:val="006A3555"/>
    <w:rsid w:val="006A3E03"/>
    <w:rsid w:val="006A4018"/>
    <w:rsid w:val="006A4022"/>
    <w:rsid w:val="006A417A"/>
    <w:rsid w:val="006A4848"/>
    <w:rsid w:val="006A510E"/>
    <w:rsid w:val="006A5355"/>
    <w:rsid w:val="006A5B34"/>
    <w:rsid w:val="006A6853"/>
    <w:rsid w:val="006A6DA5"/>
    <w:rsid w:val="006A6E8C"/>
    <w:rsid w:val="006A77D4"/>
    <w:rsid w:val="006B026E"/>
    <w:rsid w:val="006B02A0"/>
    <w:rsid w:val="006B039F"/>
    <w:rsid w:val="006B04FB"/>
    <w:rsid w:val="006B0576"/>
    <w:rsid w:val="006B0680"/>
    <w:rsid w:val="006B07C8"/>
    <w:rsid w:val="006B0A1D"/>
    <w:rsid w:val="006B0CBE"/>
    <w:rsid w:val="006B0D86"/>
    <w:rsid w:val="006B0DB3"/>
    <w:rsid w:val="006B0F08"/>
    <w:rsid w:val="006B10AA"/>
    <w:rsid w:val="006B13AB"/>
    <w:rsid w:val="006B1506"/>
    <w:rsid w:val="006B1655"/>
    <w:rsid w:val="006B17D8"/>
    <w:rsid w:val="006B1A99"/>
    <w:rsid w:val="006B1AF8"/>
    <w:rsid w:val="006B1D33"/>
    <w:rsid w:val="006B233D"/>
    <w:rsid w:val="006B25E4"/>
    <w:rsid w:val="006B27DB"/>
    <w:rsid w:val="006B27FB"/>
    <w:rsid w:val="006B2811"/>
    <w:rsid w:val="006B2A87"/>
    <w:rsid w:val="006B2ABD"/>
    <w:rsid w:val="006B3279"/>
    <w:rsid w:val="006B330E"/>
    <w:rsid w:val="006B3426"/>
    <w:rsid w:val="006B3FAB"/>
    <w:rsid w:val="006B41F2"/>
    <w:rsid w:val="006B4923"/>
    <w:rsid w:val="006B4EFB"/>
    <w:rsid w:val="006B5288"/>
    <w:rsid w:val="006B545D"/>
    <w:rsid w:val="006B5795"/>
    <w:rsid w:val="006B5951"/>
    <w:rsid w:val="006B5A0A"/>
    <w:rsid w:val="006B5FE7"/>
    <w:rsid w:val="006B6799"/>
    <w:rsid w:val="006B6951"/>
    <w:rsid w:val="006B6C11"/>
    <w:rsid w:val="006B6FF1"/>
    <w:rsid w:val="006B70CE"/>
    <w:rsid w:val="006B73AF"/>
    <w:rsid w:val="006B769E"/>
    <w:rsid w:val="006B76EC"/>
    <w:rsid w:val="006B7778"/>
    <w:rsid w:val="006B78FC"/>
    <w:rsid w:val="006B7CEF"/>
    <w:rsid w:val="006B7DA4"/>
    <w:rsid w:val="006B7FF0"/>
    <w:rsid w:val="006C062C"/>
    <w:rsid w:val="006C0699"/>
    <w:rsid w:val="006C0829"/>
    <w:rsid w:val="006C08F2"/>
    <w:rsid w:val="006C0B13"/>
    <w:rsid w:val="006C0EC3"/>
    <w:rsid w:val="006C1055"/>
    <w:rsid w:val="006C1317"/>
    <w:rsid w:val="006C1459"/>
    <w:rsid w:val="006C14B2"/>
    <w:rsid w:val="006C14DE"/>
    <w:rsid w:val="006C153B"/>
    <w:rsid w:val="006C1A93"/>
    <w:rsid w:val="006C1C3F"/>
    <w:rsid w:val="006C1FDB"/>
    <w:rsid w:val="006C2185"/>
    <w:rsid w:val="006C2D62"/>
    <w:rsid w:val="006C31FA"/>
    <w:rsid w:val="006C3952"/>
    <w:rsid w:val="006C3BB1"/>
    <w:rsid w:val="006C3BB2"/>
    <w:rsid w:val="006C3C7B"/>
    <w:rsid w:val="006C3D3D"/>
    <w:rsid w:val="006C406E"/>
    <w:rsid w:val="006C4359"/>
    <w:rsid w:val="006C444A"/>
    <w:rsid w:val="006C4535"/>
    <w:rsid w:val="006C46BE"/>
    <w:rsid w:val="006C494C"/>
    <w:rsid w:val="006C50A7"/>
    <w:rsid w:val="006C57FD"/>
    <w:rsid w:val="006C5E5C"/>
    <w:rsid w:val="006C6535"/>
    <w:rsid w:val="006C7008"/>
    <w:rsid w:val="006C74F7"/>
    <w:rsid w:val="006C781A"/>
    <w:rsid w:val="006C79AE"/>
    <w:rsid w:val="006C7C67"/>
    <w:rsid w:val="006C7CDE"/>
    <w:rsid w:val="006C7DF4"/>
    <w:rsid w:val="006D002A"/>
    <w:rsid w:val="006D00AC"/>
    <w:rsid w:val="006D01C6"/>
    <w:rsid w:val="006D02F8"/>
    <w:rsid w:val="006D0425"/>
    <w:rsid w:val="006D059E"/>
    <w:rsid w:val="006D09C4"/>
    <w:rsid w:val="006D0A14"/>
    <w:rsid w:val="006D0A70"/>
    <w:rsid w:val="006D0B03"/>
    <w:rsid w:val="006D0F27"/>
    <w:rsid w:val="006D1278"/>
    <w:rsid w:val="006D12C8"/>
    <w:rsid w:val="006D14D8"/>
    <w:rsid w:val="006D1569"/>
    <w:rsid w:val="006D15C1"/>
    <w:rsid w:val="006D1761"/>
    <w:rsid w:val="006D1C6C"/>
    <w:rsid w:val="006D21F4"/>
    <w:rsid w:val="006D2C60"/>
    <w:rsid w:val="006D3401"/>
    <w:rsid w:val="006D3476"/>
    <w:rsid w:val="006D36B7"/>
    <w:rsid w:val="006D3778"/>
    <w:rsid w:val="006D462D"/>
    <w:rsid w:val="006D49DF"/>
    <w:rsid w:val="006D4A66"/>
    <w:rsid w:val="006D4A82"/>
    <w:rsid w:val="006D4C13"/>
    <w:rsid w:val="006D4C47"/>
    <w:rsid w:val="006D4FEF"/>
    <w:rsid w:val="006D5013"/>
    <w:rsid w:val="006D51BE"/>
    <w:rsid w:val="006D5BE1"/>
    <w:rsid w:val="006D5D92"/>
    <w:rsid w:val="006D5FDE"/>
    <w:rsid w:val="006D6760"/>
    <w:rsid w:val="006D6D1B"/>
    <w:rsid w:val="006D6F3D"/>
    <w:rsid w:val="006D7145"/>
    <w:rsid w:val="006D760E"/>
    <w:rsid w:val="006E0854"/>
    <w:rsid w:val="006E0A00"/>
    <w:rsid w:val="006E0B87"/>
    <w:rsid w:val="006E0C8A"/>
    <w:rsid w:val="006E0D9C"/>
    <w:rsid w:val="006E1027"/>
    <w:rsid w:val="006E1270"/>
    <w:rsid w:val="006E1468"/>
    <w:rsid w:val="006E1712"/>
    <w:rsid w:val="006E171E"/>
    <w:rsid w:val="006E17E0"/>
    <w:rsid w:val="006E1C6C"/>
    <w:rsid w:val="006E1E68"/>
    <w:rsid w:val="006E1E6A"/>
    <w:rsid w:val="006E2313"/>
    <w:rsid w:val="006E2369"/>
    <w:rsid w:val="006E25D9"/>
    <w:rsid w:val="006E2887"/>
    <w:rsid w:val="006E29DA"/>
    <w:rsid w:val="006E2B82"/>
    <w:rsid w:val="006E2C58"/>
    <w:rsid w:val="006E2F6C"/>
    <w:rsid w:val="006E333E"/>
    <w:rsid w:val="006E3340"/>
    <w:rsid w:val="006E3837"/>
    <w:rsid w:val="006E3C81"/>
    <w:rsid w:val="006E3D00"/>
    <w:rsid w:val="006E3F18"/>
    <w:rsid w:val="006E408D"/>
    <w:rsid w:val="006E4212"/>
    <w:rsid w:val="006E429C"/>
    <w:rsid w:val="006E4570"/>
    <w:rsid w:val="006E4BE9"/>
    <w:rsid w:val="006E4D78"/>
    <w:rsid w:val="006E4DD6"/>
    <w:rsid w:val="006E50D1"/>
    <w:rsid w:val="006E53CD"/>
    <w:rsid w:val="006E5660"/>
    <w:rsid w:val="006E56E0"/>
    <w:rsid w:val="006E58C7"/>
    <w:rsid w:val="006E5A11"/>
    <w:rsid w:val="006E5A80"/>
    <w:rsid w:val="006E5AC6"/>
    <w:rsid w:val="006E6B6D"/>
    <w:rsid w:val="006E6C6E"/>
    <w:rsid w:val="006E7055"/>
    <w:rsid w:val="006E7181"/>
    <w:rsid w:val="006E71E8"/>
    <w:rsid w:val="006E7488"/>
    <w:rsid w:val="006E74C4"/>
    <w:rsid w:val="006E761E"/>
    <w:rsid w:val="006E785A"/>
    <w:rsid w:val="006E78B5"/>
    <w:rsid w:val="006E7905"/>
    <w:rsid w:val="006F0A49"/>
    <w:rsid w:val="006F0D32"/>
    <w:rsid w:val="006F0FD7"/>
    <w:rsid w:val="006F1747"/>
    <w:rsid w:val="006F1EDE"/>
    <w:rsid w:val="006F1F51"/>
    <w:rsid w:val="006F2173"/>
    <w:rsid w:val="006F218F"/>
    <w:rsid w:val="006F2386"/>
    <w:rsid w:val="006F2539"/>
    <w:rsid w:val="006F2576"/>
    <w:rsid w:val="006F2AB9"/>
    <w:rsid w:val="006F2DFE"/>
    <w:rsid w:val="006F309A"/>
    <w:rsid w:val="006F32A5"/>
    <w:rsid w:val="006F3866"/>
    <w:rsid w:val="006F38AE"/>
    <w:rsid w:val="006F43D6"/>
    <w:rsid w:val="006F471D"/>
    <w:rsid w:val="006F47B2"/>
    <w:rsid w:val="006F4BD2"/>
    <w:rsid w:val="006F4CFD"/>
    <w:rsid w:val="006F4E1A"/>
    <w:rsid w:val="006F5B0D"/>
    <w:rsid w:val="006F5B2A"/>
    <w:rsid w:val="006F5CF3"/>
    <w:rsid w:val="006F5EFD"/>
    <w:rsid w:val="006F62A1"/>
    <w:rsid w:val="006F66AE"/>
    <w:rsid w:val="006F6B5D"/>
    <w:rsid w:val="006F7236"/>
    <w:rsid w:val="006F7478"/>
    <w:rsid w:val="006F7887"/>
    <w:rsid w:val="006F7980"/>
    <w:rsid w:val="006F7F21"/>
    <w:rsid w:val="006F7F65"/>
    <w:rsid w:val="00700006"/>
    <w:rsid w:val="00700670"/>
    <w:rsid w:val="00700979"/>
    <w:rsid w:val="00700A70"/>
    <w:rsid w:val="00700A81"/>
    <w:rsid w:val="00700CA7"/>
    <w:rsid w:val="00701400"/>
    <w:rsid w:val="0070188B"/>
    <w:rsid w:val="00701A55"/>
    <w:rsid w:val="00701B2C"/>
    <w:rsid w:val="00701C79"/>
    <w:rsid w:val="00702149"/>
    <w:rsid w:val="00702747"/>
    <w:rsid w:val="007029CF"/>
    <w:rsid w:val="00702A05"/>
    <w:rsid w:val="00702DD6"/>
    <w:rsid w:val="00703539"/>
    <w:rsid w:val="007035EE"/>
    <w:rsid w:val="0070381F"/>
    <w:rsid w:val="007039CB"/>
    <w:rsid w:val="0070401F"/>
    <w:rsid w:val="007041E8"/>
    <w:rsid w:val="00704213"/>
    <w:rsid w:val="00704549"/>
    <w:rsid w:val="0070589D"/>
    <w:rsid w:val="00705F9A"/>
    <w:rsid w:val="0070645C"/>
    <w:rsid w:val="00706BCB"/>
    <w:rsid w:val="00706BF1"/>
    <w:rsid w:val="007071CC"/>
    <w:rsid w:val="00707385"/>
    <w:rsid w:val="007079AC"/>
    <w:rsid w:val="00707B0D"/>
    <w:rsid w:val="00707B18"/>
    <w:rsid w:val="00707CC6"/>
    <w:rsid w:val="00710379"/>
    <w:rsid w:val="007106F3"/>
    <w:rsid w:val="0071075C"/>
    <w:rsid w:val="007108B1"/>
    <w:rsid w:val="00710BEE"/>
    <w:rsid w:val="00710D26"/>
    <w:rsid w:val="00710DD7"/>
    <w:rsid w:val="00710F38"/>
    <w:rsid w:val="0071109A"/>
    <w:rsid w:val="0071115F"/>
    <w:rsid w:val="007116FA"/>
    <w:rsid w:val="00711845"/>
    <w:rsid w:val="00711E06"/>
    <w:rsid w:val="007121CF"/>
    <w:rsid w:val="00712A7A"/>
    <w:rsid w:val="00712C34"/>
    <w:rsid w:val="00712E9C"/>
    <w:rsid w:val="0071323A"/>
    <w:rsid w:val="007133C0"/>
    <w:rsid w:val="00713910"/>
    <w:rsid w:val="00713D3F"/>
    <w:rsid w:val="00713FBF"/>
    <w:rsid w:val="0071405C"/>
    <w:rsid w:val="0071430F"/>
    <w:rsid w:val="00714494"/>
    <w:rsid w:val="00715000"/>
    <w:rsid w:val="0071511F"/>
    <w:rsid w:val="00715785"/>
    <w:rsid w:val="007157E2"/>
    <w:rsid w:val="00715833"/>
    <w:rsid w:val="007159D9"/>
    <w:rsid w:val="00715C52"/>
    <w:rsid w:val="00715C89"/>
    <w:rsid w:val="00715F18"/>
    <w:rsid w:val="00715FF5"/>
    <w:rsid w:val="0071620A"/>
    <w:rsid w:val="00716367"/>
    <w:rsid w:val="007163DF"/>
    <w:rsid w:val="0071682D"/>
    <w:rsid w:val="00716960"/>
    <w:rsid w:val="00716EFC"/>
    <w:rsid w:val="00716F0E"/>
    <w:rsid w:val="007170D3"/>
    <w:rsid w:val="00717471"/>
    <w:rsid w:val="007176D5"/>
    <w:rsid w:val="00717828"/>
    <w:rsid w:val="007178A3"/>
    <w:rsid w:val="00717B67"/>
    <w:rsid w:val="00717DE2"/>
    <w:rsid w:val="00717F7F"/>
    <w:rsid w:val="00717FFA"/>
    <w:rsid w:val="007200B6"/>
    <w:rsid w:val="0072015C"/>
    <w:rsid w:val="00720705"/>
    <w:rsid w:val="0072078D"/>
    <w:rsid w:val="00720856"/>
    <w:rsid w:val="0072097C"/>
    <w:rsid w:val="00720E90"/>
    <w:rsid w:val="007214D7"/>
    <w:rsid w:val="007216ED"/>
    <w:rsid w:val="00721793"/>
    <w:rsid w:val="007218E8"/>
    <w:rsid w:val="00721D37"/>
    <w:rsid w:val="00721DC2"/>
    <w:rsid w:val="00722C28"/>
    <w:rsid w:val="00722DF4"/>
    <w:rsid w:val="00722EE8"/>
    <w:rsid w:val="00723331"/>
    <w:rsid w:val="007234DE"/>
    <w:rsid w:val="007235AF"/>
    <w:rsid w:val="007235C3"/>
    <w:rsid w:val="00723871"/>
    <w:rsid w:val="00723D40"/>
    <w:rsid w:val="00723D50"/>
    <w:rsid w:val="0072404F"/>
    <w:rsid w:val="00724162"/>
    <w:rsid w:val="007245E3"/>
    <w:rsid w:val="00725192"/>
    <w:rsid w:val="00725426"/>
    <w:rsid w:val="0072559A"/>
    <w:rsid w:val="00725801"/>
    <w:rsid w:val="00725BA6"/>
    <w:rsid w:val="007263DE"/>
    <w:rsid w:val="00726450"/>
    <w:rsid w:val="00726686"/>
    <w:rsid w:val="00726694"/>
    <w:rsid w:val="00726780"/>
    <w:rsid w:val="007268B2"/>
    <w:rsid w:val="00726CF1"/>
    <w:rsid w:val="00726FCF"/>
    <w:rsid w:val="007270FD"/>
    <w:rsid w:val="00727249"/>
    <w:rsid w:val="00727380"/>
    <w:rsid w:val="00727805"/>
    <w:rsid w:val="00727B47"/>
    <w:rsid w:val="00727F0F"/>
    <w:rsid w:val="0073052A"/>
    <w:rsid w:val="007305A2"/>
    <w:rsid w:val="007307D1"/>
    <w:rsid w:val="0073084F"/>
    <w:rsid w:val="00730979"/>
    <w:rsid w:val="00730AEA"/>
    <w:rsid w:val="00730BBE"/>
    <w:rsid w:val="00730E71"/>
    <w:rsid w:val="00730E9D"/>
    <w:rsid w:val="007310F3"/>
    <w:rsid w:val="007314D5"/>
    <w:rsid w:val="00731C59"/>
    <w:rsid w:val="007320BB"/>
    <w:rsid w:val="00732586"/>
    <w:rsid w:val="00732707"/>
    <w:rsid w:val="00732917"/>
    <w:rsid w:val="00732A1C"/>
    <w:rsid w:val="00732D1B"/>
    <w:rsid w:val="00733102"/>
    <w:rsid w:val="00733309"/>
    <w:rsid w:val="007333AA"/>
    <w:rsid w:val="0073413A"/>
    <w:rsid w:val="007341B7"/>
    <w:rsid w:val="00734398"/>
    <w:rsid w:val="007343E0"/>
    <w:rsid w:val="00734B93"/>
    <w:rsid w:val="00734BC8"/>
    <w:rsid w:val="00734C9A"/>
    <w:rsid w:val="00734C9E"/>
    <w:rsid w:val="00734D8E"/>
    <w:rsid w:val="0073556E"/>
    <w:rsid w:val="007356F6"/>
    <w:rsid w:val="007357A5"/>
    <w:rsid w:val="00735A22"/>
    <w:rsid w:val="00735C86"/>
    <w:rsid w:val="00736030"/>
    <w:rsid w:val="00736665"/>
    <w:rsid w:val="00736720"/>
    <w:rsid w:val="00736F83"/>
    <w:rsid w:val="0073727E"/>
    <w:rsid w:val="00737784"/>
    <w:rsid w:val="00737A42"/>
    <w:rsid w:val="00737E20"/>
    <w:rsid w:val="00737FFB"/>
    <w:rsid w:val="00740418"/>
    <w:rsid w:val="00740D95"/>
    <w:rsid w:val="00740DD8"/>
    <w:rsid w:val="00741006"/>
    <w:rsid w:val="00741647"/>
    <w:rsid w:val="00741795"/>
    <w:rsid w:val="00741B3A"/>
    <w:rsid w:val="00741C69"/>
    <w:rsid w:val="00741C7E"/>
    <w:rsid w:val="00741EF2"/>
    <w:rsid w:val="00741FF8"/>
    <w:rsid w:val="0074253F"/>
    <w:rsid w:val="00742F03"/>
    <w:rsid w:val="00742F2B"/>
    <w:rsid w:val="007432A3"/>
    <w:rsid w:val="007433E1"/>
    <w:rsid w:val="007436F3"/>
    <w:rsid w:val="007443A9"/>
    <w:rsid w:val="00744828"/>
    <w:rsid w:val="0074484B"/>
    <w:rsid w:val="00744A73"/>
    <w:rsid w:val="00744A7A"/>
    <w:rsid w:val="007450A1"/>
    <w:rsid w:val="007453AE"/>
    <w:rsid w:val="0074557B"/>
    <w:rsid w:val="007455CD"/>
    <w:rsid w:val="007456D7"/>
    <w:rsid w:val="0074598E"/>
    <w:rsid w:val="00746039"/>
    <w:rsid w:val="007461EE"/>
    <w:rsid w:val="00746761"/>
    <w:rsid w:val="00746766"/>
    <w:rsid w:val="007467EB"/>
    <w:rsid w:val="00747064"/>
    <w:rsid w:val="00747130"/>
    <w:rsid w:val="00747188"/>
    <w:rsid w:val="007472E0"/>
    <w:rsid w:val="007473BD"/>
    <w:rsid w:val="007474E2"/>
    <w:rsid w:val="0074763D"/>
    <w:rsid w:val="007478CC"/>
    <w:rsid w:val="00750636"/>
    <w:rsid w:val="0075086F"/>
    <w:rsid w:val="00750B2B"/>
    <w:rsid w:val="00750B57"/>
    <w:rsid w:val="00750C69"/>
    <w:rsid w:val="0075104F"/>
    <w:rsid w:val="007511D4"/>
    <w:rsid w:val="00751B33"/>
    <w:rsid w:val="00751C5A"/>
    <w:rsid w:val="00752137"/>
    <w:rsid w:val="00752178"/>
    <w:rsid w:val="007522B7"/>
    <w:rsid w:val="00752E05"/>
    <w:rsid w:val="00752F82"/>
    <w:rsid w:val="00753010"/>
    <w:rsid w:val="0075380C"/>
    <w:rsid w:val="00753819"/>
    <w:rsid w:val="00753CFC"/>
    <w:rsid w:val="00753FF2"/>
    <w:rsid w:val="00754065"/>
    <w:rsid w:val="007541BB"/>
    <w:rsid w:val="00754286"/>
    <w:rsid w:val="007542A6"/>
    <w:rsid w:val="0075445E"/>
    <w:rsid w:val="0075455D"/>
    <w:rsid w:val="007546E0"/>
    <w:rsid w:val="007548FB"/>
    <w:rsid w:val="00754FB1"/>
    <w:rsid w:val="0075591C"/>
    <w:rsid w:val="00755A98"/>
    <w:rsid w:val="00755CE2"/>
    <w:rsid w:val="007560AC"/>
    <w:rsid w:val="00756238"/>
    <w:rsid w:val="0075643E"/>
    <w:rsid w:val="00756480"/>
    <w:rsid w:val="0075696C"/>
    <w:rsid w:val="007574F2"/>
    <w:rsid w:val="007575EF"/>
    <w:rsid w:val="00757B01"/>
    <w:rsid w:val="00757C77"/>
    <w:rsid w:val="00757CA5"/>
    <w:rsid w:val="007604AE"/>
    <w:rsid w:val="00760512"/>
    <w:rsid w:val="00760618"/>
    <w:rsid w:val="0076065C"/>
    <w:rsid w:val="0076087D"/>
    <w:rsid w:val="00760F1D"/>
    <w:rsid w:val="00761082"/>
    <w:rsid w:val="00761251"/>
    <w:rsid w:val="0076128D"/>
    <w:rsid w:val="00761291"/>
    <w:rsid w:val="00761381"/>
    <w:rsid w:val="007615E0"/>
    <w:rsid w:val="00761ABF"/>
    <w:rsid w:val="00761B36"/>
    <w:rsid w:val="00761C06"/>
    <w:rsid w:val="00761E5A"/>
    <w:rsid w:val="007625E1"/>
    <w:rsid w:val="0076275E"/>
    <w:rsid w:val="00762885"/>
    <w:rsid w:val="00762A0D"/>
    <w:rsid w:val="00762BC8"/>
    <w:rsid w:val="007631F9"/>
    <w:rsid w:val="007634E5"/>
    <w:rsid w:val="0076357C"/>
    <w:rsid w:val="007636BF"/>
    <w:rsid w:val="00763ACB"/>
    <w:rsid w:val="00763B4F"/>
    <w:rsid w:val="00763BE5"/>
    <w:rsid w:val="00763CE2"/>
    <w:rsid w:val="00763D52"/>
    <w:rsid w:val="00763F22"/>
    <w:rsid w:val="00764129"/>
    <w:rsid w:val="007641AF"/>
    <w:rsid w:val="00764304"/>
    <w:rsid w:val="00764499"/>
    <w:rsid w:val="007644D5"/>
    <w:rsid w:val="0076467F"/>
    <w:rsid w:val="00764A55"/>
    <w:rsid w:val="00764AA5"/>
    <w:rsid w:val="00764BA3"/>
    <w:rsid w:val="00764DD1"/>
    <w:rsid w:val="007655F6"/>
    <w:rsid w:val="00765617"/>
    <w:rsid w:val="007658D1"/>
    <w:rsid w:val="00765FEA"/>
    <w:rsid w:val="007663C8"/>
    <w:rsid w:val="00766775"/>
    <w:rsid w:val="00766D22"/>
    <w:rsid w:val="00767234"/>
    <w:rsid w:val="00767AEF"/>
    <w:rsid w:val="00770786"/>
    <w:rsid w:val="0077085D"/>
    <w:rsid w:val="00770F62"/>
    <w:rsid w:val="0077128E"/>
    <w:rsid w:val="00771DEC"/>
    <w:rsid w:val="00771F4A"/>
    <w:rsid w:val="0077227A"/>
    <w:rsid w:val="0077235A"/>
    <w:rsid w:val="007724C1"/>
    <w:rsid w:val="007725F0"/>
    <w:rsid w:val="007726CF"/>
    <w:rsid w:val="007728AC"/>
    <w:rsid w:val="007730BF"/>
    <w:rsid w:val="0077316E"/>
    <w:rsid w:val="00773291"/>
    <w:rsid w:val="007734D8"/>
    <w:rsid w:val="00773AE3"/>
    <w:rsid w:val="00773ED9"/>
    <w:rsid w:val="00773FDA"/>
    <w:rsid w:val="00774185"/>
    <w:rsid w:val="007743BC"/>
    <w:rsid w:val="00774634"/>
    <w:rsid w:val="0077466A"/>
    <w:rsid w:val="00774703"/>
    <w:rsid w:val="007747FC"/>
    <w:rsid w:val="00774F81"/>
    <w:rsid w:val="00775696"/>
    <w:rsid w:val="00775706"/>
    <w:rsid w:val="0077612E"/>
    <w:rsid w:val="00776584"/>
    <w:rsid w:val="0077678A"/>
    <w:rsid w:val="00776C86"/>
    <w:rsid w:val="00776DB9"/>
    <w:rsid w:val="00777011"/>
    <w:rsid w:val="00777A32"/>
    <w:rsid w:val="00777BF0"/>
    <w:rsid w:val="00777C09"/>
    <w:rsid w:val="00777E40"/>
    <w:rsid w:val="007800B6"/>
    <w:rsid w:val="0078017D"/>
    <w:rsid w:val="007801E0"/>
    <w:rsid w:val="00780435"/>
    <w:rsid w:val="00780806"/>
    <w:rsid w:val="00780A04"/>
    <w:rsid w:val="00780E31"/>
    <w:rsid w:val="0078159E"/>
    <w:rsid w:val="0078186C"/>
    <w:rsid w:val="007818F4"/>
    <w:rsid w:val="00781A14"/>
    <w:rsid w:val="00781E2C"/>
    <w:rsid w:val="00781EBB"/>
    <w:rsid w:val="00781F1E"/>
    <w:rsid w:val="00782306"/>
    <w:rsid w:val="00783681"/>
    <w:rsid w:val="0078377F"/>
    <w:rsid w:val="00783796"/>
    <w:rsid w:val="00783CBA"/>
    <w:rsid w:val="007846B5"/>
    <w:rsid w:val="007847A2"/>
    <w:rsid w:val="00784894"/>
    <w:rsid w:val="00784B59"/>
    <w:rsid w:val="00784F33"/>
    <w:rsid w:val="0078519E"/>
    <w:rsid w:val="007851FE"/>
    <w:rsid w:val="00785265"/>
    <w:rsid w:val="007855E9"/>
    <w:rsid w:val="00785738"/>
    <w:rsid w:val="00785821"/>
    <w:rsid w:val="00785A87"/>
    <w:rsid w:val="00785C52"/>
    <w:rsid w:val="00785FC8"/>
    <w:rsid w:val="007860F6"/>
    <w:rsid w:val="00786109"/>
    <w:rsid w:val="007864BB"/>
    <w:rsid w:val="00786653"/>
    <w:rsid w:val="00786BD8"/>
    <w:rsid w:val="00786C08"/>
    <w:rsid w:val="00786DA1"/>
    <w:rsid w:val="00786E73"/>
    <w:rsid w:val="00786EE6"/>
    <w:rsid w:val="007872FC"/>
    <w:rsid w:val="00787308"/>
    <w:rsid w:val="007874E3"/>
    <w:rsid w:val="0078760C"/>
    <w:rsid w:val="00787685"/>
    <w:rsid w:val="00787984"/>
    <w:rsid w:val="00787A83"/>
    <w:rsid w:val="00787D59"/>
    <w:rsid w:val="007909EF"/>
    <w:rsid w:val="00790A8D"/>
    <w:rsid w:val="00790BCC"/>
    <w:rsid w:val="007914B7"/>
    <w:rsid w:val="00791531"/>
    <w:rsid w:val="007916F9"/>
    <w:rsid w:val="0079172A"/>
    <w:rsid w:val="00791847"/>
    <w:rsid w:val="00791AB0"/>
    <w:rsid w:val="00791C01"/>
    <w:rsid w:val="0079201C"/>
    <w:rsid w:val="00792B05"/>
    <w:rsid w:val="00792E21"/>
    <w:rsid w:val="00792FBC"/>
    <w:rsid w:val="00793090"/>
    <w:rsid w:val="007932C5"/>
    <w:rsid w:val="0079390E"/>
    <w:rsid w:val="00793F5C"/>
    <w:rsid w:val="00793F9C"/>
    <w:rsid w:val="00794105"/>
    <w:rsid w:val="00794A55"/>
    <w:rsid w:val="00794D0A"/>
    <w:rsid w:val="00794E63"/>
    <w:rsid w:val="00794FC7"/>
    <w:rsid w:val="00795080"/>
    <w:rsid w:val="0079533D"/>
    <w:rsid w:val="00795B7A"/>
    <w:rsid w:val="00795C7F"/>
    <w:rsid w:val="00795FE9"/>
    <w:rsid w:val="0079654B"/>
    <w:rsid w:val="0079663C"/>
    <w:rsid w:val="007967E2"/>
    <w:rsid w:val="00796819"/>
    <w:rsid w:val="00796C27"/>
    <w:rsid w:val="00796FBE"/>
    <w:rsid w:val="0079708F"/>
    <w:rsid w:val="00797BC4"/>
    <w:rsid w:val="00797CA5"/>
    <w:rsid w:val="00797F79"/>
    <w:rsid w:val="00798488"/>
    <w:rsid w:val="007A027F"/>
    <w:rsid w:val="007A0C58"/>
    <w:rsid w:val="007A11F3"/>
    <w:rsid w:val="007A1493"/>
    <w:rsid w:val="007A1D1F"/>
    <w:rsid w:val="007A222C"/>
    <w:rsid w:val="007A22AD"/>
    <w:rsid w:val="007A23A0"/>
    <w:rsid w:val="007A3312"/>
    <w:rsid w:val="007A3493"/>
    <w:rsid w:val="007A34C5"/>
    <w:rsid w:val="007A35C5"/>
    <w:rsid w:val="007A3D9C"/>
    <w:rsid w:val="007A3E3D"/>
    <w:rsid w:val="007A3E61"/>
    <w:rsid w:val="007A3E99"/>
    <w:rsid w:val="007A42C1"/>
    <w:rsid w:val="007A433B"/>
    <w:rsid w:val="007A433D"/>
    <w:rsid w:val="007A5665"/>
    <w:rsid w:val="007A5B53"/>
    <w:rsid w:val="007A5BE6"/>
    <w:rsid w:val="007A5E47"/>
    <w:rsid w:val="007A6163"/>
    <w:rsid w:val="007A6435"/>
    <w:rsid w:val="007A6ACC"/>
    <w:rsid w:val="007A6C38"/>
    <w:rsid w:val="007A6C49"/>
    <w:rsid w:val="007A70DE"/>
    <w:rsid w:val="007A7451"/>
    <w:rsid w:val="007A753E"/>
    <w:rsid w:val="007A760D"/>
    <w:rsid w:val="007A7AD5"/>
    <w:rsid w:val="007A7D1B"/>
    <w:rsid w:val="007A7EF8"/>
    <w:rsid w:val="007B00A3"/>
    <w:rsid w:val="007B00E2"/>
    <w:rsid w:val="007B0159"/>
    <w:rsid w:val="007B03AF"/>
    <w:rsid w:val="007B063A"/>
    <w:rsid w:val="007B0815"/>
    <w:rsid w:val="007B0A0A"/>
    <w:rsid w:val="007B101F"/>
    <w:rsid w:val="007B1081"/>
    <w:rsid w:val="007B125B"/>
    <w:rsid w:val="007B1572"/>
    <w:rsid w:val="007B17D3"/>
    <w:rsid w:val="007B1888"/>
    <w:rsid w:val="007B1AB1"/>
    <w:rsid w:val="007B1AD7"/>
    <w:rsid w:val="007B276C"/>
    <w:rsid w:val="007B2797"/>
    <w:rsid w:val="007B282F"/>
    <w:rsid w:val="007B2907"/>
    <w:rsid w:val="007B2E3E"/>
    <w:rsid w:val="007B3018"/>
    <w:rsid w:val="007B30AE"/>
    <w:rsid w:val="007B30F1"/>
    <w:rsid w:val="007B310D"/>
    <w:rsid w:val="007B346A"/>
    <w:rsid w:val="007B3548"/>
    <w:rsid w:val="007B38B1"/>
    <w:rsid w:val="007B4183"/>
    <w:rsid w:val="007B42F9"/>
    <w:rsid w:val="007B4565"/>
    <w:rsid w:val="007B4831"/>
    <w:rsid w:val="007B5923"/>
    <w:rsid w:val="007B5B51"/>
    <w:rsid w:val="007B5C0C"/>
    <w:rsid w:val="007B63E9"/>
    <w:rsid w:val="007B649F"/>
    <w:rsid w:val="007B6AF2"/>
    <w:rsid w:val="007B6E27"/>
    <w:rsid w:val="007B6EF5"/>
    <w:rsid w:val="007B72B5"/>
    <w:rsid w:val="007B7593"/>
    <w:rsid w:val="007B7911"/>
    <w:rsid w:val="007B7DC3"/>
    <w:rsid w:val="007B7FCD"/>
    <w:rsid w:val="007C00E1"/>
    <w:rsid w:val="007C034C"/>
    <w:rsid w:val="007C0A78"/>
    <w:rsid w:val="007C0DA6"/>
    <w:rsid w:val="007C0FE6"/>
    <w:rsid w:val="007C10E7"/>
    <w:rsid w:val="007C10FA"/>
    <w:rsid w:val="007C150A"/>
    <w:rsid w:val="007C1BE7"/>
    <w:rsid w:val="007C1E89"/>
    <w:rsid w:val="007C1F3F"/>
    <w:rsid w:val="007C2791"/>
    <w:rsid w:val="007C2805"/>
    <w:rsid w:val="007C2990"/>
    <w:rsid w:val="007C3080"/>
    <w:rsid w:val="007C3A9D"/>
    <w:rsid w:val="007C409D"/>
    <w:rsid w:val="007C41FC"/>
    <w:rsid w:val="007C4465"/>
    <w:rsid w:val="007C4A4E"/>
    <w:rsid w:val="007C4A55"/>
    <w:rsid w:val="007C4D08"/>
    <w:rsid w:val="007C4DED"/>
    <w:rsid w:val="007C4F33"/>
    <w:rsid w:val="007C5176"/>
    <w:rsid w:val="007C540E"/>
    <w:rsid w:val="007C551D"/>
    <w:rsid w:val="007C5BA2"/>
    <w:rsid w:val="007C5C26"/>
    <w:rsid w:val="007C5C53"/>
    <w:rsid w:val="007C65F0"/>
    <w:rsid w:val="007C6685"/>
    <w:rsid w:val="007C6857"/>
    <w:rsid w:val="007C6AB5"/>
    <w:rsid w:val="007C6BBF"/>
    <w:rsid w:val="007C7176"/>
    <w:rsid w:val="007C72C7"/>
    <w:rsid w:val="007C737D"/>
    <w:rsid w:val="007C7EB7"/>
    <w:rsid w:val="007D0182"/>
    <w:rsid w:val="007D0300"/>
    <w:rsid w:val="007D05DC"/>
    <w:rsid w:val="007D0693"/>
    <w:rsid w:val="007D094F"/>
    <w:rsid w:val="007D0B1C"/>
    <w:rsid w:val="007D119F"/>
    <w:rsid w:val="007D180B"/>
    <w:rsid w:val="007D180D"/>
    <w:rsid w:val="007D23E3"/>
    <w:rsid w:val="007D240D"/>
    <w:rsid w:val="007D27FC"/>
    <w:rsid w:val="007D2849"/>
    <w:rsid w:val="007D28F2"/>
    <w:rsid w:val="007D2D69"/>
    <w:rsid w:val="007D2DE6"/>
    <w:rsid w:val="007D2FC3"/>
    <w:rsid w:val="007D322C"/>
    <w:rsid w:val="007D3752"/>
    <w:rsid w:val="007D3983"/>
    <w:rsid w:val="007D3B01"/>
    <w:rsid w:val="007D3DA7"/>
    <w:rsid w:val="007D42F8"/>
    <w:rsid w:val="007D4555"/>
    <w:rsid w:val="007D491D"/>
    <w:rsid w:val="007D4F4F"/>
    <w:rsid w:val="007D500F"/>
    <w:rsid w:val="007D5029"/>
    <w:rsid w:val="007D51FD"/>
    <w:rsid w:val="007D5B91"/>
    <w:rsid w:val="007D62E1"/>
    <w:rsid w:val="007D6E41"/>
    <w:rsid w:val="007D70B1"/>
    <w:rsid w:val="007D72B0"/>
    <w:rsid w:val="007D72D5"/>
    <w:rsid w:val="007D771E"/>
    <w:rsid w:val="007D77ED"/>
    <w:rsid w:val="007D7D0D"/>
    <w:rsid w:val="007E0083"/>
    <w:rsid w:val="007E05C6"/>
    <w:rsid w:val="007E0633"/>
    <w:rsid w:val="007E0F27"/>
    <w:rsid w:val="007E152A"/>
    <w:rsid w:val="007E160A"/>
    <w:rsid w:val="007E16DC"/>
    <w:rsid w:val="007E18F0"/>
    <w:rsid w:val="007E1909"/>
    <w:rsid w:val="007E1A11"/>
    <w:rsid w:val="007E1EB2"/>
    <w:rsid w:val="007E200D"/>
    <w:rsid w:val="007E23E2"/>
    <w:rsid w:val="007E26BB"/>
    <w:rsid w:val="007E2919"/>
    <w:rsid w:val="007E292D"/>
    <w:rsid w:val="007E2A2D"/>
    <w:rsid w:val="007E2F2D"/>
    <w:rsid w:val="007E2F78"/>
    <w:rsid w:val="007E385C"/>
    <w:rsid w:val="007E3918"/>
    <w:rsid w:val="007E3A8F"/>
    <w:rsid w:val="007E3ADF"/>
    <w:rsid w:val="007E3B44"/>
    <w:rsid w:val="007E3DA3"/>
    <w:rsid w:val="007E45BC"/>
    <w:rsid w:val="007E4CD0"/>
    <w:rsid w:val="007E501D"/>
    <w:rsid w:val="007E50B9"/>
    <w:rsid w:val="007E5671"/>
    <w:rsid w:val="007E571C"/>
    <w:rsid w:val="007E5759"/>
    <w:rsid w:val="007E5822"/>
    <w:rsid w:val="007E5827"/>
    <w:rsid w:val="007E5A85"/>
    <w:rsid w:val="007E5AF7"/>
    <w:rsid w:val="007E5C02"/>
    <w:rsid w:val="007E5E5C"/>
    <w:rsid w:val="007E6112"/>
    <w:rsid w:val="007E617E"/>
    <w:rsid w:val="007E641C"/>
    <w:rsid w:val="007E6532"/>
    <w:rsid w:val="007E679D"/>
    <w:rsid w:val="007E69F8"/>
    <w:rsid w:val="007E6BD5"/>
    <w:rsid w:val="007E6BED"/>
    <w:rsid w:val="007E6FC3"/>
    <w:rsid w:val="007E706C"/>
    <w:rsid w:val="007E737E"/>
    <w:rsid w:val="007E75E1"/>
    <w:rsid w:val="007E767A"/>
    <w:rsid w:val="007E7682"/>
    <w:rsid w:val="007E77BB"/>
    <w:rsid w:val="007E77CE"/>
    <w:rsid w:val="007E7CC9"/>
    <w:rsid w:val="007F004D"/>
    <w:rsid w:val="007F028B"/>
    <w:rsid w:val="007F09C2"/>
    <w:rsid w:val="007F0EBD"/>
    <w:rsid w:val="007F1163"/>
    <w:rsid w:val="007F130D"/>
    <w:rsid w:val="007F138C"/>
    <w:rsid w:val="007F15D6"/>
    <w:rsid w:val="007F1623"/>
    <w:rsid w:val="007F17AE"/>
    <w:rsid w:val="007F1FCF"/>
    <w:rsid w:val="007F2104"/>
    <w:rsid w:val="007F2248"/>
    <w:rsid w:val="007F23B3"/>
    <w:rsid w:val="007F26A2"/>
    <w:rsid w:val="007F27BD"/>
    <w:rsid w:val="007F27F7"/>
    <w:rsid w:val="007F2820"/>
    <w:rsid w:val="007F2827"/>
    <w:rsid w:val="007F290C"/>
    <w:rsid w:val="007F2AEA"/>
    <w:rsid w:val="007F2D88"/>
    <w:rsid w:val="007F34EF"/>
    <w:rsid w:val="007F374B"/>
    <w:rsid w:val="007F38D1"/>
    <w:rsid w:val="007F3AEE"/>
    <w:rsid w:val="007F3C77"/>
    <w:rsid w:val="007F3DD9"/>
    <w:rsid w:val="007F4978"/>
    <w:rsid w:val="007F4F5D"/>
    <w:rsid w:val="007F5112"/>
    <w:rsid w:val="007F5280"/>
    <w:rsid w:val="007F5628"/>
    <w:rsid w:val="007F5C70"/>
    <w:rsid w:val="007F64CA"/>
    <w:rsid w:val="007F6520"/>
    <w:rsid w:val="007F6BD2"/>
    <w:rsid w:val="007F6FF4"/>
    <w:rsid w:val="007F721B"/>
    <w:rsid w:val="007F73F0"/>
    <w:rsid w:val="007F76C3"/>
    <w:rsid w:val="007F7751"/>
    <w:rsid w:val="007F78EF"/>
    <w:rsid w:val="00800039"/>
    <w:rsid w:val="008000F6"/>
    <w:rsid w:val="008005CA"/>
    <w:rsid w:val="0080066D"/>
    <w:rsid w:val="00800C29"/>
    <w:rsid w:val="00800C71"/>
    <w:rsid w:val="00800DBA"/>
    <w:rsid w:val="0080107F"/>
    <w:rsid w:val="00801580"/>
    <w:rsid w:val="00801C69"/>
    <w:rsid w:val="00801EC4"/>
    <w:rsid w:val="00801F7F"/>
    <w:rsid w:val="008021D6"/>
    <w:rsid w:val="008024FA"/>
    <w:rsid w:val="008028DF"/>
    <w:rsid w:val="00802BA0"/>
    <w:rsid w:val="00802BDB"/>
    <w:rsid w:val="00802C3D"/>
    <w:rsid w:val="00802CA7"/>
    <w:rsid w:val="00802D56"/>
    <w:rsid w:val="00802FC2"/>
    <w:rsid w:val="00803381"/>
    <w:rsid w:val="008033D8"/>
    <w:rsid w:val="008035FB"/>
    <w:rsid w:val="0080396F"/>
    <w:rsid w:val="00803B87"/>
    <w:rsid w:val="00803D83"/>
    <w:rsid w:val="0080438A"/>
    <w:rsid w:val="008043E4"/>
    <w:rsid w:val="008044FE"/>
    <w:rsid w:val="00804DD0"/>
    <w:rsid w:val="00804F91"/>
    <w:rsid w:val="00805033"/>
    <w:rsid w:val="00805159"/>
    <w:rsid w:val="008052F4"/>
    <w:rsid w:val="00805436"/>
    <w:rsid w:val="00805506"/>
    <w:rsid w:val="00805C42"/>
    <w:rsid w:val="00805C59"/>
    <w:rsid w:val="00805EF0"/>
    <w:rsid w:val="008064CE"/>
    <w:rsid w:val="0080664B"/>
    <w:rsid w:val="0080694A"/>
    <w:rsid w:val="00806B79"/>
    <w:rsid w:val="0080704C"/>
    <w:rsid w:val="008078F3"/>
    <w:rsid w:val="00807B8C"/>
    <w:rsid w:val="00807BA0"/>
    <w:rsid w:val="00807EA2"/>
    <w:rsid w:val="00807EA9"/>
    <w:rsid w:val="00807ED8"/>
    <w:rsid w:val="00807F03"/>
    <w:rsid w:val="008103D3"/>
    <w:rsid w:val="00810807"/>
    <w:rsid w:val="00810861"/>
    <w:rsid w:val="00810C11"/>
    <w:rsid w:val="00811AC8"/>
    <w:rsid w:val="00811EC0"/>
    <w:rsid w:val="0081293F"/>
    <w:rsid w:val="00812AE4"/>
    <w:rsid w:val="00812D81"/>
    <w:rsid w:val="00812F43"/>
    <w:rsid w:val="00812F81"/>
    <w:rsid w:val="0081301B"/>
    <w:rsid w:val="008133FD"/>
    <w:rsid w:val="0081350A"/>
    <w:rsid w:val="0081395F"/>
    <w:rsid w:val="00813BB2"/>
    <w:rsid w:val="00813C3E"/>
    <w:rsid w:val="00813F37"/>
    <w:rsid w:val="008141AC"/>
    <w:rsid w:val="00814750"/>
    <w:rsid w:val="008149B5"/>
    <w:rsid w:val="00814CA2"/>
    <w:rsid w:val="00815456"/>
    <w:rsid w:val="00815B54"/>
    <w:rsid w:val="00815EAF"/>
    <w:rsid w:val="00816219"/>
    <w:rsid w:val="00816502"/>
    <w:rsid w:val="00816D3A"/>
    <w:rsid w:val="008170A4"/>
    <w:rsid w:val="00817412"/>
    <w:rsid w:val="00817421"/>
    <w:rsid w:val="008176A3"/>
    <w:rsid w:val="0082004F"/>
    <w:rsid w:val="00820078"/>
    <w:rsid w:val="00820342"/>
    <w:rsid w:val="008204ED"/>
    <w:rsid w:val="00820A3A"/>
    <w:rsid w:val="00820C7C"/>
    <w:rsid w:val="00820D39"/>
    <w:rsid w:val="00820E07"/>
    <w:rsid w:val="00820FE9"/>
    <w:rsid w:val="00821555"/>
    <w:rsid w:val="00821585"/>
    <w:rsid w:val="00821744"/>
    <w:rsid w:val="00821757"/>
    <w:rsid w:val="00821914"/>
    <w:rsid w:val="00821A93"/>
    <w:rsid w:val="00821BE1"/>
    <w:rsid w:val="00821E6F"/>
    <w:rsid w:val="00821FDD"/>
    <w:rsid w:val="00822137"/>
    <w:rsid w:val="008223C7"/>
    <w:rsid w:val="008223C9"/>
    <w:rsid w:val="008224B1"/>
    <w:rsid w:val="0082259D"/>
    <w:rsid w:val="0082285B"/>
    <w:rsid w:val="00822B5E"/>
    <w:rsid w:val="00822D5B"/>
    <w:rsid w:val="00823136"/>
    <w:rsid w:val="00823365"/>
    <w:rsid w:val="008233D3"/>
    <w:rsid w:val="008237D4"/>
    <w:rsid w:val="00823930"/>
    <w:rsid w:val="008239E0"/>
    <w:rsid w:val="00823F4C"/>
    <w:rsid w:val="00823F52"/>
    <w:rsid w:val="008240DF"/>
    <w:rsid w:val="0082427A"/>
    <w:rsid w:val="008246B8"/>
    <w:rsid w:val="00824B72"/>
    <w:rsid w:val="008250EA"/>
    <w:rsid w:val="008255DB"/>
    <w:rsid w:val="0082572A"/>
    <w:rsid w:val="00825738"/>
    <w:rsid w:val="00825B07"/>
    <w:rsid w:val="00825D34"/>
    <w:rsid w:val="008261AA"/>
    <w:rsid w:val="00826411"/>
    <w:rsid w:val="00826697"/>
    <w:rsid w:val="00826DE7"/>
    <w:rsid w:val="00827441"/>
    <w:rsid w:val="00827633"/>
    <w:rsid w:val="0082796D"/>
    <w:rsid w:val="00827B18"/>
    <w:rsid w:val="00827B92"/>
    <w:rsid w:val="00827BAB"/>
    <w:rsid w:val="00827BB7"/>
    <w:rsid w:val="00827C99"/>
    <w:rsid w:val="00827CFE"/>
    <w:rsid w:val="00827E5A"/>
    <w:rsid w:val="00830323"/>
    <w:rsid w:val="00830498"/>
    <w:rsid w:val="0083073C"/>
    <w:rsid w:val="00830945"/>
    <w:rsid w:val="00830D7E"/>
    <w:rsid w:val="0083152D"/>
    <w:rsid w:val="00831695"/>
    <w:rsid w:val="0083188A"/>
    <w:rsid w:val="00831B5B"/>
    <w:rsid w:val="00831D99"/>
    <w:rsid w:val="00831F6A"/>
    <w:rsid w:val="008326F4"/>
    <w:rsid w:val="008328E7"/>
    <w:rsid w:val="00832954"/>
    <w:rsid w:val="00832CBB"/>
    <w:rsid w:val="0083320A"/>
    <w:rsid w:val="0083344A"/>
    <w:rsid w:val="008334F3"/>
    <w:rsid w:val="008335A9"/>
    <w:rsid w:val="008337C3"/>
    <w:rsid w:val="0083383B"/>
    <w:rsid w:val="008338C7"/>
    <w:rsid w:val="00833CBF"/>
    <w:rsid w:val="00833E27"/>
    <w:rsid w:val="0083409C"/>
    <w:rsid w:val="00834782"/>
    <w:rsid w:val="008348A7"/>
    <w:rsid w:val="00834A8A"/>
    <w:rsid w:val="00834B85"/>
    <w:rsid w:val="00834DAF"/>
    <w:rsid w:val="00835661"/>
    <w:rsid w:val="00835A41"/>
    <w:rsid w:val="00835B89"/>
    <w:rsid w:val="00835F1E"/>
    <w:rsid w:val="008367C0"/>
    <w:rsid w:val="00836C0E"/>
    <w:rsid w:val="00836E89"/>
    <w:rsid w:val="008378EE"/>
    <w:rsid w:val="00837A48"/>
    <w:rsid w:val="008400AD"/>
    <w:rsid w:val="00840207"/>
    <w:rsid w:val="008402EB"/>
    <w:rsid w:val="0084061A"/>
    <w:rsid w:val="00840641"/>
    <w:rsid w:val="00840A53"/>
    <w:rsid w:val="00840AE5"/>
    <w:rsid w:val="00840C00"/>
    <w:rsid w:val="00840DEF"/>
    <w:rsid w:val="00840FDD"/>
    <w:rsid w:val="008414C9"/>
    <w:rsid w:val="0084196C"/>
    <w:rsid w:val="008419EA"/>
    <w:rsid w:val="00842074"/>
    <w:rsid w:val="008421D9"/>
    <w:rsid w:val="008425AC"/>
    <w:rsid w:val="008426FC"/>
    <w:rsid w:val="0084273B"/>
    <w:rsid w:val="0084294E"/>
    <w:rsid w:val="00842B06"/>
    <w:rsid w:val="008432E7"/>
    <w:rsid w:val="00843AAE"/>
    <w:rsid w:val="00843EC9"/>
    <w:rsid w:val="0084422E"/>
    <w:rsid w:val="0084434F"/>
    <w:rsid w:val="00844671"/>
    <w:rsid w:val="008447B3"/>
    <w:rsid w:val="00844880"/>
    <w:rsid w:val="00844CEE"/>
    <w:rsid w:val="00844DBC"/>
    <w:rsid w:val="00844E1F"/>
    <w:rsid w:val="00844ED9"/>
    <w:rsid w:val="00845264"/>
    <w:rsid w:val="00845A20"/>
    <w:rsid w:val="00845E98"/>
    <w:rsid w:val="00845EF0"/>
    <w:rsid w:val="00846080"/>
    <w:rsid w:val="00846267"/>
    <w:rsid w:val="00846684"/>
    <w:rsid w:val="00846BC4"/>
    <w:rsid w:val="00846F46"/>
    <w:rsid w:val="00846F70"/>
    <w:rsid w:val="008471A3"/>
    <w:rsid w:val="0084729A"/>
    <w:rsid w:val="00847715"/>
    <w:rsid w:val="00847AB7"/>
    <w:rsid w:val="00847B7B"/>
    <w:rsid w:val="008500E4"/>
    <w:rsid w:val="0085020B"/>
    <w:rsid w:val="008503A1"/>
    <w:rsid w:val="00850424"/>
    <w:rsid w:val="0085042A"/>
    <w:rsid w:val="0085067C"/>
    <w:rsid w:val="0085091A"/>
    <w:rsid w:val="00850A3E"/>
    <w:rsid w:val="00850DE2"/>
    <w:rsid w:val="008510AC"/>
    <w:rsid w:val="00851229"/>
    <w:rsid w:val="00851585"/>
    <w:rsid w:val="00851740"/>
    <w:rsid w:val="0085196E"/>
    <w:rsid w:val="00851A6C"/>
    <w:rsid w:val="00851AB8"/>
    <w:rsid w:val="00851F65"/>
    <w:rsid w:val="00852979"/>
    <w:rsid w:val="00852B21"/>
    <w:rsid w:val="00852BB5"/>
    <w:rsid w:val="00853486"/>
    <w:rsid w:val="00853500"/>
    <w:rsid w:val="008538B4"/>
    <w:rsid w:val="00853A08"/>
    <w:rsid w:val="0085403D"/>
    <w:rsid w:val="00854072"/>
    <w:rsid w:val="008545B1"/>
    <w:rsid w:val="00854F3D"/>
    <w:rsid w:val="00854FED"/>
    <w:rsid w:val="00854FFD"/>
    <w:rsid w:val="0085529B"/>
    <w:rsid w:val="00855761"/>
    <w:rsid w:val="00855916"/>
    <w:rsid w:val="00855A02"/>
    <w:rsid w:val="00855A7C"/>
    <w:rsid w:val="00855F18"/>
    <w:rsid w:val="008561E4"/>
    <w:rsid w:val="0085629C"/>
    <w:rsid w:val="00856649"/>
    <w:rsid w:val="00856B65"/>
    <w:rsid w:val="00856F2F"/>
    <w:rsid w:val="00857062"/>
    <w:rsid w:val="00857303"/>
    <w:rsid w:val="0085744C"/>
    <w:rsid w:val="00857BA4"/>
    <w:rsid w:val="00857DB6"/>
    <w:rsid w:val="00857F3B"/>
    <w:rsid w:val="008601ED"/>
    <w:rsid w:val="00860463"/>
    <w:rsid w:val="0086061C"/>
    <w:rsid w:val="008609DF"/>
    <w:rsid w:val="00860ABB"/>
    <w:rsid w:val="00860C34"/>
    <w:rsid w:val="00860E51"/>
    <w:rsid w:val="0086104B"/>
    <w:rsid w:val="00861558"/>
    <w:rsid w:val="00861C92"/>
    <w:rsid w:val="00861CC2"/>
    <w:rsid w:val="00861D60"/>
    <w:rsid w:val="00861F98"/>
    <w:rsid w:val="00862166"/>
    <w:rsid w:val="008621AC"/>
    <w:rsid w:val="008621E2"/>
    <w:rsid w:val="00862647"/>
    <w:rsid w:val="00862720"/>
    <w:rsid w:val="008628B9"/>
    <w:rsid w:val="00862B31"/>
    <w:rsid w:val="008632A0"/>
    <w:rsid w:val="00863A6B"/>
    <w:rsid w:val="00863D82"/>
    <w:rsid w:val="00864633"/>
    <w:rsid w:val="00864BB8"/>
    <w:rsid w:val="008650D7"/>
    <w:rsid w:val="00865176"/>
    <w:rsid w:val="0086532E"/>
    <w:rsid w:val="008653AA"/>
    <w:rsid w:val="00865AFF"/>
    <w:rsid w:val="00865C31"/>
    <w:rsid w:val="00865C3C"/>
    <w:rsid w:val="00866193"/>
    <w:rsid w:val="00866268"/>
    <w:rsid w:val="00866AFC"/>
    <w:rsid w:val="00866C42"/>
    <w:rsid w:val="008674F8"/>
    <w:rsid w:val="008678CD"/>
    <w:rsid w:val="00867BBB"/>
    <w:rsid w:val="00867CF5"/>
    <w:rsid w:val="00867E88"/>
    <w:rsid w:val="00867EA0"/>
    <w:rsid w:val="008704EB"/>
    <w:rsid w:val="008707E8"/>
    <w:rsid w:val="00870AC3"/>
    <w:rsid w:val="00870CF2"/>
    <w:rsid w:val="00870CF3"/>
    <w:rsid w:val="00871306"/>
    <w:rsid w:val="0087135F"/>
    <w:rsid w:val="008716FE"/>
    <w:rsid w:val="00871DB1"/>
    <w:rsid w:val="008722CE"/>
    <w:rsid w:val="008727F4"/>
    <w:rsid w:val="0087291A"/>
    <w:rsid w:val="00872BF7"/>
    <w:rsid w:val="00872BF9"/>
    <w:rsid w:val="00872C5E"/>
    <w:rsid w:val="008730C5"/>
    <w:rsid w:val="008731D1"/>
    <w:rsid w:val="008734CA"/>
    <w:rsid w:val="0087358A"/>
    <w:rsid w:val="00873D99"/>
    <w:rsid w:val="00873F7D"/>
    <w:rsid w:val="00874523"/>
    <w:rsid w:val="0087482A"/>
    <w:rsid w:val="00874B1E"/>
    <w:rsid w:val="00874B51"/>
    <w:rsid w:val="00874FFA"/>
    <w:rsid w:val="00875552"/>
    <w:rsid w:val="008756BE"/>
    <w:rsid w:val="008757C5"/>
    <w:rsid w:val="00875850"/>
    <w:rsid w:val="0087589C"/>
    <w:rsid w:val="00875B34"/>
    <w:rsid w:val="008763DD"/>
    <w:rsid w:val="008769FD"/>
    <w:rsid w:val="00876DB0"/>
    <w:rsid w:val="00877B1B"/>
    <w:rsid w:val="0088003D"/>
    <w:rsid w:val="008800A1"/>
    <w:rsid w:val="00880141"/>
    <w:rsid w:val="00880472"/>
    <w:rsid w:val="00880604"/>
    <w:rsid w:val="00880607"/>
    <w:rsid w:val="00880722"/>
    <w:rsid w:val="00880B0B"/>
    <w:rsid w:val="00880D1A"/>
    <w:rsid w:val="00880FDB"/>
    <w:rsid w:val="0088118F"/>
    <w:rsid w:val="00881255"/>
    <w:rsid w:val="00881264"/>
    <w:rsid w:val="00881364"/>
    <w:rsid w:val="00881A58"/>
    <w:rsid w:val="00881C95"/>
    <w:rsid w:val="00882273"/>
    <w:rsid w:val="008822AB"/>
    <w:rsid w:val="00882987"/>
    <w:rsid w:val="00882CF6"/>
    <w:rsid w:val="00882E21"/>
    <w:rsid w:val="008833ED"/>
    <w:rsid w:val="00883760"/>
    <w:rsid w:val="00883EE9"/>
    <w:rsid w:val="00884269"/>
    <w:rsid w:val="0088465D"/>
    <w:rsid w:val="00884AE8"/>
    <w:rsid w:val="008853E8"/>
    <w:rsid w:val="0088584C"/>
    <w:rsid w:val="00885984"/>
    <w:rsid w:val="008859D5"/>
    <w:rsid w:val="00885D65"/>
    <w:rsid w:val="00885F5B"/>
    <w:rsid w:val="00886298"/>
    <w:rsid w:val="00886511"/>
    <w:rsid w:val="008867B6"/>
    <w:rsid w:val="00886901"/>
    <w:rsid w:val="00886A0A"/>
    <w:rsid w:val="00886AB7"/>
    <w:rsid w:val="00886F4C"/>
    <w:rsid w:val="00887209"/>
    <w:rsid w:val="00887246"/>
    <w:rsid w:val="00887818"/>
    <w:rsid w:val="00887D2F"/>
    <w:rsid w:val="00887E28"/>
    <w:rsid w:val="00887EC1"/>
    <w:rsid w:val="008902F5"/>
    <w:rsid w:val="00890490"/>
    <w:rsid w:val="0089049F"/>
    <w:rsid w:val="00890566"/>
    <w:rsid w:val="008906E9"/>
    <w:rsid w:val="00890837"/>
    <w:rsid w:val="008909E6"/>
    <w:rsid w:val="00890A2A"/>
    <w:rsid w:val="00890AB8"/>
    <w:rsid w:val="0089106E"/>
    <w:rsid w:val="00891412"/>
    <w:rsid w:val="0089198F"/>
    <w:rsid w:val="00891C8C"/>
    <w:rsid w:val="00892025"/>
    <w:rsid w:val="00892225"/>
    <w:rsid w:val="008924C8"/>
    <w:rsid w:val="00892652"/>
    <w:rsid w:val="00892657"/>
    <w:rsid w:val="00892704"/>
    <w:rsid w:val="0089309C"/>
    <w:rsid w:val="008931FE"/>
    <w:rsid w:val="00893924"/>
    <w:rsid w:val="00893F67"/>
    <w:rsid w:val="00894115"/>
    <w:rsid w:val="0089482E"/>
    <w:rsid w:val="00894F33"/>
    <w:rsid w:val="00894F70"/>
    <w:rsid w:val="0089508A"/>
    <w:rsid w:val="00895899"/>
    <w:rsid w:val="00896509"/>
    <w:rsid w:val="00896597"/>
    <w:rsid w:val="008965C2"/>
    <w:rsid w:val="00896774"/>
    <w:rsid w:val="00896821"/>
    <w:rsid w:val="0089697B"/>
    <w:rsid w:val="00896A58"/>
    <w:rsid w:val="00896C1B"/>
    <w:rsid w:val="00896E99"/>
    <w:rsid w:val="0089745D"/>
    <w:rsid w:val="008976B7"/>
    <w:rsid w:val="00897A7B"/>
    <w:rsid w:val="00897B10"/>
    <w:rsid w:val="008A0570"/>
    <w:rsid w:val="008A0609"/>
    <w:rsid w:val="008A0882"/>
    <w:rsid w:val="008A09B5"/>
    <w:rsid w:val="008A0E9A"/>
    <w:rsid w:val="008A0F80"/>
    <w:rsid w:val="008A1020"/>
    <w:rsid w:val="008A1365"/>
    <w:rsid w:val="008A14AE"/>
    <w:rsid w:val="008A1BB8"/>
    <w:rsid w:val="008A1CA1"/>
    <w:rsid w:val="008A208C"/>
    <w:rsid w:val="008A2095"/>
    <w:rsid w:val="008A2307"/>
    <w:rsid w:val="008A2A67"/>
    <w:rsid w:val="008A2CCB"/>
    <w:rsid w:val="008A31CE"/>
    <w:rsid w:val="008A3267"/>
    <w:rsid w:val="008A3348"/>
    <w:rsid w:val="008A3425"/>
    <w:rsid w:val="008A34A4"/>
    <w:rsid w:val="008A36AC"/>
    <w:rsid w:val="008A3D9E"/>
    <w:rsid w:val="008A4008"/>
    <w:rsid w:val="008A40A4"/>
    <w:rsid w:val="008A4BBD"/>
    <w:rsid w:val="008A4F4B"/>
    <w:rsid w:val="008A52CC"/>
    <w:rsid w:val="008A53D9"/>
    <w:rsid w:val="008A53E6"/>
    <w:rsid w:val="008A5CEE"/>
    <w:rsid w:val="008A5E23"/>
    <w:rsid w:val="008A62BF"/>
    <w:rsid w:val="008A66DD"/>
    <w:rsid w:val="008A6CED"/>
    <w:rsid w:val="008A6D63"/>
    <w:rsid w:val="008A6F3D"/>
    <w:rsid w:val="008A7031"/>
    <w:rsid w:val="008A717E"/>
    <w:rsid w:val="008A74E8"/>
    <w:rsid w:val="008A7521"/>
    <w:rsid w:val="008A7527"/>
    <w:rsid w:val="008A772C"/>
    <w:rsid w:val="008A79AD"/>
    <w:rsid w:val="008A7A73"/>
    <w:rsid w:val="008B009A"/>
    <w:rsid w:val="008B0297"/>
    <w:rsid w:val="008B0404"/>
    <w:rsid w:val="008B05E1"/>
    <w:rsid w:val="008B0705"/>
    <w:rsid w:val="008B07F4"/>
    <w:rsid w:val="008B09DF"/>
    <w:rsid w:val="008B0DDE"/>
    <w:rsid w:val="008B0FFD"/>
    <w:rsid w:val="008B1123"/>
    <w:rsid w:val="008B11EE"/>
    <w:rsid w:val="008B135D"/>
    <w:rsid w:val="008B19A8"/>
    <w:rsid w:val="008B1A9E"/>
    <w:rsid w:val="008B1CC8"/>
    <w:rsid w:val="008B1D73"/>
    <w:rsid w:val="008B1DC9"/>
    <w:rsid w:val="008B21E9"/>
    <w:rsid w:val="008B2764"/>
    <w:rsid w:val="008B2A38"/>
    <w:rsid w:val="008B2B89"/>
    <w:rsid w:val="008B3205"/>
    <w:rsid w:val="008B34AD"/>
    <w:rsid w:val="008B355D"/>
    <w:rsid w:val="008B3569"/>
    <w:rsid w:val="008B363E"/>
    <w:rsid w:val="008B3845"/>
    <w:rsid w:val="008B389D"/>
    <w:rsid w:val="008B3CD4"/>
    <w:rsid w:val="008B4970"/>
    <w:rsid w:val="008B4A2E"/>
    <w:rsid w:val="008B4C1E"/>
    <w:rsid w:val="008B4C36"/>
    <w:rsid w:val="008B4E09"/>
    <w:rsid w:val="008B4FF4"/>
    <w:rsid w:val="008B5939"/>
    <w:rsid w:val="008B5A2D"/>
    <w:rsid w:val="008B5FBE"/>
    <w:rsid w:val="008B6488"/>
    <w:rsid w:val="008B68A1"/>
    <w:rsid w:val="008B68E3"/>
    <w:rsid w:val="008B6948"/>
    <w:rsid w:val="008B699F"/>
    <w:rsid w:val="008B6DC2"/>
    <w:rsid w:val="008B6F0C"/>
    <w:rsid w:val="008B7201"/>
    <w:rsid w:val="008B7708"/>
    <w:rsid w:val="008B77D4"/>
    <w:rsid w:val="008B7922"/>
    <w:rsid w:val="008B7A6A"/>
    <w:rsid w:val="008B7B60"/>
    <w:rsid w:val="008C06E3"/>
    <w:rsid w:val="008C0989"/>
    <w:rsid w:val="008C09E9"/>
    <w:rsid w:val="008C0EB5"/>
    <w:rsid w:val="008C10F0"/>
    <w:rsid w:val="008C15FD"/>
    <w:rsid w:val="008C1D1A"/>
    <w:rsid w:val="008C208B"/>
    <w:rsid w:val="008C2309"/>
    <w:rsid w:val="008C2A5F"/>
    <w:rsid w:val="008C39B3"/>
    <w:rsid w:val="008C3A87"/>
    <w:rsid w:val="008C3B96"/>
    <w:rsid w:val="008C3F3C"/>
    <w:rsid w:val="008C4015"/>
    <w:rsid w:val="008C421E"/>
    <w:rsid w:val="008C4523"/>
    <w:rsid w:val="008C47D6"/>
    <w:rsid w:val="008C4956"/>
    <w:rsid w:val="008C4C63"/>
    <w:rsid w:val="008C4D0E"/>
    <w:rsid w:val="008C4EF5"/>
    <w:rsid w:val="008C4F30"/>
    <w:rsid w:val="008C50EB"/>
    <w:rsid w:val="008C52C9"/>
    <w:rsid w:val="008C5448"/>
    <w:rsid w:val="008C5CFD"/>
    <w:rsid w:val="008C5D38"/>
    <w:rsid w:val="008C5D64"/>
    <w:rsid w:val="008C5FB2"/>
    <w:rsid w:val="008C6322"/>
    <w:rsid w:val="008C6945"/>
    <w:rsid w:val="008C6C4A"/>
    <w:rsid w:val="008C6ED5"/>
    <w:rsid w:val="008C706F"/>
    <w:rsid w:val="008C723C"/>
    <w:rsid w:val="008C7EEA"/>
    <w:rsid w:val="008D0010"/>
    <w:rsid w:val="008D01F7"/>
    <w:rsid w:val="008D04D6"/>
    <w:rsid w:val="008D07B7"/>
    <w:rsid w:val="008D0AA4"/>
    <w:rsid w:val="008D0C92"/>
    <w:rsid w:val="008D105A"/>
    <w:rsid w:val="008D1553"/>
    <w:rsid w:val="008D167D"/>
    <w:rsid w:val="008D1836"/>
    <w:rsid w:val="008D1AAC"/>
    <w:rsid w:val="008D1AF9"/>
    <w:rsid w:val="008D1F0D"/>
    <w:rsid w:val="008D23B6"/>
    <w:rsid w:val="008D24C0"/>
    <w:rsid w:val="008D2769"/>
    <w:rsid w:val="008D2B19"/>
    <w:rsid w:val="008D2C63"/>
    <w:rsid w:val="008D389F"/>
    <w:rsid w:val="008D3980"/>
    <w:rsid w:val="008D3AEC"/>
    <w:rsid w:val="008D3DEF"/>
    <w:rsid w:val="008D3E84"/>
    <w:rsid w:val="008D4319"/>
    <w:rsid w:val="008D4826"/>
    <w:rsid w:val="008D5649"/>
    <w:rsid w:val="008D58F0"/>
    <w:rsid w:val="008D5AB1"/>
    <w:rsid w:val="008D5C13"/>
    <w:rsid w:val="008D5CAC"/>
    <w:rsid w:val="008D651E"/>
    <w:rsid w:val="008D701F"/>
    <w:rsid w:val="008D70E0"/>
    <w:rsid w:val="008D72DE"/>
    <w:rsid w:val="008D7384"/>
    <w:rsid w:val="008E039B"/>
    <w:rsid w:val="008E08C8"/>
    <w:rsid w:val="008E1305"/>
    <w:rsid w:val="008E14D9"/>
    <w:rsid w:val="008E1804"/>
    <w:rsid w:val="008E18EA"/>
    <w:rsid w:val="008E1AF8"/>
    <w:rsid w:val="008E1B11"/>
    <w:rsid w:val="008E1B26"/>
    <w:rsid w:val="008E21D6"/>
    <w:rsid w:val="008E2225"/>
    <w:rsid w:val="008E2541"/>
    <w:rsid w:val="008E285A"/>
    <w:rsid w:val="008E2ECC"/>
    <w:rsid w:val="008E2EDB"/>
    <w:rsid w:val="008E30A0"/>
    <w:rsid w:val="008E3332"/>
    <w:rsid w:val="008E340D"/>
    <w:rsid w:val="008E364D"/>
    <w:rsid w:val="008E37AE"/>
    <w:rsid w:val="008E3833"/>
    <w:rsid w:val="008E401D"/>
    <w:rsid w:val="008E440E"/>
    <w:rsid w:val="008E47AF"/>
    <w:rsid w:val="008E4891"/>
    <w:rsid w:val="008E4D97"/>
    <w:rsid w:val="008E4DE9"/>
    <w:rsid w:val="008E532F"/>
    <w:rsid w:val="008E54B6"/>
    <w:rsid w:val="008E55C9"/>
    <w:rsid w:val="008E5618"/>
    <w:rsid w:val="008E56AD"/>
    <w:rsid w:val="008E58C4"/>
    <w:rsid w:val="008E67D9"/>
    <w:rsid w:val="008E6F4F"/>
    <w:rsid w:val="008E6F59"/>
    <w:rsid w:val="008F08AE"/>
    <w:rsid w:val="008F121F"/>
    <w:rsid w:val="008F1445"/>
    <w:rsid w:val="008F1653"/>
    <w:rsid w:val="008F1716"/>
    <w:rsid w:val="008F1816"/>
    <w:rsid w:val="008F19AC"/>
    <w:rsid w:val="008F1BA4"/>
    <w:rsid w:val="008F1E70"/>
    <w:rsid w:val="008F1F82"/>
    <w:rsid w:val="008F1FBC"/>
    <w:rsid w:val="008F20CC"/>
    <w:rsid w:val="008F212E"/>
    <w:rsid w:val="008F2915"/>
    <w:rsid w:val="008F2934"/>
    <w:rsid w:val="008F29EF"/>
    <w:rsid w:val="008F3459"/>
    <w:rsid w:val="008F3551"/>
    <w:rsid w:val="008F383C"/>
    <w:rsid w:val="008F3905"/>
    <w:rsid w:val="008F3C62"/>
    <w:rsid w:val="008F3E60"/>
    <w:rsid w:val="008F40E8"/>
    <w:rsid w:val="008F40E9"/>
    <w:rsid w:val="008F454D"/>
    <w:rsid w:val="008F4665"/>
    <w:rsid w:val="008F46FE"/>
    <w:rsid w:val="008F49E1"/>
    <w:rsid w:val="008F4C04"/>
    <w:rsid w:val="008F4C45"/>
    <w:rsid w:val="008F52AD"/>
    <w:rsid w:val="008F533E"/>
    <w:rsid w:val="008F5836"/>
    <w:rsid w:val="008F588F"/>
    <w:rsid w:val="008F5FC2"/>
    <w:rsid w:val="008F6085"/>
    <w:rsid w:val="008F633D"/>
    <w:rsid w:val="008F6529"/>
    <w:rsid w:val="008F6798"/>
    <w:rsid w:val="008F68F9"/>
    <w:rsid w:val="008F6A51"/>
    <w:rsid w:val="008F6ABD"/>
    <w:rsid w:val="008F6C68"/>
    <w:rsid w:val="008F6F76"/>
    <w:rsid w:val="008F7029"/>
    <w:rsid w:val="008F7123"/>
    <w:rsid w:val="008F72FB"/>
    <w:rsid w:val="008F7674"/>
    <w:rsid w:val="008F76CF"/>
    <w:rsid w:val="008F78F8"/>
    <w:rsid w:val="008F7905"/>
    <w:rsid w:val="008F7A51"/>
    <w:rsid w:val="0090004B"/>
    <w:rsid w:val="009000ED"/>
    <w:rsid w:val="00900519"/>
    <w:rsid w:val="00900590"/>
    <w:rsid w:val="009005B2"/>
    <w:rsid w:val="0090062E"/>
    <w:rsid w:val="00900AEA"/>
    <w:rsid w:val="00900DCB"/>
    <w:rsid w:val="00900F83"/>
    <w:rsid w:val="009011C2"/>
    <w:rsid w:val="00901634"/>
    <w:rsid w:val="00901700"/>
    <w:rsid w:val="00901E74"/>
    <w:rsid w:val="00902E6E"/>
    <w:rsid w:val="0090304E"/>
    <w:rsid w:val="0090373E"/>
    <w:rsid w:val="00903F8B"/>
    <w:rsid w:val="009041CF"/>
    <w:rsid w:val="0090429B"/>
    <w:rsid w:val="00904B3F"/>
    <w:rsid w:val="00904B81"/>
    <w:rsid w:val="00904D34"/>
    <w:rsid w:val="00904EFB"/>
    <w:rsid w:val="009055DC"/>
    <w:rsid w:val="00905E5D"/>
    <w:rsid w:val="00905F77"/>
    <w:rsid w:val="00905F94"/>
    <w:rsid w:val="00906BF2"/>
    <w:rsid w:val="00907312"/>
    <w:rsid w:val="0090764A"/>
    <w:rsid w:val="00907A59"/>
    <w:rsid w:val="00907B00"/>
    <w:rsid w:val="00907E67"/>
    <w:rsid w:val="00907E85"/>
    <w:rsid w:val="00910229"/>
    <w:rsid w:val="009106E4"/>
    <w:rsid w:val="00910CBE"/>
    <w:rsid w:val="00910F2A"/>
    <w:rsid w:val="00911548"/>
    <w:rsid w:val="009117C4"/>
    <w:rsid w:val="00911E43"/>
    <w:rsid w:val="00911F73"/>
    <w:rsid w:val="00912333"/>
    <w:rsid w:val="00912B2F"/>
    <w:rsid w:val="0091307F"/>
    <w:rsid w:val="00913805"/>
    <w:rsid w:val="009138B1"/>
    <w:rsid w:val="00913A8C"/>
    <w:rsid w:val="00913DF4"/>
    <w:rsid w:val="00913FA4"/>
    <w:rsid w:val="00913FC6"/>
    <w:rsid w:val="00913FCE"/>
    <w:rsid w:val="00914386"/>
    <w:rsid w:val="009144CE"/>
    <w:rsid w:val="00914666"/>
    <w:rsid w:val="00914C1E"/>
    <w:rsid w:val="00914C2B"/>
    <w:rsid w:val="00914CCF"/>
    <w:rsid w:val="0091516A"/>
    <w:rsid w:val="009156EB"/>
    <w:rsid w:val="009158DD"/>
    <w:rsid w:val="0091597C"/>
    <w:rsid w:val="00915E7C"/>
    <w:rsid w:val="0091635A"/>
    <w:rsid w:val="009163B9"/>
    <w:rsid w:val="00916634"/>
    <w:rsid w:val="00916960"/>
    <w:rsid w:val="00916C63"/>
    <w:rsid w:val="00916E0D"/>
    <w:rsid w:val="00917015"/>
    <w:rsid w:val="00917780"/>
    <w:rsid w:val="009177DC"/>
    <w:rsid w:val="00917955"/>
    <w:rsid w:val="00917D88"/>
    <w:rsid w:val="009200E2"/>
    <w:rsid w:val="0092018D"/>
    <w:rsid w:val="009209AF"/>
    <w:rsid w:val="00920B33"/>
    <w:rsid w:val="00921044"/>
    <w:rsid w:val="009210BD"/>
    <w:rsid w:val="009212EF"/>
    <w:rsid w:val="00921C02"/>
    <w:rsid w:val="00921F9B"/>
    <w:rsid w:val="00922098"/>
    <w:rsid w:val="0092211F"/>
    <w:rsid w:val="0092295B"/>
    <w:rsid w:val="009229A3"/>
    <w:rsid w:val="00922E28"/>
    <w:rsid w:val="00923572"/>
    <w:rsid w:val="009235FD"/>
    <w:rsid w:val="00923664"/>
    <w:rsid w:val="00923A01"/>
    <w:rsid w:val="0092426E"/>
    <w:rsid w:val="009245CA"/>
    <w:rsid w:val="00924747"/>
    <w:rsid w:val="00924CEE"/>
    <w:rsid w:val="00925E03"/>
    <w:rsid w:val="00925EB0"/>
    <w:rsid w:val="00926411"/>
    <w:rsid w:val="0092646C"/>
    <w:rsid w:val="00926A34"/>
    <w:rsid w:val="00926B9C"/>
    <w:rsid w:val="0092732F"/>
    <w:rsid w:val="00927839"/>
    <w:rsid w:val="00927B09"/>
    <w:rsid w:val="00927C0B"/>
    <w:rsid w:val="00927D1A"/>
    <w:rsid w:val="00927EBC"/>
    <w:rsid w:val="009303BE"/>
    <w:rsid w:val="00930571"/>
    <w:rsid w:val="009306C1"/>
    <w:rsid w:val="0093091C"/>
    <w:rsid w:val="00930D40"/>
    <w:rsid w:val="0093106A"/>
    <w:rsid w:val="009314B5"/>
    <w:rsid w:val="0093161E"/>
    <w:rsid w:val="00931690"/>
    <w:rsid w:val="009319FF"/>
    <w:rsid w:val="00931AA8"/>
    <w:rsid w:val="00931C6D"/>
    <w:rsid w:val="00931CF6"/>
    <w:rsid w:val="00931E90"/>
    <w:rsid w:val="00932050"/>
    <w:rsid w:val="009323EF"/>
    <w:rsid w:val="009326E9"/>
    <w:rsid w:val="00932757"/>
    <w:rsid w:val="009327C7"/>
    <w:rsid w:val="00932B80"/>
    <w:rsid w:val="00932F4A"/>
    <w:rsid w:val="00933219"/>
    <w:rsid w:val="009339F8"/>
    <w:rsid w:val="009341F0"/>
    <w:rsid w:val="00934302"/>
    <w:rsid w:val="0093491E"/>
    <w:rsid w:val="00934B70"/>
    <w:rsid w:val="00934C35"/>
    <w:rsid w:val="00934D89"/>
    <w:rsid w:val="00935262"/>
    <w:rsid w:val="009352AD"/>
    <w:rsid w:val="00935351"/>
    <w:rsid w:val="009355E1"/>
    <w:rsid w:val="00935F0A"/>
    <w:rsid w:val="009364FE"/>
    <w:rsid w:val="009365EC"/>
    <w:rsid w:val="00936810"/>
    <w:rsid w:val="0093727C"/>
    <w:rsid w:val="00937637"/>
    <w:rsid w:val="0093773B"/>
    <w:rsid w:val="009378BF"/>
    <w:rsid w:val="0093794F"/>
    <w:rsid w:val="00937E89"/>
    <w:rsid w:val="00940B87"/>
    <w:rsid w:val="00940C82"/>
    <w:rsid w:val="00940EFD"/>
    <w:rsid w:val="009418C3"/>
    <w:rsid w:val="00941A09"/>
    <w:rsid w:val="00941C01"/>
    <w:rsid w:val="009421D6"/>
    <w:rsid w:val="00942357"/>
    <w:rsid w:val="00942906"/>
    <w:rsid w:val="00942C2D"/>
    <w:rsid w:val="00942CD4"/>
    <w:rsid w:val="0094311E"/>
    <w:rsid w:val="009434C4"/>
    <w:rsid w:val="00943669"/>
    <w:rsid w:val="009438D2"/>
    <w:rsid w:val="00943BED"/>
    <w:rsid w:val="00943F71"/>
    <w:rsid w:val="00943FEA"/>
    <w:rsid w:val="0094428D"/>
    <w:rsid w:val="009446CE"/>
    <w:rsid w:val="009448C8"/>
    <w:rsid w:val="0094498B"/>
    <w:rsid w:val="00944E7E"/>
    <w:rsid w:val="00944EED"/>
    <w:rsid w:val="00945120"/>
    <w:rsid w:val="0094514C"/>
    <w:rsid w:val="00945554"/>
    <w:rsid w:val="009459B4"/>
    <w:rsid w:val="00946201"/>
    <w:rsid w:val="009465FD"/>
    <w:rsid w:val="009468C4"/>
    <w:rsid w:val="00946B81"/>
    <w:rsid w:val="00946C55"/>
    <w:rsid w:val="00946C5C"/>
    <w:rsid w:val="00947179"/>
    <w:rsid w:val="00947719"/>
    <w:rsid w:val="00947893"/>
    <w:rsid w:val="00947C1B"/>
    <w:rsid w:val="00947D20"/>
    <w:rsid w:val="00947E98"/>
    <w:rsid w:val="0094C3CD"/>
    <w:rsid w:val="009500A6"/>
    <w:rsid w:val="00950157"/>
    <w:rsid w:val="0095042F"/>
    <w:rsid w:val="0095089F"/>
    <w:rsid w:val="009509AB"/>
    <w:rsid w:val="00950DA6"/>
    <w:rsid w:val="00950ECE"/>
    <w:rsid w:val="009511A2"/>
    <w:rsid w:val="009514B7"/>
    <w:rsid w:val="0095153B"/>
    <w:rsid w:val="00951A34"/>
    <w:rsid w:val="00952073"/>
    <w:rsid w:val="009520FE"/>
    <w:rsid w:val="009522BA"/>
    <w:rsid w:val="00952538"/>
    <w:rsid w:val="009526D0"/>
    <w:rsid w:val="009529CC"/>
    <w:rsid w:val="00952E06"/>
    <w:rsid w:val="0095304E"/>
    <w:rsid w:val="00953237"/>
    <w:rsid w:val="00953349"/>
    <w:rsid w:val="0095369E"/>
    <w:rsid w:val="00953C9F"/>
    <w:rsid w:val="009544BC"/>
    <w:rsid w:val="00954734"/>
    <w:rsid w:val="00954A9F"/>
    <w:rsid w:val="00954C07"/>
    <w:rsid w:val="009551DF"/>
    <w:rsid w:val="009552FE"/>
    <w:rsid w:val="0095556C"/>
    <w:rsid w:val="009555AF"/>
    <w:rsid w:val="00955839"/>
    <w:rsid w:val="00955C55"/>
    <w:rsid w:val="00955D63"/>
    <w:rsid w:val="00955D96"/>
    <w:rsid w:val="00955F8E"/>
    <w:rsid w:val="009562A8"/>
    <w:rsid w:val="009562FC"/>
    <w:rsid w:val="009564E8"/>
    <w:rsid w:val="00956512"/>
    <w:rsid w:val="009565DE"/>
    <w:rsid w:val="009566F0"/>
    <w:rsid w:val="00956983"/>
    <w:rsid w:val="009569D7"/>
    <w:rsid w:val="00956ADB"/>
    <w:rsid w:val="00956D40"/>
    <w:rsid w:val="00957453"/>
    <w:rsid w:val="00957B60"/>
    <w:rsid w:val="00960805"/>
    <w:rsid w:val="00960844"/>
    <w:rsid w:val="0096093B"/>
    <w:rsid w:val="00960997"/>
    <w:rsid w:val="00960E10"/>
    <w:rsid w:val="00961030"/>
    <w:rsid w:val="0096158F"/>
    <w:rsid w:val="00961BBA"/>
    <w:rsid w:val="00962858"/>
    <w:rsid w:val="0096292D"/>
    <w:rsid w:val="00963333"/>
    <w:rsid w:val="009637FF"/>
    <w:rsid w:val="009638BD"/>
    <w:rsid w:val="00963967"/>
    <w:rsid w:val="00963A5A"/>
    <w:rsid w:val="00963BC6"/>
    <w:rsid w:val="00963C89"/>
    <w:rsid w:val="00963CB2"/>
    <w:rsid w:val="00963DBD"/>
    <w:rsid w:val="00963F8B"/>
    <w:rsid w:val="00964088"/>
    <w:rsid w:val="00964460"/>
    <w:rsid w:val="009644D3"/>
    <w:rsid w:val="00964871"/>
    <w:rsid w:val="00964F5F"/>
    <w:rsid w:val="009656BA"/>
    <w:rsid w:val="009658A7"/>
    <w:rsid w:val="00965CB3"/>
    <w:rsid w:val="00966272"/>
    <w:rsid w:val="009669A9"/>
    <w:rsid w:val="00966BC0"/>
    <w:rsid w:val="00966D3C"/>
    <w:rsid w:val="00966F6A"/>
    <w:rsid w:val="0096717F"/>
    <w:rsid w:val="009672A5"/>
    <w:rsid w:val="00967393"/>
    <w:rsid w:val="009675BF"/>
    <w:rsid w:val="009676F5"/>
    <w:rsid w:val="00967C26"/>
    <w:rsid w:val="00967CDD"/>
    <w:rsid w:val="00967D0B"/>
    <w:rsid w:val="00967DE0"/>
    <w:rsid w:val="00967F9C"/>
    <w:rsid w:val="009700C2"/>
    <w:rsid w:val="00970965"/>
    <w:rsid w:val="00970B9A"/>
    <w:rsid w:val="0097121A"/>
    <w:rsid w:val="00971B26"/>
    <w:rsid w:val="00971BD7"/>
    <w:rsid w:val="00972369"/>
    <w:rsid w:val="00972692"/>
    <w:rsid w:val="0097292C"/>
    <w:rsid w:val="00972D2F"/>
    <w:rsid w:val="00972E44"/>
    <w:rsid w:val="0097365B"/>
    <w:rsid w:val="009736FB"/>
    <w:rsid w:val="0097387E"/>
    <w:rsid w:val="009738E0"/>
    <w:rsid w:val="009738F1"/>
    <w:rsid w:val="00973A20"/>
    <w:rsid w:val="00973D8D"/>
    <w:rsid w:val="00973F1A"/>
    <w:rsid w:val="0097417C"/>
    <w:rsid w:val="0097423D"/>
    <w:rsid w:val="009742DA"/>
    <w:rsid w:val="00974AAB"/>
    <w:rsid w:val="00974E5C"/>
    <w:rsid w:val="00974EFE"/>
    <w:rsid w:val="00975508"/>
    <w:rsid w:val="00975774"/>
    <w:rsid w:val="0097580A"/>
    <w:rsid w:val="00975848"/>
    <w:rsid w:val="009758B6"/>
    <w:rsid w:val="00975A31"/>
    <w:rsid w:val="00975B7C"/>
    <w:rsid w:val="00975C90"/>
    <w:rsid w:val="00975F3C"/>
    <w:rsid w:val="00976023"/>
    <w:rsid w:val="00976235"/>
    <w:rsid w:val="00976575"/>
    <w:rsid w:val="009769F7"/>
    <w:rsid w:val="00976C3F"/>
    <w:rsid w:val="00977087"/>
    <w:rsid w:val="00977788"/>
    <w:rsid w:val="00977B06"/>
    <w:rsid w:val="00977BAE"/>
    <w:rsid w:val="00977CE7"/>
    <w:rsid w:val="00977CF4"/>
    <w:rsid w:val="009804EB"/>
    <w:rsid w:val="00980811"/>
    <w:rsid w:val="009812A4"/>
    <w:rsid w:val="009814CE"/>
    <w:rsid w:val="0098150C"/>
    <w:rsid w:val="0098184E"/>
    <w:rsid w:val="0098199C"/>
    <w:rsid w:val="00981F54"/>
    <w:rsid w:val="00982094"/>
    <w:rsid w:val="0098288F"/>
    <w:rsid w:val="00982D10"/>
    <w:rsid w:val="00982E56"/>
    <w:rsid w:val="00982EF2"/>
    <w:rsid w:val="00983140"/>
    <w:rsid w:val="009831A7"/>
    <w:rsid w:val="00983234"/>
    <w:rsid w:val="0098327E"/>
    <w:rsid w:val="00983862"/>
    <w:rsid w:val="009839C0"/>
    <w:rsid w:val="00984093"/>
    <w:rsid w:val="00984118"/>
    <w:rsid w:val="00984211"/>
    <w:rsid w:val="00984434"/>
    <w:rsid w:val="0098466F"/>
    <w:rsid w:val="00984C00"/>
    <w:rsid w:val="00984D51"/>
    <w:rsid w:val="00985954"/>
    <w:rsid w:val="00985994"/>
    <w:rsid w:val="009859DE"/>
    <w:rsid w:val="00985C20"/>
    <w:rsid w:val="00986049"/>
    <w:rsid w:val="009861DD"/>
    <w:rsid w:val="009862A5"/>
    <w:rsid w:val="00986789"/>
    <w:rsid w:val="0098682F"/>
    <w:rsid w:val="00986EBE"/>
    <w:rsid w:val="0098706C"/>
    <w:rsid w:val="009870FF"/>
    <w:rsid w:val="0098775D"/>
    <w:rsid w:val="009879F3"/>
    <w:rsid w:val="00987C6A"/>
    <w:rsid w:val="00987D3A"/>
    <w:rsid w:val="00987DDC"/>
    <w:rsid w:val="00987F06"/>
    <w:rsid w:val="0099011D"/>
    <w:rsid w:val="00990152"/>
    <w:rsid w:val="009904BF"/>
    <w:rsid w:val="00991289"/>
    <w:rsid w:val="009912BD"/>
    <w:rsid w:val="009912E4"/>
    <w:rsid w:val="00991407"/>
    <w:rsid w:val="00991BC5"/>
    <w:rsid w:val="009920B4"/>
    <w:rsid w:val="00992315"/>
    <w:rsid w:val="00992616"/>
    <w:rsid w:val="00992697"/>
    <w:rsid w:val="009928DA"/>
    <w:rsid w:val="00992923"/>
    <w:rsid w:val="00992CEC"/>
    <w:rsid w:val="00993285"/>
    <w:rsid w:val="00993776"/>
    <w:rsid w:val="00993AED"/>
    <w:rsid w:val="00993DF7"/>
    <w:rsid w:val="00993FA9"/>
    <w:rsid w:val="00994643"/>
    <w:rsid w:val="009946B2"/>
    <w:rsid w:val="00994C9B"/>
    <w:rsid w:val="00994DD1"/>
    <w:rsid w:val="00994EA4"/>
    <w:rsid w:val="009951AC"/>
    <w:rsid w:val="009956A4"/>
    <w:rsid w:val="00995C37"/>
    <w:rsid w:val="00995E7D"/>
    <w:rsid w:val="00996682"/>
    <w:rsid w:val="00997332"/>
    <w:rsid w:val="00997D7F"/>
    <w:rsid w:val="00997DB7"/>
    <w:rsid w:val="009A05BD"/>
    <w:rsid w:val="009A07AE"/>
    <w:rsid w:val="009A08CB"/>
    <w:rsid w:val="009A0C00"/>
    <w:rsid w:val="009A1413"/>
    <w:rsid w:val="009A14B8"/>
    <w:rsid w:val="009A175F"/>
    <w:rsid w:val="009A1954"/>
    <w:rsid w:val="009A1E0D"/>
    <w:rsid w:val="009A1EA1"/>
    <w:rsid w:val="009A1EB6"/>
    <w:rsid w:val="009A21CC"/>
    <w:rsid w:val="009A2683"/>
    <w:rsid w:val="009A2A2A"/>
    <w:rsid w:val="009A2AE0"/>
    <w:rsid w:val="009A2E8F"/>
    <w:rsid w:val="009A2FEE"/>
    <w:rsid w:val="009A3149"/>
    <w:rsid w:val="009A341E"/>
    <w:rsid w:val="009A35CB"/>
    <w:rsid w:val="009A36C5"/>
    <w:rsid w:val="009A3C4A"/>
    <w:rsid w:val="009A4415"/>
    <w:rsid w:val="009A4754"/>
    <w:rsid w:val="009A48BF"/>
    <w:rsid w:val="009A4939"/>
    <w:rsid w:val="009A4C6B"/>
    <w:rsid w:val="009A515B"/>
    <w:rsid w:val="009A54F7"/>
    <w:rsid w:val="009A565C"/>
    <w:rsid w:val="009A5734"/>
    <w:rsid w:val="009A57AC"/>
    <w:rsid w:val="009A57C1"/>
    <w:rsid w:val="009A5BD4"/>
    <w:rsid w:val="009A6453"/>
    <w:rsid w:val="009A64B9"/>
    <w:rsid w:val="009A6A70"/>
    <w:rsid w:val="009A6CAB"/>
    <w:rsid w:val="009A76CB"/>
    <w:rsid w:val="009A7882"/>
    <w:rsid w:val="009A7A2A"/>
    <w:rsid w:val="009A7DCE"/>
    <w:rsid w:val="009A7F23"/>
    <w:rsid w:val="009B0118"/>
    <w:rsid w:val="009B02E5"/>
    <w:rsid w:val="009B0E51"/>
    <w:rsid w:val="009B128B"/>
    <w:rsid w:val="009B165F"/>
    <w:rsid w:val="009B179A"/>
    <w:rsid w:val="009B27F7"/>
    <w:rsid w:val="009B30F8"/>
    <w:rsid w:val="009B3135"/>
    <w:rsid w:val="009B35BC"/>
    <w:rsid w:val="009B36B3"/>
    <w:rsid w:val="009B37B2"/>
    <w:rsid w:val="009B3DE8"/>
    <w:rsid w:val="009B3EBF"/>
    <w:rsid w:val="009B3FA3"/>
    <w:rsid w:val="009B41D4"/>
    <w:rsid w:val="009B450D"/>
    <w:rsid w:val="009B4555"/>
    <w:rsid w:val="009B49C4"/>
    <w:rsid w:val="009B4AA6"/>
    <w:rsid w:val="009B4AB8"/>
    <w:rsid w:val="009B4D0F"/>
    <w:rsid w:val="009B4D9E"/>
    <w:rsid w:val="009B4F02"/>
    <w:rsid w:val="009B4F90"/>
    <w:rsid w:val="009B51A7"/>
    <w:rsid w:val="009B5761"/>
    <w:rsid w:val="009B5A09"/>
    <w:rsid w:val="009B5AD4"/>
    <w:rsid w:val="009B5C84"/>
    <w:rsid w:val="009B5DA2"/>
    <w:rsid w:val="009B5E7F"/>
    <w:rsid w:val="009B6070"/>
    <w:rsid w:val="009B6185"/>
    <w:rsid w:val="009B6607"/>
    <w:rsid w:val="009B66EA"/>
    <w:rsid w:val="009B6A56"/>
    <w:rsid w:val="009B6C88"/>
    <w:rsid w:val="009B6F78"/>
    <w:rsid w:val="009B7124"/>
    <w:rsid w:val="009B7644"/>
    <w:rsid w:val="009B7875"/>
    <w:rsid w:val="009B7883"/>
    <w:rsid w:val="009B78B4"/>
    <w:rsid w:val="009B7A4A"/>
    <w:rsid w:val="009B7C6E"/>
    <w:rsid w:val="009B7CAE"/>
    <w:rsid w:val="009C0108"/>
    <w:rsid w:val="009C0155"/>
    <w:rsid w:val="009C027E"/>
    <w:rsid w:val="009C04D5"/>
    <w:rsid w:val="009C0557"/>
    <w:rsid w:val="009C05C4"/>
    <w:rsid w:val="009C0808"/>
    <w:rsid w:val="009C0B06"/>
    <w:rsid w:val="009C0B2B"/>
    <w:rsid w:val="009C0E04"/>
    <w:rsid w:val="009C0F64"/>
    <w:rsid w:val="009C1134"/>
    <w:rsid w:val="009C17D3"/>
    <w:rsid w:val="009C1909"/>
    <w:rsid w:val="009C1ABA"/>
    <w:rsid w:val="009C1D52"/>
    <w:rsid w:val="009C2147"/>
    <w:rsid w:val="009C221B"/>
    <w:rsid w:val="009C26BC"/>
    <w:rsid w:val="009C2910"/>
    <w:rsid w:val="009C2C80"/>
    <w:rsid w:val="009C2F0D"/>
    <w:rsid w:val="009C2F3B"/>
    <w:rsid w:val="009C312A"/>
    <w:rsid w:val="009C31DD"/>
    <w:rsid w:val="009C377C"/>
    <w:rsid w:val="009C38B2"/>
    <w:rsid w:val="009C3CDD"/>
    <w:rsid w:val="009C3F96"/>
    <w:rsid w:val="009C3F98"/>
    <w:rsid w:val="009C3FDC"/>
    <w:rsid w:val="009C430E"/>
    <w:rsid w:val="009C43A8"/>
    <w:rsid w:val="009C4949"/>
    <w:rsid w:val="009C4A0F"/>
    <w:rsid w:val="009C4AAC"/>
    <w:rsid w:val="009C4AF3"/>
    <w:rsid w:val="009C504D"/>
    <w:rsid w:val="009C56F7"/>
    <w:rsid w:val="009C56FD"/>
    <w:rsid w:val="009C5894"/>
    <w:rsid w:val="009C5D60"/>
    <w:rsid w:val="009C5F2E"/>
    <w:rsid w:val="009C616C"/>
    <w:rsid w:val="009C643B"/>
    <w:rsid w:val="009C6D33"/>
    <w:rsid w:val="009C6DD5"/>
    <w:rsid w:val="009C6EED"/>
    <w:rsid w:val="009C7459"/>
    <w:rsid w:val="009C76A2"/>
    <w:rsid w:val="009C7C5B"/>
    <w:rsid w:val="009C7E76"/>
    <w:rsid w:val="009C7F3F"/>
    <w:rsid w:val="009D0549"/>
    <w:rsid w:val="009D1189"/>
    <w:rsid w:val="009D1301"/>
    <w:rsid w:val="009D13F0"/>
    <w:rsid w:val="009D155D"/>
    <w:rsid w:val="009D160F"/>
    <w:rsid w:val="009D1B97"/>
    <w:rsid w:val="009D1E5F"/>
    <w:rsid w:val="009D1E8E"/>
    <w:rsid w:val="009D2066"/>
    <w:rsid w:val="009D2122"/>
    <w:rsid w:val="009D243A"/>
    <w:rsid w:val="009D2475"/>
    <w:rsid w:val="009D24FC"/>
    <w:rsid w:val="009D260B"/>
    <w:rsid w:val="009D263F"/>
    <w:rsid w:val="009D2DAB"/>
    <w:rsid w:val="009D2FE3"/>
    <w:rsid w:val="009D3124"/>
    <w:rsid w:val="009D323B"/>
    <w:rsid w:val="009D3331"/>
    <w:rsid w:val="009D34FC"/>
    <w:rsid w:val="009D3723"/>
    <w:rsid w:val="009D3972"/>
    <w:rsid w:val="009D3AC0"/>
    <w:rsid w:val="009D3B26"/>
    <w:rsid w:val="009D3BE4"/>
    <w:rsid w:val="009D3E43"/>
    <w:rsid w:val="009D425B"/>
    <w:rsid w:val="009D439B"/>
    <w:rsid w:val="009D451E"/>
    <w:rsid w:val="009D4677"/>
    <w:rsid w:val="009D4899"/>
    <w:rsid w:val="009D4D66"/>
    <w:rsid w:val="009D4FED"/>
    <w:rsid w:val="009D50DE"/>
    <w:rsid w:val="009D50FF"/>
    <w:rsid w:val="009D5475"/>
    <w:rsid w:val="009D5C55"/>
    <w:rsid w:val="009D5F3A"/>
    <w:rsid w:val="009D626A"/>
    <w:rsid w:val="009D63D9"/>
    <w:rsid w:val="009D671A"/>
    <w:rsid w:val="009D697D"/>
    <w:rsid w:val="009D720B"/>
    <w:rsid w:val="009D75B4"/>
    <w:rsid w:val="009D7665"/>
    <w:rsid w:val="009D7A52"/>
    <w:rsid w:val="009D7C5C"/>
    <w:rsid w:val="009E01EF"/>
    <w:rsid w:val="009E04A6"/>
    <w:rsid w:val="009E080E"/>
    <w:rsid w:val="009E0971"/>
    <w:rsid w:val="009E0BA3"/>
    <w:rsid w:val="009E0D68"/>
    <w:rsid w:val="009E0DE7"/>
    <w:rsid w:val="009E1918"/>
    <w:rsid w:val="009E1AFC"/>
    <w:rsid w:val="009E1BA6"/>
    <w:rsid w:val="009E1C34"/>
    <w:rsid w:val="009E1D62"/>
    <w:rsid w:val="009E1EDE"/>
    <w:rsid w:val="009E20BE"/>
    <w:rsid w:val="009E23A9"/>
    <w:rsid w:val="009E23ED"/>
    <w:rsid w:val="009E26EA"/>
    <w:rsid w:val="009E3008"/>
    <w:rsid w:val="009E324E"/>
    <w:rsid w:val="009E3650"/>
    <w:rsid w:val="009E3911"/>
    <w:rsid w:val="009E4040"/>
    <w:rsid w:val="009E4599"/>
    <w:rsid w:val="009E47AF"/>
    <w:rsid w:val="009E4A7F"/>
    <w:rsid w:val="009E4B4E"/>
    <w:rsid w:val="009E4B7B"/>
    <w:rsid w:val="009E531A"/>
    <w:rsid w:val="009E58F5"/>
    <w:rsid w:val="009E5E37"/>
    <w:rsid w:val="009E62AD"/>
    <w:rsid w:val="009E64B1"/>
    <w:rsid w:val="009E64EA"/>
    <w:rsid w:val="009E665A"/>
    <w:rsid w:val="009E66B0"/>
    <w:rsid w:val="009E6A8A"/>
    <w:rsid w:val="009E6DCF"/>
    <w:rsid w:val="009E6E47"/>
    <w:rsid w:val="009E6F67"/>
    <w:rsid w:val="009E7175"/>
    <w:rsid w:val="009E7203"/>
    <w:rsid w:val="009E7805"/>
    <w:rsid w:val="009F00C2"/>
    <w:rsid w:val="009F03A7"/>
    <w:rsid w:val="009F0718"/>
    <w:rsid w:val="009F0CF0"/>
    <w:rsid w:val="009F1484"/>
    <w:rsid w:val="009F2756"/>
    <w:rsid w:val="009F2793"/>
    <w:rsid w:val="009F2917"/>
    <w:rsid w:val="009F2B1A"/>
    <w:rsid w:val="009F2DF9"/>
    <w:rsid w:val="009F30BA"/>
    <w:rsid w:val="009F335B"/>
    <w:rsid w:val="009F355F"/>
    <w:rsid w:val="009F3919"/>
    <w:rsid w:val="009F3AA4"/>
    <w:rsid w:val="009F3D73"/>
    <w:rsid w:val="009F4137"/>
    <w:rsid w:val="009F42DD"/>
    <w:rsid w:val="009F4415"/>
    <w:rsid w:val="009F4832"/>
    <w:rsid w:val="009F4D47"/>
    <w:rsid w:val="009F5025"/>
    <w:rsid w:val="009F5194"/>
    <w:rsid w:val="009F526E"/>
    <w:rsid w:val="009F5347"/>
    <w:rsid w:val="009F5720"/>
    <w:rsid w:val="009F5724"/>
    <w:rsid w:val="009F5A6B"/>
    <w:rsid w:val="009F5E2D"/>
    <w:rsid w:val="009F5E95"/>
    <w:rsid w:val="009F6016"/>
    <w:rsid w:val="009F637F"/>
    <w:rsid w:val="009F6675"/>
    <w:rsid w:val="009F6A77"/>
    <w:rsid w:val="009F6EC9"/>
    <w:rsid w:val="009F73B0"/>
    <w:rsid w:val="009F73D1"/>
    <w:rsid w:val="009F7B41"/>
    <w:rsid w:val="009F7C71"/>
    <w:rsid w:val="00A00726"/>
    <w:rsid w:val="00A01471"/>
    <w:rsid w:val="00A01553"/>
    <w:rsid w:val="00A01750"/>
    <w:rsid w:val="00A0177B"/>
    <w:rsid w:val="00A01F82"/>
    <w:rsid w:val="00A0209C"/>
    <w:rsid w:val="00A02A28"/>
    <w:rsid w:val="00A02B33"/>
    <w:rsid w:val="00A02C39"/>
    <w:rsid w:val="00A02D0A"/>
    <w:rsid w:val="00A02F38"/>
    <w:rsid w:val="00A034B9"/>
    <w:rsid w:val="00A034D0"/>
    <w:rsid w:val="00A03599"/>
    <w:rsid w:val="00A03C24"/>
    <w:rsid w:val="00A03C6D"/>
    <w:rsid w:val="00A03D3E"/>
    <w:rsid w:val="00A03E4C"/>
    <w:rsid w:val="00A0408F"/>
    <w:rsid w:val="00A044D6"/>
    <w:rsid w:val="00A04F2D"/>
    <w:rsid w:val="00A05158"/>
    <w:rsid w:val="00A0537B"/>
    <w:rsid w:val="00A0577F"/>
    <w:rsid w:val="00A05A5F"/>
    <w:rsid w:val="00A05B7D"/>
    <w:rsid w:val="00A0608C"/>
    <w:rsid w:val="00A061E2"/>
    <w:rsid w:val="00A066F8"/>
    <w:rsid w:val="00A06A67"/>
    <w:rsid w:val="00A06A8E"/>
    <w:rsid w:val="00A06AC2"/>
    <w:rsid w:val="00A06CF4"/>
    <w:rsid w:val="00A06E9A"/>
    <w:rsid w:val="00A06F4A"/>
    <w:rsid w:val="00A070B2"/>
    <w:rsid w:val="00A070C9"/>
    <w:rsid w:val="00A07200"/>
    <w:rsid w:val="00A0721A"/>
    <w:rsid w:val="00A07428"/>
    <w:rsid w:val="00A0749F"/>
    <w:rsid w:val="00A07C19"/>
    <w:rsid w:val="00A104C8"/>
    <w:rsid w:val="00A1071A"/>
    <w:rsid w:val="00A10B2A"/>
    <w:rsid w:val="00A110AB"/>
    <w:rsid w:val="00A112F7"/>
    <w:rsid w:val="00A114D4"/>
    <w:rsid w:val="00A115D6"/>
    <w:rsid w:val="00A11691"/>
    <w:rsid w:val="00A11759"/>
    <w:rsid w:val="00A11A43"/>
    <w:rsid w:val="00A11E01"/>
    <w:rsid w:val="00A1209E"/>
    <w:rsid w:val="00A12156"/>
    <w:rsid w:val="00A1289B"/>
    <w:rsid w:val="00A13239"/>
    <w:rsid w:val="00A132E7"/>
    <w:rsid w:val="00A133D1"/>
    <w:rsid w:val="00A13AB9"/>
    <w:rsid w:val="00A140F9"/>
    <w:rsid w:val="00A1410E"/>
    <w:rsid w:val="00A144CA"/>
    <w:rsid w:val="00A1467A"/>
    <w:rsid w:val="00A15228"/>
    <w:rsid w:val="00A1577F"/>
    <w:rsid w:val="00A15AAB"/>
    <w:rsid w:val="00A15C97"/>
    <w:rsid w:val="00A16398"/>
    <w:rsid w:val="00A16A8C"/>
    <w:rsid w:val="00A16C36"/>
    <w:rsid w:val="00A16C48"/>
    <w:rsid w:val="00A16D57"/>
    <w:rsid w:val="00A170BB"/>
    <w:rsid w:val="00A17763"/>
    <w:rsid w:val="00A17A86"/>
    <w:rsid w:val="00A17A96"/>
    <w:rsid w:val="00A17AC4"/>
    <w:rsid w:val="00A2005E"/>
    <w:rsid w:val="00A20084"/>
    <w:rsid w:val="00A20178"/>
    <w:rsid w:val="00A20201"/>
    <w:rsid w:val="00A206BF"/>
    <w:rsid w:val="00A2070B"/>
    <w:rsid w:val="00A2075E"/>
    <w:rsid w:val="00A207A7"/>
    <w:rsid w:val="00A213F6"/>
    <w:rsid w:val="00A2188A"/>
    <w:rsid w:val="00A22028"/>
    <w:rsid w:val="00A229C3"/>
    <w:rsid w:val="00A22DCC"/>
    <w:rsid w:val="00A22F6A"/>
    <w:rsid w:val="00A2303B"/>
    <w:rsid w:val="00A23229"/>
    <w:rsid w:val="00A2380E"/>
    <w:rsid w:val="00A23B1C"/>
    <w:rsid w:val="00A23BEF"/>
    <w:rsid w:val="00A24779"/>
    <w:rsid w:val="00A2489D"/>
    <w:rsid w:val="00A24C31"/>
    <w:rsid w:val="00A24DAA"/>
    <w:rsid w:val="00A2546C"/>
    <w:rsid w:val="00A254CC"/>
    <w:rsid w:val="00A260B4"/>
    <w:rsid w:val="00A261C3"/>
    <w:rsid w:val="00A26349"/>
    <w:rsid w:val="00A2639F"/>
    <w:rsid w:val="00A265F0"/>
    <w:rsid w:val="00A267DB"/>
    <w:rsid w:val="00A26989"/>
    <w:rsid w:val="00A29CA1"/>
    <w:rsid w:val="00A3036E"/>
    <w:rsid w:val="00A30433"/>
    <w:rsid w:val="00A30769"/>
    <w:rsid w:val="00A30889"/>
    <w:rsid w:val="00A3091C"/>
    <w:rsid w:val="00A30963"/>
    <w:rsid w:val="00A30B18"/>
    <w:rsid w:val="00A30D3D"/>
    <w:rsid w:val="00A316B4"/>
    <w:rsid w:val="00A31F42"/>
    <w:rsid w:val="00A31F89"/>
    <w:rsid w:val="00A3283D"/>
    <w:rsid w:val="00A328E5"/>
    <w:rsid w:val="00A328F8"/>
    <w:rsid w:val="00A32A16"/>
    <w:rsid w:val="00A32A7F"/>
    <w:rsid w:val="00A32AA0"/>
    <w:rsid w:val="00A32BEB"/>
    <w:rsid w:val="00A32EC1"/>
    <w:rsid w:val="00A331C4"/>
    <w:rsid w:val="00A335BE"/>
    <w:rsid w:val="00A33B39"/>
    <w:rsid w:val="00A3444D"/>
    <w:rsid w:val="00A345CD"/>
    <w:rsid w:val="00A3463A"/>
    <w:rsid w:val="00A3485B"/>
    <w:rsid w:val="00A356FB"/>
    <w:rsid w:val="00A35EBC"/>
    <w:rsid w:val="00A3609E"/>
    <w:rsid w:val="00A3611C"/>
    <w:rsid w:val="00A3650D"/>
    <w:rsid w:val="00A36A83"/>
    <w:rsid w:val="00A36D21"/>
    <w:rsid w:val="00A36DA9"/>
    <w:rsid w:val="00A36F04"/>
    <w:rsid w:val="00A370D5"/>
    <w:rsid w:val="00A37306"/>
    <w:rsid w:val="00A377A5"/>
    <w:rsid w:val="00A379FF"/>
    <w:rsid w:val="00A37D6B"/>
    <w:rsid w:val="00A37D7B"/>
    <w:rsid w:val="00A37DD8"/>
    <w:rsid w:val="00A37E29"/>
    <w:rsid w:val="00A40566"/>
    <w:rsid w:val="00A40A99"/>
    <w:rsid w:val="00A40DF9"/>
    <w:rsid w:val="00A411F6"/>
    <w:rsid w:val="00A41261"/>
    <w:rsid w:val="00A412EB"/>
    <w:rsid w:val="00A416C2"/>
    <w:rsid w:val="00A41A9A"/>
    <w:rsid w:val="00A41BA2"/>
    <w:rsid w:val="00A4200E"/>
    <w:rsid w:val="00A4248E"/>
    <w:rsid w:val="00A4287C"/>
    <w:rsid w:val="00A42A86"/>
    <w:rsid w:val="00A42C74"/>
    <w:rsid w:val="00A42F7A"/>
    <w:rsid w:val="00A4305A"/>
    <w:rsid w:val="00A436D6"/>
    <w:rsid w:val="00A436F0"/>
    <w:rsid w:val="00A437BC"/>
    <w:rsid w:val="00A43834"/>
    <w:rsid w:val="00A4398F"/>
    <w:rsid w:val="00A43CE8"/>
    <w:rsid w:val="00A43CEC"/>
    <w:rsid w:val="00A44061"/>
    <w:rsid w:val="00A443F2"/>
    <w:rsid w:val="00A44566"/>
    <w:rsid w:val="00A447EE"/>
    <w:rsid w:val="00A4492B"/>
    <w:rsid w:val="00A44A30"/>
    <w:rsid w:val="00A450E1"/>
    <w:rsid w:val="00A45221"/>
    <w:rsid w:val="00A4528C"/>
    <w:rsid w:val="00A45319"/>
    <w:rsid w:val="00A45667"/>
    <w:rsid w:val="00A45A59"/>
    <w:rsid w:val="00A46111"/>
    <w:rsid w:val="00A465A3"/>
    <w:rsid w:val="00A46BFD"/>
    <w:rsid w:val="00A470E3"/>
    <w:rsid w:val="00A473A0"/>
    <w:rsid w:val="00A47487"/>
    <w:rsid w:val="00A477F6"/>
    <w:rsid w:val="00A503F8"/>
    <w:rsid w:val="00A51122"/>
    <w:rsid w:val="00A51275"/>
    <w:rsid w:val="00A51927"/>
    <w:rsid w:val="00A52127"/>
    <w:rsid w:val="00A522D5"/>
    <w:rsid w:val="00A52858"/>
    <w:rsid w:val="00A52B85"/>
    <w:rsid w:val="00A53075"/>
    <w:rsid w:val="00A5463B"/>
    <w:rsid w:val="00A54710"/>
    <w:rsid w:val="00A54762"/>
    <w:rsid w:val="00A54F86"/>
    <w:rsid w:val="00A55E71"/>
    <w:rsid w:val="00A56078"/>
    <w:rsid w:val="00A56131"/>
    <w:rsid w:val="00A56689"/>
    <w:rsid w:val="00A5671C"/>
    <w:rsid w:val="00A5743D"/>
    <w:rsid w:val="00A577E9"/>
    <w:rsid w:val="00A57C8A"/>
    <w:rsid w:val="00A57D63"/>
    <w:rsid w:val="00A57FF7"/>
    <w:rsid w:val="00A60AA7"/>
    <w:rsid w:val="00A60B7E"/>
    <w:rsid w:val="00A61523"/>
    <w:rsid w:val="00A6165E"/>
    <w:rsid w:val="00A6170C"/>
    <w:rsid w:val="00A61936"/>
    <w:rsid w:val="00A61D42"/>
    <w:rsid w:val="00A6211B"/>
    <w:rsid w:val="00A62254"/>
    <w:rsid w:val="00A62BDB"/>
    <w:rsid w:val="00A62DBA"/>
    <w:rsid w:val="00A63159"/>
    <w:rsid w:val="00A63402"/>
    <w:rsid w:val="00A636E7"/>
    <w:rsid w:val="00A638DC"/>
    <w:rsid w:val="00A63C78"/>
    <w:rsid w:val="00A63DA8"/>
    <w:rsid w:val="00A63E55"/>
    <w:rsid w:val="00A64038"/>
    <w:rsid w:val="00A6428A"/>
    <w:rsid w:val="00A642CB"/>
    <w:rsid w:val="00A647E4"/>
    <w:rsid w:val="00A64B2F"/>
    <w:rsid w:val="00A64CA6"/>
    <w:rsid w:val="00A64D1B"/>
    <w:rsid w:val="00A652A2"/>
    <w:rsid w:val="00A65CEF"/>
    <w:rsid w:val="00A65E73"/>
    <w:rsid w:val="00A66270"/>
    <w:rsid w:val="00A67122"/>
    <w:rsid w:val="00A6774F"/>
    <w:rsid w:val="00A678A6"/>
    <w:rsid w:val="00A67AEB"/>
    <w:rsid w:val="00A701CF"/>
    <w:rsid w:val="00A704BF"/>
    <w:rsid w:val="00A70826"/>
    <w:rsid w:val="00A70E87"/>
    <w:rsid w:val="00A713FD"/>
    <w:rsid w:val="00A71633"/>
    <w:rsid w:val="00A7188D"/>
    <w:rsid w:val="00A71989"/>
    <w:rsid w:val="00A7217D"/>
    <w:rsid w:val="00A72248"/>
    <w:rsid w:val="00A72254"/>
    <w:rsid w:val="00A725ED"/>
    <w:rsid w:val="00A72A18"/>
    <w:rsid w:val="00A72CA5"/>
    <w:rsid w:val="00A72CB4"/>
    <w:rsid w:val="00A72EE5"/>
    <w:rsid w:val="00A732B7"/>
    <w:rsid w:val="00A73814"/>
    <w:rsid w:val="00A73915"/>
    <w:rsid w:val="00A7395E"/>
    <w:rsid w:val="00A73AD2"/>
    <w:rsid w:val="00A73AFF"/>
    <w:rsid w:val="00A741A3"/>
    <w:rsid w:val="00A7438E"/>
    <w:rsid w:val="00A745FF"/>
    <w:rsid w:val="00A74693"/>
    <w:rsid w:val="00A7495F"/>
    <w:rsid w:val="00A74972"/>
    <w:rsid w:val="00A74A97"/>
    <w:rsid w:val="00A74B0A"/>
    <w:rsid w:val="00A74FF7"/>
    <w:rsid w:val="00A7521D"/>
    <w:rsid w:val="00A75228"/>
    <w:rsid w:val="00A756BA"/>
    <w:rsid w:val="00A757DA"/>
    <w:rsid w:val="00A75A1F"/>
    <w:rsid w:val="00A75AE0"/>
    <w:rsid w:val="00A75C31"/>
    <w:rsid w:val="00A75D51"/>
    <w:rsid w:val="00A75F36"/>
    <w:rsid w:val="00A75FA3"/>
    <w:rsid w:val="00A76128"/>
    <w:rsid w:val="00A763B6"/>
    <w:rsid w:val="00A76859"/>
    <w:rsid w:val="00A76950"/>
    <w:rsid w:val="00A76D6A"/>
    <w:rsid w:val="00A76DA2"/>
    <w:rsid w:val="00A774ED"/>
    <w:rsid w:val="00A77922"/>
    <w:rsid w:val="00A77FA4"/>
    <w:rsid w:val="00A80394"/>
    <w:rsid w:val="00A8099A"/>
    <w:rsid w:val="00A80A5C"/>
    <w:rsid w:val="00A80B0B"/>
    <w:rsid w:val="00A80F27"/>
    <w:rsid w:val="00A810D5"/>
    <w:rsid w:val="00A81E76"/>
    <w:rsid w:val="00A824DF"/>
    <w:rsid w:val="00A8266D"/>
    <w:rsid w:val="00A829BD"/>
    <w:rsid w:val="00A82A21"/>
    <w:rsid w:val="00A830B0"/>
    <w:rsid w:val="00A8341C"/>
    <w:rsid w:val="00A834FD"/>
    <w:rsid w:val="00A83B30"/>
    <w:rsid w:val="00A83C71"/>
    <w:rsid w:val="00A840CF"/>
    <w:rsid w:val="00A84232"/>
    <w:rsid w:val="00A84237"/>
    <w:rsid w:val="00A84382"/>
    <w:rsid w:val="00A84752"/>
    <w:rsid w:val="00A84D90"/>
    <w:rsid w:val="00A85648"/>
    <w:rsid w:val="00A85698"/>
    <w:rsid w:val="00A85730"/>
    <w:rsid w:val="00A857B0"/>
    <w:rsid w:val="00A86127"/>
    <w:rsid w:val="00A86D3E"/>
    <w:rsid w:val="00A871D9"/>
    <w:rsid w:val="00A8745E"/>
    <w:rsid w:val="00A87486"/>
    <w:rsid w:val="00A8760B"/>
    <w:rsid w:val="00A87923"/>
    <w:rsid w:val="00A87C7F"/>
    <w:rsid w:val="00A900AA"/>
    <w:rsid w:val="00A902E0"/>
    <w:rsid w:val="00A9045E"/>
    <w:rsid w:val="00A9047A"/>
    <w:rsid w:val="00A90640"/>
    <w:rsid w:val="00A90D64"/>
    <w:rsid w:val="00A9117C"/>
    <w:rsid w:val="00A9181B"/>
    <w:rsid w:val="00A91A02"/>
    <w:rsid w:val="00A91F17"/>
    <w:rsid w:val="00A92658"/>
    <w:rsid w:val="00A92761"/>
    <w:rsid w:val="00A92A1A"/>
    <w:rsid w:val="00A92FF6"/>
    <w:rsid w:val="00A93016"/>
    <w:rsid w:val="00A930E0"/>
    <w:rsid w:val="00A938BD"/>
    <w:rsid w:val="00A93A1A"/>
    <w:rsid w:val="00A93CF9"/>
    <w:rsid w:val="00A93EF0"/>
    <w:rsid w:val="00A93F8B"/>
    <w:rsid w:val="00A94178"/>
    <w:rsid w:val="00A94984"/>
    <w:rsid w:val="00A94C80"/>
    <w:rsid w:val="00A94FAE"/>
    <w:rsid w:val="00A95419"/>
    <w:rsid w:val="00A95579"/>
    <w:rsid w:val="00A95B2A"/>
    <w:rsid w:val="00A95E6D"/>
    <w:rsid w:val="00A961C9"/>
    <w:rsid w:val="00A96794"/>
    <w:rsid w:val="00A96AD2"/>
    <w:rsid w:val="00A96E0B"/>
    <w:rsid w:val="00A96F4E"/>
    <w:rsid w:val="00A97142"/>
    <w:rsid w:val="00A97193"/>
    <w:rsid w:val="00AA0716"/>
    <w:rsid w:val="00AA0D6D"/>
    <w:rsid w:val="00AA0EB0"/>
    <w:rsid w:val="00AA1209"/>
    <w:rsid w:val="00AA17A7"/>
    <w:rsid w:val="00AA1A8A"/>
    <w:rsid w:val="00AA1E44"/>
    <w:rsid w:val="00AA200F"/>
    <w:rsid w:val="00AA26DC"/>
    <w:rsid w:val="00AA3343"/>
    <w:rsid w:val="00AA3447"/>
    <w:rsid w:val="00AA353D"/>
    <w:rsid w:val="00AA35CA"/>
    <w:rsid w:val="00AA3839"/>
    <w:rsid w:val="00AA38E9"/>
    <w:rsid w:val="00AA3E78"/>
    <w:rsid w:val="00AA3EC7"/>
    <w:rsid w:val="00AA40C5"/>
    <w:rsid w:val="00AA41B6"/>
    <w:rsid w:val="00AA490C"/>
    <w:rsid w:val="00AA4D41"/>
    <w:rsid w:val="00AA4F2D"/>
    <w:rsid w:val="00AA5118"/>
    <w:rsid w:val="00AA5119"/>
    <w:rsid w:val="00AA525D"/>
    <w:rsid w:val="00AA57C6"/>
    <w:rsid w:val="00AA57E3"/>
    <w:rsid w:val="00AA5826"/>
    <w:rsid w:val="00AA5EC2"/>
    <w:rsid w:val="00AA6008"/>
    <w:rsid w:val="00AA6039"/>
    <w:rsid w:val="00AA6343"/>
    <w:rsid w:val="00AA644C"/>
    <w:rsid w:val="00AA65CB"/>
    <w:rsid w:val="00AA66F8"/>
    <w:rsid w:val="00AA66F9"/>
    <w:rsid w:val="00AA6D2A"/>
    <w:rsid w:val="00AA6E69"/>
    <w:rsid w:val="00AA7A7A"/>
    <w:rsid w:val="00AB00D7"/>
    <w:rsid w:val="00AB0525"/>
    <w:rsid w:val="00AB0558"/>
    <w:rsid w:val="00AB056A"/>
    <w:rsid w:val="00AB05B4"/>
    <w:rsid w:val="00AB05CE"/>
    <w:rsid w:val="00AB0789"/>
    <w:rsid w:val="00AB0812"/>
    <w:rsid w:val="00AB0A23"/>
    <w:rsid w:val="00AB0ECD"/>
    <w:rsid w:val="00AB1059"/>
    <w:rsid w:val="00AB118C"/>
    <w:rsid w:val="00AB161F"/>
    <w:rsid w:val="00AB1704"/>
    <w:rsid w:val="00AB1AE1"/>
    <w:rsid w:val="00AB1BC8"/>
    <w:rsid w:val="00AB1E60"/>
    <w:rsid w:val="00AB1F6E"/>
    <w:rsid w:val="00AB2041"/>
    <w:rsid w:val="00AB249C"/>
    <w:rsid w:val="00AB2713"/>
    <w:rsid w:val="00AB284F"/>
    <w:rsid w:val="00AB2F51"/>
    <w:rsid w:val="00AB3199"/>
    <w:rsid w:val="00AB327C"/>
    <w:rsid w:val="00AB3778"/>
    <w:rsid w:val="00AB3A15"/>
    <w:rsid w:val="00AB3E79"/>
    <w:rsid w:val="00AB41DC"/>
    <w:rsid w:val="00AB46DF"/>
    <w:rsid w:val="00AB47AF"/>
    <w:rsid w:val="00AB4C19"/>
    <w:rsid w:val="00AB5702"/>
    <w:rsid w:val="00AB57E7"/>
    <w:rsid w:val="00AB5CE8"/>
    <w:rsid w:val="00AB5D5F"/>
    <w:rsid w:val="00AB656B"/>
    <w:rsid w:val="00AB66D2"/>
    <w:rsid w:val="00AB6C2E"/>
    <w:rsid w:val="00AB6C6A"/>
    <w:rsid w:val="00AB7007"/>
    <w:rsid w:val="00AB7129"/>
    <w:rsid w:val="00AB71BE"/>
    <w:rsid w:val="00AB7248"/>
    <w:rsid w:val="00AB72B9"/>
    <w:rsid w:val="00AB7339"/>
    <w:rsid w:val="00AB7348"/>
    <w:rsid w:val="00AB7416"/>
    <w:rsid w:val="00AB7683"/>
    <w:rsid w:val="00AB791C"/>
    <w:rsid w:val="00AB7B82"/>
    <w:rsid w:val="00AC0512"/>
    <w:rsid w:val="00AC069A"/>
    <w:rsid w:val="00AC06B5"/>
    <w:rsid w:val="00AC096E"/>
    <w:rsid w:val="00AC0A38"/>
    <w:rsid w:val="00AC0CBF"/>
    <w:rsid w:val="00AC1054"/>
    <w:rsid w:val="00AC10BD"/>
    <w:rsid w:val="00AC10E2"/>
    <w:rsid w:val="00AC1314"/>
    <w:rsid w:val="00AC163A"/>
    <w:rsid w:val="00AC1683"/>
    <w:rsid w:val="00AC17EB"/>
    <w:rsid w:val="00AC1824"/>
    <w:rsid w:val="00AC1A04"/>
    <w:rsid w:val="00AC1AAB"/>
    <w:rsid w:val="00AC1E3E"/>
    <w:rsid w:val="00AC1EBC"/>
    <w:rsid w:val="00AC21BE"/>
    <w:rsid w:val="00AC24A0"/>
    <w:rsid w:val="00AC26E6"/>
    <w:rsid w:val="00AC281C"/>
    <w:rsid w:val="00AC282A"/>
    <w:rsid w:val="00AC29D5"/>
    <w:rsid w:val="00AC2BB5"/>
    <w:rsid w:val="00AC2CE3"/>
    <w:rsid w:val="00AC32C7"/>
    <w:rsid w:val="00AC3A26"/>
    <w:rsid w:val="00AC3F48"/>
    <w:rsid w:val="00AC41A3"/>
    <w:rsid w:val="00AC44C4"/>
    <w:rsid w:val="00AC4630"/>
    <w:rsid w:val="00AC48B1"/>
    <w:rsid w:val="00AC4ADD"/>
    <w:rsid w:val="00AC4BB0"/>
    <w:rsid w:val="00AC5019"/>
    <w:rsid w:val="00AC50DD"/>
    <w:rsid w:val="00AC5208"/>
    <w:rsid w:val="00AC5645"/>
    <w:rsid w:val="00AC5804"/>
    <w:rsid w:val="00AC588C"/>
    <w:rsid w:val="00AC5C6A"/>
    <w:rsid w:val="00AC6280"/>
    <w:rsid w:val="00AC6C49"/>
    <w:rsid w:val="00AC6E69"/>
    <w:rsid w:val="00AC6ED1"/>
    <w:rsid w:val="00AC7090"/>
    <w:rsid w:val="00AC70C4"/>
    <w:rsid w:val="00AC7220"/>
    <w:rsid w:val="00AC73A3"/>
    <w:rsid w:val="00AC73A8"/>
    <w:rsid w:val="00AC7865"/>
    <w:rsid w:val="00AC7F45"/>
    <w:rsid w:val="00AD0021"/>
    <w:rsid w:val="00AD008C"/>
    <w:rsid w:val="00AD00E1"/>
    <w:rsid w:val="00AD014F"/>
    <w:rsid w:val="00AD04D6"/>
    <w:rsid w:val="00AD051A"/>
    <w:rsid w:val="00AD0B07"/>
    <w:rsid w:val="00AD0C07"/>
    <w:rsid w:val="00AD1072"/>
    <w:rsid w:val="00AD1155"/>
    <w:rsid w:val="00AD120B"/>
    <w:rsid w:val="00AD192D"/>
    <w:rsid w:val="00AD1993"/>
    <w:rsid w:val="00AD1A44"/>
    <w:rsid w:val="00AD24F6"/>
    <w:rsid w:val="00AD258C"/>
    <w:rsid w:val="00AD2634"/>
    <w:rsid w:val="00AD38A4"/>
    <w:rsid w:val="00AD391E"/>
    <w:rsid w:val="00AD3BA0"/>
    <w:rsid w:val="00AD3F3F"/>
    <w:rsid w:val="00AD4078"/>
    <w:rsid w:val="00AD4A6B"/>
    <w:rsid w:val="00AD540B"/>
    <w:rsid w:val="00AD5832"/>
    <w:rsid w:val="00AD58D7"/>
    <w:rsid w:val="00AD5C89"/>
    <w:rsid w:val="00AD5EE8"/>
    <w:rsid w:val="00AD61E8"/>
    <w:rsid w:val="00AD677A"/>
    <w:rsid w:val="00AD6AB6"/>
    <w:rsid w:val="00AD6C03"/>
    <w:rsid w:val="00AD6E11"/>
    <w:rsid w:val="00AD71B6"/>
    <w:rsid w:val="00AD72BB"/>
    <w:rsid w:val="00AD774B"/>
    <w:rsid w:val="00AD7840"/>
    <w:rsid w:val="00AD7C73"/>
    <w:rsid w:val="00AD7DF6"/>
    <w:rsid w:val="00AE0451"/>
    <w:rsid w:val="00AE04F8"/>
    <w:rsid w:val="00AE05F0"/>
    <w:rsid w:val="00AE0698"/>
    <w:rsid w:val="00AE0B9B"/>
    <w:rsid w:val="00AE0CCF"/>
    <w:rsid w:val="00AE1455"/>
    <w:rsid w:val="00AE1469"/>
    <w:rsid w:val="00AE1492"/>
    <w:rsid w:val="00AE14DB"/>
    <w:rsid w:val="00AE1686"/>
    <w:rsid w:val="00AE18F3"/>
    <w:rsid w:val="00AE1C67"/>
    <w:rsid w:val="00AE1CE7"/>
    <w:rsid w:val="00AE23F9"/>
    <w:rsid w:val="00AE2A42"/>
    <w:rsid w:val="00AE2DC8"/>
    <w:rsid w:val="00AE30B9"/>
    <w:rsid w:val="00AE30F5"/>
    <w:rsid w:val="00AE3EB7"/>
    <w:rsid w:val="00AE4AA2"/>
    <w:rsid w:val="00AE4E87"/>
    <w:rsid w:val="00AE504C"/>
    <w:rsid w:val="00AE52DE"/>
    <w:rsid w:val="00AE53C1"/>
    <w:rsid w:val="00AE5564"/>
    <w:rsid w:val="00AE586B"/>
    <w:rsid w:val="00AE5888"/>
    <w:rsid w:val="00AE5C3F"/>
    <w:rsid w:val="00AE5C86"/>
    <w:rsid w:val="00AE61CD"/>
    <w:rsid w:val="00AE64D3"/>
    <w:rsid w:val="00AE78CD"/>
    <w:rsid w:val="00AE78E6"/>
    <w:rsid w:val="00AE7D1D"/>
    <w:rsid w:val="00AE7E93"/>
    <w:rsid w:val="00AE7E95"/>
    <w:rsid w:val="00AE7F7A"/>
    <w:rsid w:val="00AF0086"/>
    <w:rsid w:val="00AF0093"/>
    <w:rsid w:val="00AF0389"/>
    <w:rsid w:val="00AF057C"/>
    <w:rsid w:val="00AF0632"/>
    <w:rsid w:val="00AF077A"/>
    <w:rsid w:val="00AF0F4C"/>
    <w:rsid w:val="00AF0FF5"/>
    <w:rsid w:val="00AF14EE"/>
    <w:rsid w:val="00AF1816"/>
    <w:rsid w:val="00AF1B5C"/>
    <w:rsid w:val="00AF1ED8"/>
    <w:rsid w:val="00AF1F0D"/>
    <w:rsid w:val="00AF2367"/>
    <w:rsid w:val="00AF26C2"/>
    <w:rsid w:val="00AF2D12"/>
    <w:rsid w:val="00AF2EDC"/>
    <w:rsid w:val="00AF3661"/>
    <w:rsid w:val="00AF37FD"/>
    <w:rsid w:val="00AF3E16"/>
    <w:rsid w:val="00AF3FE4"/>
    <w:rsid w:val="00AF4562"/>
    <w:rsid w:val="00AF4750"/>
    <w:rsid w:val="00AF4879"/>
    <w:rsid w:val="00AF4912"/>
    <w:rsid w:val="00AF497F"/>
    <w:rsid w:val="00AF4B5B"/>
    <w:rsid w:val="00AF4C25"/>
    <w:rsid w:val="00AF5980"/>
    <w:rsid w:val="00AF59EB"/>
    <w:rsid w:val="00AF62E5"/>
    <w:rsid w:val="00AF6301"/>
    <w:rsid w:val="00AF6370"/>
    <w:rsid w:val="00AF69E7"/>
    <w:rsid w:val="00AF6E47"/>
    <w:rsid w:val="00AF6F71"/>
    <w:rsid w:val="00AF7176"/>
    <w:rsid w:val="00AF72D2"/>
    <w:rsid w:val="00AF77AE"/>
    <w:rsid w:val="00AF787F"/>
    <w:rsid w:val="00AF7A0B"/>
    <w:rsid w:val="00AF7AA0"/>
    <w:rsid w:val="00AF7D4B"/>
    <w:rsid w:val="00AF7E0F"/>
    <w:rsid w:val="00B0008B"/>
    <w:rsid w:val="00B000E0"/>
    <w:rsid w:val="00B0014A"/>
    <w:rsid w:val="00B00214"/>
    <w:rsid w:val="00B0025C"/>
    <w:rsid w:val="00B009D5"/>
    <w:rsid w:val="00B00B68"/>
    <w:rsid w:val="00B00BC9"/>
    <w:rsid w:val="00B00C60"/>
    <w:rsid w:val="00B00E4D"/>
    <w:rsid w:val="00B00F08"/>
    <w:rsid w:val="00B01330"/>
    <w:rsid w:val="00B0170A"/>
    <w:rsid w:val="00B0190A"/>
    <w:rsid w:val="00B01A27"/>
    <w:rsid w:val="00B01C53"/>
    <w:rsid w:val="00B01CC3"/>
    <w:rsid w:val="00B01EAC"/>
    <w:rsid w:val="00B020C6"/>
    <w:rsid w:val="00B02477"/>
    <w:rsid w:val="00B02921"/>
    <w:rsid w:val="00B029EC"/>
    <w:rsid w:val="00B02AB2"/>
    <w:rsid w:val="00B02AB8"/>
    <w:rsid w:val="00B02C23"/>
    <w:rsid w:val="00B02F69"/>
    <w:rsid w:val="00B031D2"/>
    <w:rsid w:val="00B0358C"/>
    <w:rsid w:val="00B03A0A"/>
    <w:rsid w:val="00B03D65"/>
    <w:rsid w:val="00B043F4"/>
    <w:rsid w:val="00B045D5"/>
    <w:rsid w:val="00B04602"/>
    <w:rsid w:val="00B04E08"/>
    <w:rsid w:val="00B050EC"/>
    <w:rsid w:val="00B05206"/>
    <w:rsid w:val="00B061F7"/>
    <w:rsid w:val="00B06259"/>
    <w:rsid w:val="00B0671A"/>
    <w:rsid w:val="00B06DCF"/>
    <w:rsid w:val="00B06DE5"/>
    <w:rsid w:val="00B06E37"/>
    <w:rsid w:val="00B06E99"/>
    <w:rsid w:val="00B072F4"/>
    <w:rsid w:val="00B074BB"/>
    <w:rsid w:val="00B075A9"/>
    <w:rsid w:val="00B07A5D"/>
    <w:rsid w:val="00B07ACB"/>
    <w:rsid w:val="00B07F59"/>
    <w:rsid w:val="00B07F91"/>
    <w:rsid w:val="00B1020F"/>
    <w:rsid w:val="00B103F5"/>
    <w:rsid w:val="00B11CB2"/>
    <w:rsid w:val="00B11E06"/>
    <w:rsid w:val="00B12379"/>
    <w:rsid w:val="00B12647"/>
    <w:rsid w:val="00B126FA"/>
    <w:rsid w:val="00B127E8"/>
    <w:rsid w:val="00B12819"/>
    <w:rsid w:val="00B12880"/>
    <w:rsid w:val="00B12AF0"/>
    <w:rsid w:val="00B12CCB"/>
    <w:rsid w:val="00B12DFD"/>
    <w:rsid w:val="00B130D2"/>
    <w:rsid w:val="00B13B42"/>
    <w:rsid w:val="00B13EDA"/>
    <w:rsid w:val="00B140C2"/>
    <w:rsid w:val="00B1485C"/>
    <w:rsid w:val="00B149A2"/>
    <w:rsid w:val="00B14A39"/>
    <w:rsid w:val="00B14DF7"/>
    <w:rsid w:val="00B14EE0"/>
    <w:rsid w:val="00B14FFB"/>
    <w:rsid w:val="00B15222"/>
    <w:rsid w:val="00B15331"/>
    <w:rsid w:val="00B156B7"/>
    <w:rsid w:val="00B157A9"/>
    <w:rsid w:val="00B15B35"/>
    <w:rsid w:val="00B161C6"/>
    <w:rsid w:val="00B16760"/>
    <w:rsid w:val="00B17822"/>
    <w:rsid w:val="00B17B2C"/>
    <w:rsid w:val="00B17FE4"/>
    <w:rsid w:val="00B200ED"/>
    <w:rsid w:val="00B20169"/>
    <w:rsid w:val="00B20569"/>
    <w:rsid w:val="00B205AB"/>
    <w:rsid w:val="00B20D0C"/>
    <w:rsid w:val="00B21039"/>
    <w:rsid w:val="00B212A6"/>
    <w:rsid w:val="00B215FF"/>
    <w:rsid w:val="00B21929"/>
    <w:rsid w:val="00B21B4D"/>
    <w:rsid w:val="00B2260C"/>
    <w:rsid w:val="00B22757"/>
    <w:rsid w:val="00B22919"/>
    <w:rsid w:val="00B22A70"/>
    <w:rsid w:val="00B23148"/>
    <w:rsid w:val="00B236F7"/>
    <w:rsid w:val="00B23A05"/>
    <w:rsid w:val="00B23AA1"/>
    <w:rsid w:val="00B23BDA"/>
    <w:rsid w:val="00B23DAB"/>
    <w:rsid w:val="00B2456D"/>
    <w:rsid w:val="00B245A7"/>
    <w:rsid w:val="00B24762"/>
    <w:rsid w:val="00B24982"/>
    <w:rsid w:val="00B24A63"/>
    <w:rsid w:val="00B24CC1"/>
    <w:rsid w:val="00B2518C"/>
    <w:rsid w:val="00B254C9"/>
    <w:rsid w:val="00B255F0"/>
    <w:rsid w:val="00B25A3B"/>
    <w:rsid w:val="00B25C3C"/>
    <w:rsid w:val="00B26778"/>
    <w:rsid w:val="00B267FB"/>
    <w:rsid w:val="00B268D1"/>
    <w:rsid w:val="00B26A2B"/>
    <w:rsid w:val="00B26D0B"/>
    <w:rsid w:val="00B26E70"/>
    <w:rsid w:val="00B26F75"/>
    <w:rsid w:val="00B27067"/>
    <w:rsid w:val="00B27460"/>
    <w:rsid w:val="00B27487"/>
    <w:rsid w:val="00B274E6"/>
    <w:rsid w:val="00B27646"/>
    <w:rsid w:val="00B27732"/>
    <w:rsid w:val="00B27B16"/>
    <w:rsid w:val="00B27F92"/>
    <w:rsid w:val="00B30564"/>
    <w:rsid w:val="00B3074D"/>
    <w:rsid w:val="00B30C75"/>
    <w:rsid w:val="00B30D50"/>
    <w:rsid w:val="00B30F1B"/>
    <w:rsid w:val="00B31142"/>
    <w:rsid w:val="00B31150"/>
    <w:rsid w:val="00B311E1"/>
    <w:rsid w:val="00B3149F"/>
    <w:rsid w:val="00B318D4"/>
    <w:rsid w:val="00B319BF"/>
    <w:rsid w:val="00B31AC3"/>
    <w:rsid w:val="00B31D1C"/>
    <w:rsid w:val="00B31D45"/>
    <w:rsid w:val="00B32140"/>
    <w:rsid w:val="00B321FB"/>
    <w:rsid w:val="00B32CC4"/>
    <w:rsid w:val="00B32FF0"/>
    <w:rsid w:val="00B33241"/>
    <w:rsid w:val="00B332C5"/>
    <w:rsid w:val="00B33603"/>
    <w:rsid w:val="00B3370B"/>
    <w:rsid w:val="00B33A1A"/>
    <w:rsid w:val="00B33AFD"/>
    <w:rsid w:val="00B33C17"/>
    <w:rsid w:val="00B33DF4"/>
    <w:rsid w:val="00B33E33"/>
    <w:rsid w:val="00B33E49"/>
    <w:rsid w:val="00B33E94"/>
    <w:rsid w:val="00B34764"/>
    <w:rsid w:val="00B34CCD"/>
    <w:rsid w:val="00B350C9"/>
    <w:rsid w:val="00B359BE"/>
    <w:rsid w:val="00B361DF"/>
    <w:rsid w:val="00B3644E"/>
    <w:rsid w:val="00B36876"/>
    <w:rsid w:val="00B36A24"/>
    <w:rsid w:val="00B36B2D"/>
    <w:rsid w:val="00B375EF"/>
    <w:rsid w:val="00B37BB8"/>
    <w:rsid w:val="00B37CA5"/>
    <w:rsid w:val="00B37DAA"/>
    <w:rsid w:val="00B38610"/>
    <w:rsid w:val="00B3FFD5"/>
    <w:rsid w:val="00B4021E"/>
    <w:rsid w:val="00B40789"/>
    <w:rsid w:val="00B40A88"/>
    <w:rsid w:val="00B40AC2"/>
    <w:rsid w:val="00B40B94"/>
    <w:rsid w:val="00B40CDB"/>
    <w:rsid w:val="00B40E64"/>
    <w:rsid w:val="00B41034"/>
    <w:rsid w:val="00B41152"/>
    <w:rsid w:val="00B41804"/>
    <w:rsid w:val="00B41837"/>
    <w:rsid w:val="00B41FC0"/>
    <w:rsid w:val="00B4267A"/>
    <w:rsid w:val="00B426C2"/>
    <w:rsid w:val="00B4273F"/>
    <w:rsid w:val="00B427E1"/>
    <w:rsid w:val="00B4280C"/>
    <w:rsid w:val="00B42991"/>
    <w:rsid w:val="00B42D51"/>
    <w:rsid w:val="00B42E54"/>
    <w:rsid w:val="00B4304A"/>
    <w:rsid w:val="00B431A8"/>
    <w:rsid w:val="00B43495"/>
    <w:rsid w:val="00B434B6"/>
    <w:rsid w:val="00B438EB"/>
    <w:rsid w:val="00B43A17"/>
    <w:rsid w:val="00B43D25"/>
    <w:rsid w:val="00B4409A"/>
    <w:rsid w:val="00B44168"/>
    <w:rsid w:val="00B44263"/>
    <w:rsid w:val="00B443DF"/>
    <w:rsid w:val="00B447EB"/>
    <w:rsid w:val="00B4496F"/>
    <w:rsid w:val="00B44AC8"/>
    <w:rsid w:val="00B44BC8"/>
    <w:rsid w:val="00B45058"/>
    <w:rsid w:val="00B4537E"/>
    <w:rsid w:val="00B454AC"/>
    <w:rsid w:val="00B455B5"/>
    <w:rsid w:val="00B455F1"/>
    <w:rsid w:val="00B456F1"/>
    <w:rsid w:val="00B462B6"/>
    <w:rsid w:val="00B462D6"/>
    <w:rsid w:val="00B4655E"/>
    <w:rsid w:val="00B46672"/>
    <w:rsid w:val="00B466BB"/>
    <w:rsid w:val="00B46F0B"/>
    <w:rsid w:val="00B46F13"/>
    <w:rsid w:val="00B47092"/>
    <w:rsid w:val="00B4735E"/>
    <w:rsid w:val="00B474E3"/>
    <w:rsid w:val="00B474F9"/>
    <w:rsid w:val="00B4760A"/>
    <w:rsid w:val="00B47687"/>
    <w:rsid w:val="00B47DB2"/>
    <w:rsid w:val="00B50314"/>
    <w:rsid w:val="00B506CE"/>
    <w:rsid w:val="00B5087D"/>
    <w:rsid w:val="00B50E89"/>
    <w:rsid w:val="00B511A0"/>
    <w:rsid w:val="00B517F2"/>
    <w:rsid w:val="00B51D4D"/>
    <w:rsid w:val="00B51DAC"/>
    <w:rsid w:val="00B51F41"/>
    <w:rsid w:val="00B5205D"/>
    <w:rsid w:val="00B52175"/>
    <w:rsid w:val="00B52349"/>
    <w:rsid w:val="00B523F0"/>
    <w:rsid w:val="00B52641"/>
    <w:rsid w:val="00B52717"/>
    <w:rsid w:val="00B52D66"/>
    <w:rsid w:val="00B531EF"/>
    <w:rsid w:val="00B53273"/>
    <w:rsid w:val="00B53402"/>
    <w:rsid w:val="00B537A1"/>
    <w:rsid w:val="00B5459E"/>
    <w:rsid w:val="00B545CC"/>
    <w:rsid w:val="00B54BF3"/>
    <w:rsid w:val="00B54C1D"/>
    <w:rsid w:val="00B55058"/>
    <w:rsid w:val="00B55120"/>
    <w:rsid w:val="00B55205"/>
    <w:rsid w:val="00B55487"/>
    <w:rsid w:val="00B55747"/>
    <w:rsid w:val="00B55BBB"/>
    <w:rsid w:val="00B55F29"/>
    <w:rsid w:val="00B56145"/>
    <w:rsid w:val="00B5622F"/>
    <w:rsid w:val="00B56291"/>
    <w:rsid w:val="00B56365"/>
    <w:rsid w:val="00B5641D"/>
    <w:rsid w:val="00B56677"/>
    <w:rsid w:val="00B569ED"/>
    <w:rsid w:val="00B56C2E"/>
    <w:rsid w:val="00B57018"/>
    <w:rsid w:val="00B570A9"/>
    <w:rsid w:val="00B578FB"/>
    <w:rsid w:val="00B5790A"/>
    <w:rsid w:val="00B57C83"/>
    <w:rsid w:val="00B60189"/>
    <w:rsid w:val="00B605BB"/>
    <w:rsid w:val="00B60B59"/>
    <w:rsid w:val="00B60EE2"/>
    <w:rsid w:val="00B61351"/>
    <w:rsid w:val="00B6154F"/>
    <w:rsid w:val="00B61835"/>
    <w:rsid w:val="00B619D9"/>
    <w:rsid w:val="00B61AA5"/>
    <w:rsid w:val="00B62412"/>
    <w:rsid w:val="00B62683"/>
    <w:rsid w:val="00B62E09"/>
    <w:rsid w:val="00B62E7A"/>
    <w:rsid w:val="00B631FD"/>
    <w:rsid w:val="00B63260"/>
    <w:rsid w:val="00B6345E"/>
    <w:rsid w:val="00B634E5"/>
    <w:rsid w:val="00B6368D"/>
    <w:rsid w:val="00B63A09"/>
    <w:rsid w:val="00B63B23"/>
    <w:rsid w:val="00B6418A"/>
    <w:rsid w:val="00B644B0"/>
    <w:rsid w:val="00B64508"/>
    <w:rsid w:val="00B64B95"/>
    <w:rsid w:val="00B64C3B"/>
    <w:rsid w:val="00B65333"/>
    <w:rsid w:val="00B65768"/>
    <w:rsid w:val="00B66255"/>
    <w:rsid w:val="00B66268"/>
    <w:rsid w:val="00B663B9"/>
    <w:rsid w:val="00B6666C"/>
    <w:rsid w:val="00B667D6"/>
    <w:rsid w:val="00B6687B"/>
    <w:rsid w:val="00B66D40"/>
    <w:rsid w:val="00B6773E"/>
    <w:rsid w:val="00B67872"/>
    <w:rsid w:val="00B679FE"/>
    <w:rsid w:val="00B67AC6"/>
    <w:rsid w:val="00B67C01"/>
    <w:rsid w:val="00B70346"/>
    <w:rsid w:val="00B70627"/>
    <w:rsid w:val="00B70A0C"/>
    <w:rsid w:val="00B70AD5"/>
    <w:rsid w:val="00B71274"/>
    <w:rsid w:val="00B712DD"/>
    <w:rsid w:val="00B71469"/>
    <w:rsid w:val="00B7146B"/>
    <w:rsid w:val="00B71AA1"/>
    <w:rsid w:val="00B71CA8"/>
    <w:rsid w:val="00B72433"/>
    <w:rsid w:val="00B72911"/>
    <w:rsid w:val="00B7295A"/>
    <w:rsid w:val="00B7298A"/>
    <w:rsid w:val="00B72DE6"/>
    <w:rsid w:val="00B73443"/>
    <w:rsid w:val="00B73713"/>
    <w:rsid w:val="00B73AED"/>
    <w:rsid w:val="00B73B1E"/>
    <w:rsid w:val="00B73E8F"/>
    <w:rsid w:val="00B73EFB"/>
    <w:rsid w:val="00B7468D"/>
    <w:rsid w:val="00B7474B"/>
    <w:rsid w:val="00B74A2A"/>
    <w:rsid w:val="00B74FFE"/>
    <w:rsid w:val="00B75228"/>
    <w:rsid w:val="00B75A3F"/>
    <w:rsid w:val="00B76712"/>
    <w:rsid w:val="00B76B2D"/>
    <w:rsid w:val="00B76FD4"/>
    <w:rsid w:val="00B7706E"/>
    <w:rsid w:val="00B77150"/>
    <w:rsid w:val="00B7741A"/>
    <w:rsid w:val="00B774E1"/>
    <w:rsid w:val="00B77C51"/>
    <w:rsid w:val="00B77E3E"/>
    <w:rsid w:val="00B800E7"/>
    <w:rsid w:val="00B8023B"/>
    <w:rsid w:val="00B80475"/>
    <w:rsid w:val="00B80786"/>
    <w:rsid w:val="00B80A9A"/>
    <w:rsid w:val="00B80CC6"/>
    <w:rsid w:val="00B80E50"/>
    <w:rsid w:val="00B813C0"/>
    <w:rsid w:val="00B813F0"/>
    <w:rsid w:val="00B81452"/>
    <w:rsid w:val="00B818A6"/>
    <w:rsid w:val="00B81A7A"/>
    <w:rsid w:val="00B820BF"/>
    <w:rsid w:val="00B82537"/>
    <w:rsid w:val="00B82988"/>
    <w:rsid w:val="00B82C85"/>
    <w:rsid w:val="00B82D8A"/>
    <w:rsid w:val="00B82DBC"/>
    <w:rsid w:val="00B82EFB"/>
    <w:rsid w:val="00B83387"/>
    <w:rsid w:val="00B83756"/>
    <w:rsid w:val="00B837EE"/>
    <w:rsid w:val="00B839A8"/>
    <w:rsid w:val="00B83AE0"/>
    <w:rsid w:val="00B84249"/>
    <w:rsid w:val="00B849C5"/>
    <w:rsid w:val="00B84A44"/>
    <w:rsid w:val="00B84ABD"/>
    <w:rsid w:val="00B84B30"/>
    <w:rsid w:val="00B84BBE"/>
    <w:rsid w:val="00B852DF"/>
    <w:rsid w:val="00B8530C"/>
    <w:rsid w:val="00B853EB"/>
    <w:rsid w:val="00B85732"/>
    <w:rsid w:val="00B859BF"/>
    <w:rsid w:val="00B85B52"/>
    <w:rsid w:val="00B85DFA"/>
    <w:rsid w:val="00B85FA9"/>
    <w:rsid w:val="00B86183"/>
    <w:rsid w:val="00B86583"/>
    <w:rsid w:val="00B865A3"/>
    <w:rsid w:val="00B867A9"/>
    <w:rsid w:val="00B86B94"/>
    <w:rsid w:val="00B8715B"/>
    <w:rsid w:val="00B901F7"/>
    <w:rsid w:val="00B9044A"/>
    <w:rsid w:val="00B90DDD"/>
    <w:rsid w:val="00B90EC9"/>
    <w:rsid w:val="00B90F71"/>
    <w:rsid w:val="00B91127"/>
    <w:rsid w:val="00B91405"/>
    <w:rsid w:val="00B9152B"/>
    <w:rsid w:val="00B916BC"/>
    <w:rsid w:val="00B91A9E"/>
    <w:rsid w:val="00B91EF5"/>
    <w:rsid w:val="00B9209B"/>
    <w:rsid w:val="00B920F2"/>
    <w:rsid w:val="00B922D1"/>
    <w:rsid w:val="00B928FA"/>
    <w:rsid w:val="00B92A28"/>
    <w:rsid w:val="00B92E65"/>
    <w:rsid w:val="00B935DB"/>
    <w:rsid w:val="00B939DC"/>
    <w:rsid w:val="00B93B27"/>
    <w:rsid w:val="00B93EB4"/>
    <w:rsid w:val="00B943BE"/>
    <w:rsid w:val="00B9442F"/>
    <w:rsid w:val="00B9487E"/>
    <w:rsid w:val="00B94C2E"/>
    <w:rsid w:val="00B94E77"/>
    <w:rsid w:val="00B94EDB"/>
    <w:rsid w:val="00B950C8"/>
    <w:rsid w:val="00B96575"/>
    <w:rsid w:val="00B9667A"/>
    <w:rsid w:val="00B96AD1"/>
    <w:rsid w:val="00B96BBD"/>
    <w:rsid w:val="00B970A6"/>
    <w:rsid w:val="00B97258"/>
    <w:rsid w:val="00B9735B"/>
    <w:rsid w:val="00B97ABD"/>
    <w:rsid w:val="00B97FB5"/>
    <w:rsid w:val="00BA0BAC"/>
    <w:rsid w:val="00BA0D3E"/>
    <w:rsid w:val="00BA1016"/>
    <w:rsid w:val="00BA11C3"/>
    <w:rsid w:val="00BA1CE9"/>
    <w:rsid w:val="00BA1FE9"/>
    <w:rsid w:val="00BA226F"/>
    <w:rsid w:val="00BA2445"/>
    <w:rsid w:val="00BA2631"/>
    <w:rsid w:val="00BA29BC"/>
    <w:rsid w:val="00BA32E6"/>
    <w:rsid w:val="00BA32EC"/>
    <w:rsid w:val="00BA3B1E"/>
    <w:rsid w:val="00BA4093"/>
    <w:rsid w:val="00BA411D"/>
    <w:rsid w:val="00BA41DA"/>
    <w:rsid w:val="00BA4367"/>
    <w:rsid w:val="00BA4390"/>
    <w:rsid w:val="00BA48AF"/>
    <w:rsid w:val="00BA4907"/>
    <w:rsid w:val="00BA4AA4"/>
    <w:rsid w:val="00BA4B3F"/>
    <w:rsid w:val="00BA4DEC"/>
    <w:rsid w:val="00BA4F38"/>
    <w:rsid w:val="00BA5539"/>
    <w:rsid w:val="00BA5B29"/>
    <w:rsid w:val="00BA5C52"/>
    <w:rsid w:val="00BA6EA2"/>
    <w:rsid w:val="00BA7383"/>
    <w:rsid w:val="00BA7549"/>
    <w:rsid w:val="00BA7616"/>
    <w:rsid w:val="00BA79EE"/>
    <w:rsid w:val="00BA7A44"/>
    <w:rsid w:val="00BA7B2C"/>
    <w:rsid w:val="00BA7C99"/>
    <w:rsid w:val="00BA7D9F"/>
    <w:rsid w:val="00BB0D8C"/>
    <w:rsid w:val="00BB0DC6"/>
    <w:rsid w:val="00BB0FF9"/>
    <w:rsid w:val="00BB10F8"/>
    <w:rsid w:val="00BB1165"/>
    <w:rsid w:val="00BB1B6C"/>
    <w:rsid w:val="00BB1CE7"/>
    <w:rsid w:val="00BB1CFB"/>
    <w:rsid w:val="00BB2696"/>
    <w:rsid w:val="00BB292B"/>
    <w:rsid w:val="00BB297A"/>
    <w:rsid w:val="00BB34D0"/>
    <w:rsid w:val="00BB3F56"/>
    <w:rsid w:val="00BB452E"/>
    <w:rsid w:val="00BB48E5"/>
    <w:rsid w:val="00BB4BF3"/>
    <w:rsid w:val="00BB4C67"/>
    <w:rsid w:val="00BB51A8"/>
    <w:rsid w:val="00BB51CE"/>
    <w:rsid w:val="00BB57CA"/>
    <w:rsid w:val="00BB5D48"/>
    <w:rsid w:val="00BB5E6F"/>
    <w:rsid w:val="00BB5EED"/>
    <w:rsid w:val="00BB5F83"/>
    <w:rsid w:val="00BB6132"/>
    <w:rsid w:val="00BB6A90"/>
    <w:rsid w:val="00BB6DB4"/>
    <w:rsid w:val="00BB6E2B"/>
    <w:rsid w:val="00BB7489"/>
    <w:rsid w:val="00BB7601"/>
    <w:rsid w:val="00BB778D"/>
    <w:rsid w:val="00BB7893"/>
    <w:rsid w:val="00BB7DC5"/>
    <w:rsid w:val="00BC07D4"/>
    <w:rsid w:val="00BC0D02"/>
    <w:rsid w:val="00BC1164"/>
    <w:rsid w:val="00BC1633"/>
    <w:rsid w:val="00BC1ED0"/>
    <w:rsid w:val="00BC21DC"/>
    <w:rsid w:val="00BC22DF"/>
    <w:rsid w:val="00BC27C8"/>
    <w:rsid w:val="00BC2ECF"/>
    <w:rsid w:val="00BC35F8"/>
    <w:rsid w:val="00BC36BE"/>
    <w:rsid w:val="00BC381B"/>
    <w:rsid w:val="00BC3AB7"/>
    <w:rsid w:val="00BC3AC5"/>
    <w:rsid w:val="00BC3B14"/>
    <w:rsid w:val="00BC3D7C"/>
    <w:rsid w:val="00BC3F17"/>
    <w:rsid w:val="00BC408D"/>
    <w:rsid w:val="00BC4F77"/>
    <w:rsid w:val="00BC54D9"/>
    <w:rsid w:val="00BC5C30"/>
    <w:rsid w:val="00BC6104"/>
    <w:rsid w:val="00BC63D0"/>
    <w:rsid w:val="00BC6A21"/>
    <w:rsid w:val="00BC6B71"/>
    <w:rsid w:val="00BC6EDA"/>
    <w:rsid w:val="00BC7108"/>
    <w:rsid w:val="00BC755E"/>
    <w:rsid w:val="00BD00E3"/>
    <w:rsid w:val="00BD033C"/>
    <w:rsid w:val="00BD0375"/>
    <w:rsid w:val="00BD0405"/>
    <w:rsid w:val="00BD0841"/>
    <w:rsid w:val="00BD0977"/>
    <w:rsid w:val="00BD1091"/>
    <w:rsid w:val="00BD1409"/>
    <w:rsid w:val="00BD15C0"/>
    <w:rsid w:val="00BD15D2"/>
    <w:rsid w:val="00BD1815"/>
    <w:rsid w:val="00BD1957"/>
    <w:rsid w:val="00BD1A8B"/>
    <w:rsid w:val="00BD2359"/>
    <w:rsid w:val="00BD2663"/>
    <w:rsid w:val="00BD29FF"/>
    <w:rsid w:val="00BD2AC6"/>
    <w:rsid w:val="00BD2B22"/>
    <w:rsid w:val="00BD2B88"/>
    <w:rsid w:val="00BD2B96"/>
    <w:rsid w:val="00BD3356"/>
    <w:rsid w:val="00BD33D2"/>
    <w:rsid w:val="00BD3547"/>
    <w:rsid w:val="00BD356E"/>
    <w:rsid w:val="00BD3AA5"/>
    <w:rsid w:val="00BD3DAD"/>
    <w:rsid w:val="00BD3EB1"/>
    <w:rsid w:val="00BD4048"/>
    <w:rsid w:val="00BD43A7"/>
    <w:rsid w:val="00BD45AD"/>
    <w:rsid w:val="00BD4621"/>
    <w:rsid w:val="00BD4F11"/>
    <w:rsid w:val="00BD4F9B"/>
    <w:rsid w:val="00BD52A9"/>
    <w:rsid w:val="00BD54DD"/>
    <w:rsid w:val="00BD5517"/>
    <w:rsid w:val="00BD57DF"/>
    <w:rsid w:val="00BD58C2"/>
    <w:rsid w:val="00BD59CF"/>
    <w:rsid w:val="00BD6057"/>
    <w:rsid w:val="00BD6072"/>
    <w:rsid w:val="00BD703C"/>
    <w:rsid w:val="00BD728D"/>
    <w:rsid w:val="00BD7796"/>
    <w:rsid w:val="00BD788E"/>
    <w:rsid w:val="00BD78D6"/>
    <w:rsid w:val="00BE0005"/>
    <w:rsid w:val="00BE01D5"/>
    <w:rsid w:val="00BE0250"/>
    <w:rsid w:val="00BE0419"/>
    <w:rsid w:val="00BE0752"/>
    <w:rsid w:val="00BE0B01"/>
    <w:rsid w:val="00BE0E41"/>
    <w:rsid w:val="00BE0F7F"/>
    <w:rsid w:val="00BE1551"/>
    <w:rsid w:val="00BE1785"/>
    <w:rsid w:val="00BE17C2"/>
    <w:rsid w:val="00BE19E3"/>
    <w:rsid w:val="00BE1A5A"/>
    <w:rsid w:val="00BE1ADE"/>
    <w:rsid w:val="00BE1CFA"/>
    <w:rsid w:val="00BE1ED3"/>
    <w:rsid w:val="00BE2013"/>
    <w:rsid w:val="00BE2461"/>
    <w:rsid w:val="00BE3B27"/>
    <w:rsid w:val="00BE3ECB"/>
    <w:rsid w:val="00BE4213"/>
    <w:rsid w:val="00BE432B"/>
    <w:rsid w:val="00BE451D"/>
    <w:rsid w:val="00BE45E9"/>
    <w:rsid w:val="00BE493B"/>
    <w:rsid w:val="00BE4B79"/>
    <w:rsid w:val="00BE4E8C"/>
    <w:rsid w:val="00BE537B"/>
    <w:rsid w:val="00BE5CCF"/>
    <w:rsid w:val="00BE5DBC"/>
    <w:rsid w:val="00BE6520"/>
    <w:rsid w:val="00BE6734"/>
    <w:rsid w:val="00BE6B73"/>
    <w:rsid w:val="00BE71BE"/>
    <w:rsid w:val="00BE71C2"/>
    <w:rsid w:val="00BE79C7"/>
    <w:rsid w:val="00BE7C87"/>
    <w:rsid w:val="00BE7F87"/>
    <w:rsid w:val="00BF007F"/>
    <w:rsid w:val="00BF04CD"/>
    <w:rsid w:val="00BF0876"/>
    <w:rsid w:val="00BF0A0A"/>
    <w:rsid w:val="00BF0B99"/>
    <w:rsid w:val="00BF0BF0"/>
    <w:rsid w:val="00BF0E0B"/>
    <w:rsid w:val="00BF140B"/>
    <w:rsid w:val="00BF1DBD"/>
    <w:rsid w:val="00BF2067"/>
    <w:rsid w:val="00BF2229"/>
    <w:rsid w:val="00BF2741"/>
    <w:rsid w:val="00BF2B7F"/>
    <w:rsid w:val="00BF35F4"/>
    <w:rsid w:val="00BF43AB"/>
    <w:rsid w:val="00BF5284"/>
    <w:rsid w:val="00BF62D7"/>
    <w:rsid w:val="00BF6377"/>
    <w:rsid w:val="00BF6425"/>
    <w:rsid w:val="00BF65DA"/>
    <w:rsid w:val="00BF68FB"/>
    <w:rsid w:val="00BF6B8F"/>
    <w:rsid w:val="00BF715F"/>
    <w:rsid w:val="00BF737C"/>
    <w:rsid w:val="00BF762F"/>
    <w:rsid w:val="00BF7683"/>
    <w:rsid w:val="00BF7915"/>
    <w:rsid w:val="00BF7C49"/>
    <w:rsid w:val="00BF7FC5"/>
    <w:rsid w:val="00BF7FE8"/>
    <w:rsid w:val="00C000F3"/>
    <w:rsid w:val="00C00A02"/>
    <w:rsid w:val="00C00B03"/>
    <w:rsid w:val="00C00D32"/>
    <w:rsid w:val="00C00E0B"/>
    <w:rsid w:val="00C00E9B"/>
    <w:rsid w:val="00C00FB2"/>
    <w:rsid w:val="00C011F6"/>
    <w:rsid w:val="00C0186C"/>
    <w:rsid w:val="00C018CF"/>
    <w:rsid w:val="00C01C33"/>
    <w:rsid w:val="00C0210D"/>
    <w:rsid w:val="00C02462"/>
    <w:rsid w:val="00C0255D"/>
    <w:rsid w:val="00C02EA6"/>
    <w:rsid w:val="00C033BA"/>
    <w:rsid w:val="00C033E1"/>
    <w:rsid w:val="00C0353C"/>
    <w:rsid w:val="00C03814"/>
    <w:rsid w:val="00C0386C"/>
    <w:rsid w:val="00C039DC"/>
    <w:rsid w:val="00C03C3E"/>
    <w:rsid w:val="00C03D5B"/>
    <w:rsid w:val="00C03E80"/>
    <w:rsid w:val="00C042B6"/>
    <w:rsid w:val="00C04A4D"/>
    <w:rsid w:val="00C04A81"/>
    <w:rsid w:val="00C04E51"/>
    <w:rsid w:val="00C04F4B"/>
    <w:rsid w:val="00C0517A"/>
    <w:rsid w:val="00C054A0"/>
    <w:rsid w:val="00C05779"/>
    <w:rsid w:val="00C05C52"/>
    <w:rsid w:val="00C060A9"/>
    <w:rsid w:val="00C06126"/>
    <w:rsid w:val="00C06947"/>
    <w:rsid w:val="00C06AF1"/>
    <w:rsid w:val="00C07204"/>
    <w:rsid w:val="00C0728D"/>
    <w:rsid w:val="00C073CD"/>
    <w:rsid w:val="00C073F0"/>
    <w:rsid w:val="00C07C31"/>
    <w:rsid w:val="00C07C44"/>
    <w:rsid w:val="00C07EA2"/>
    <w:rsid w:val="00C07F15"/>
    <w:rsid w:val="00C10655"/>
    <w:rsid w:val="00C10860"/>
    <w:rsid w:val="00C10C3B"/>
    <w:rsid w:val="00C10CFB"/>
    <w:rsid w:val="00C1110C"/>
    <w:rsid w:val="00C11C07"/>
    <w:rsid w:val="00C11C71"/>
    <w:rsid w:val="00C11D2B"/>
    <w:rsid w:val="00C11D86"/>
    <w:rsid w:val="00C12252"/>
    <w:rsid w:val="00C12A23"/>
    <w:rsid w:val="00C12A67"/>
    <w:rsid w:val="00C13512"/>
    <w:rsid w:val="00C135C0"/>
    <w:rsid w:val="00C1363F"/>
    <w:rsid w:val="00C138F5"/>
    <w:rsid w:val="00C141BA"/>
    <w:rsid w:val="00C1426E"/>
    <w:rsid w:val="00C14D13"/>
    <w:rsid w:val="00C14D24"/>
    <w:rsid w:val="00C14E1F"/>
    <w:rsid w:val="00C150E2"/>
    <w:rsid w:val="00C15279"/>
    <w:rsid w:val="00C15343"/>
    <w:rsid w:val="00C154D8"/>
    <w:rsid w:val="00C15570"/>
    <w:rsid w:val="00C156BF"/>
    <w:rsid w:val="00C15776"/>
    <w:rsid w:val="00C157B3"/>
    <w:rsid w:val="00C15AB6"/>
    <w:rsid w:val="00C15B24"/>
    <w:rsid w:val="00C1605A"/>
    <w:rsid w:val="00C16098"/>
    <w:rsid w:val="00C160CF"/>
    <w:rsid w:val="00C1611C"/>
    <w:rsid w:val="00C1646C"/>
    <w:rsid w:val="00C167C0"/>
    <w:rsid w:val="00C16ABA"/>
    <w:rsid w:val="00C16D61"/>
    <w:rsid w:val="00C16F2A"/>
    <w:rsid w:val="00C16FC7"/>
    <w:rsid w:val="00C17199"/>
    <w:rsid w:val="00C17299"/>
    <w:rsid w:val="00C172C9"/>
    <w:rsid w:val="00C1747D"/>
    <w:rsid w:val="00C174B1"/>
    <w:rsid w:val="00C175D4"/>
    <w:rsid w:val="00C178D3"/>
    <w:rsid w:val="00C1797E"/>
    <w:rsid w:val="00C17F73"/>
    <w:rsid w:val="00C20704"/>
    <w:rsid w:val="00C20843"/>
    <w:rsid w:val="00C208EB"/>
    <w:rsid w:val="00C209A2"/>
    <w:rsid w:val="00C20DED"/>
    <w:rsid w:val="00C2105D"/>
    <w:rsid w:val="00C21118"/>
    <w:rsid w:val="00C21BA5"/>
    <w:rsid w:val="00C21DD3"/>
    <w:rsid w:val="00C21DFF"/>
    <w:rsid w:val="00C224B1"/>
    <w:rsid w:val="00C2251A"/>
    <w:rsid w:val="00C22763"/>
    <w:rsid w:val="00C22A4D"/>
    <w:rsid w:val="00C22A5C"/>
    <w:rsid w:val="00C22D3A"/>
    <w:rsid w:val="00C22F82"/>
    <w:rsid w:val="00C23016"/>
    <w:rsid w:val="00C23118"/>
    <w:rsid w:val="00C233B8"/>
    <w:rsid w:val="00C23645"/>
    <w:rsid w:val="00C236FA"/>
    <w:rsid w:val="00C239D9"/>
    <w:rsid w:val="00C23E78"/>
    <w:rsid w:val="00C24663"/>
    <w:rsid w:val="00C24915"/>
    <w:rsid w:val="00C249F2"/>
    <w:rsid w:val="00C24A39"/>
    <w:rsid w:val="00C24BE2"/>
    <w:rsid w:val="00C24C03"/>
    <w:rsid w:val="00C25976"/>
    <w:rsid w:val="00C25ADA"/>
    <w:rsid w:val="00C25DFF"/>
    <w:rsid w:val="00C26056"/>
    <w:rsid w:val="00C26236"/>
    <w:rsid w:val="00C26500"/>
    <w:rsid w:val="00C26689"/>
    <w:rsid w:val="00C26935"/>
    <w:rsid w:val="00C27732"/>
    <w:rsid w:val="00C27767"/>
    <w:rsid w:val="00C27E08"/>
    <w:rsid w:val="00C27F8E"/>
    <w:rsid w:val="00C27FD6"/>
    <w:rsid w:val="00C30138"/>
    <w:rsid w:val="00C30675"/>
    <w:rsid w:val="00C30ADC"/>
    <w:rsid w:val="00C310F0"/>
    <w:rsid w:val="00C3199F"/>
    <w:rsid w:val="00C31BAB"/>
    <w:rsid w:val="00C31EBB"/>
    <w:rsid w:val="00C320C7"/>
    <w:rsid w:val="00C32131"/>
    <w:rsid w:val="00C3237E"/>
    <w:rsid w:val="00C32614"/>
    <w:rsid w:val="00C32C54"/>
    <w:rsid w:val="00C32C66"/>
    <w:rsid w:val="00C32D3D"/>
    <w:rsid w:val="00C32E57"/>
    <w:rsid w:val="00C330AA"/>
    <w:rsid w:val="00C3345D"/>
    <w:rsid w:val="00C33567"/>
    <w:rsid w:val="00C336C5"/>
    <w:rsid w:val="00C33810"/>
    <w:rsid w:val="00C3418C"/>
    <w:rsid w:val="00C34AF2"/>
    <w:rsid w:val="00C34EE8"/>
    <w:rsid w:val="00C353D6"/>
    <w:rsid w:val="00C3545C"/>
    <w:rsid w:val="00C356D3"/>
    <w:rsid w:val="00C358DF"/>
    <w:rsid w:val="00C35D0E"/>
    <w:rsid w:val="00C35F04"/>
    <w:rsid w:val="00C36963"/>
    <w:rsid w:val="00C36F1D"/>
    <w:rsid w:val="00C370DB"/>
    <w:rsid w:val="00C3730B"/>
    <w:rsid w:val="00C373F5"/>
    <w:rsid w:val="00C377F7"/>
    <w:rsid w:val="00C37956"/>
    <w:rsid w:val="00C379D6"/>
    <w:rsid w:val="00C37AF5"/>
    <w:rsid w:val="00C40B5B"/>
    <w:rsid w:val="00C41263"/>
    <w:rsid w:val="00C415D6"/>
    <w:rsid w:val="00C419FF"/>
    <w:rsid w:val="00C41D36"/>
    <w:rsid w:val="00C422EB"/>
    <w:rsid w:val="00C424D2"/>
    <w:rsid w:val="00C427A2"/>
    <w:rsid w:val="00C42BF1"/>
    <w:rsid w:val="00C42F2B"/>
    <w:rsid w:val="00C4317C"/>
    <w:rsid w:val="00C431FE"/>
    <w:rsid w:val="00C43515"/>
    <w:rsid w:val="00C439E6"/>
    <w:rsid w:val="00C43BFC"/>
    <w:rsid w:val="00C43C1F"/>
    <w:rsid w:val="00C43C4A"/>
    <w:rsid w:val="00C43C8F"/>
    <w:rsid w:val="00C43D86"/>
    <w:rsid w:val="00C4468A"/>
    <w:rsid w:val="00C449D0"/>
    <w:rsid w:val="00C44B37"/>
    <w:rsid w:val="00C44F3C"/>
    <w:rsid w:val="00C44FFB"/>
    <w:rsid w:val="00C45564"/>
    <w:rsid w:val="00C45AF2"/>
    <w:rsid w:val="00C45E82"/>
    <w:rsid w:val="00C45FF5"/>
    <w:rsid w:val="00C460EA"/>
    <w:rsid w:val="00C46240"/>
    <w:rsid w:val="00C4630C"/>
    <w:rsid w:val="00C46C13"/>
    <w:rsid w:val="00C470FA"/>
    <w:rsid w:val="00C473C5"/>
    <w:rsid w:val="00C4743A"/>
    <w:rsid w:val="00C478CE"/>
    <w:rsid w:val="00C479A0"/>
    <w:rsid w:val="00C47AB7"/>
    <w:rsid w:val="00C47B64"/>
    <w:rsid w:val="00C47BF8"/>
    <w:rsid w:val="00C47D1D"/>
    <w:rsid w:val="00C47E54"/>
    <w:rsid w:val="00C500AB"/>
    <w:rsid w:val="00C507FC"/>
    <w:rsid w:val="00C50989"/>
    <w:rsid w:val="00C50A38"/>
    <w:rsid w:val="00C50A46"/>
    <w:rsid w:val="00C50F6B"/>
    <w:rsid w:val="00C50FAB"/>
    <w:rsid w:val="00C51075"/>
    <w:rsid w:val="00C5146C"/>
    <w:rsid w:val="00C51678"/>
    <w:rsid w:val="00C518A6"/>
    <w:rsid w:val="00C5193E"/>
    <w:rsid w:val="00C51B4B"/>
    <w:rsid w:val="00C51B4E"/>
    <w:rsid w:val="00C51BFA"/>
    <w:rsid w:val="00C51F8F"/>
    <w:rsid w:val="00C525D3"/>
    <w:rsid w:val="00C52633"/>
    <w:rsid w:val="00C52B4C"/>
    <w:rsid w:val="00C52E70"/>
    <w:rsid w:val="00C52FCA"/>
    <w:rsid w:val="00C53180"/>
    <w:rsid w:val="00C53594"/>
    <w:rsid w:val="00C53C36"/>
    <w:rsid w:val="00C53E40"/>
    <w:rsid w:val="00C5433C"/>
    <w:rsid w:val="00C54850"/>
    <w:rsid w:val="00C54DEB"/>
    <w:rsid w:val="00C54F13"/>
    <w:rsid w:val="00C55359"/>
    <w:rsid w:val="00C554F3"/>
    <w:rsid w:val="00C554FB"/>
    <w:rsid w:val="00C55583"/>
    <w:rsid w:val="00C557A0"/>
    <w:rsid w:val="00C563CE"/>
    <w:rsid w:val="00C5705B"/>
    <w:rsid w:val="00C5713C"/>
    <w:rsid w:val="00C579F1"/>
    <w:rsid w:val="00C57DBF"/>
    <w:rsid w:val="00C57E80"/>
    <w:rsid w:val="00C604D7"/>
    <w:rsid w:val="00C60973"/>
    <w:rsid w:val="00C614F4"/>
    <w:rsid w:val="00C618EC"/>
    <w:rsid w:val="00C61923"/>
    <w:rsid w:val="00C61BDE"/>
    <w:rsid w:val="00C61E78"/>
    <w:rsid w:val="00C629CA"/>
    <w:rsid w:val="00C6322F"/>
    <w:rsid w:val="00C6334E"/>
    <w:rsid w:val="00C637A8"/>
    <w:rsid w:val="00C63B28"/>
    <w:rsid w:val="00C63BA0"/>
    <w:rsid w:val="00C63DB3"/>
    <w:rsid w:val="00C64DD8"/>
    <w:rsid w:val="00C65092"/>
    <w:rsid w:val="00C65298"/>
    <w:rsid w:val="00C65495"/>
    <w:rsid w:val="00C65829"/>
    <w:rsid w:val="00C65C9F"/>
    <w:rsid w:val="00C66155"/>
    <w:rsid w:val="00C66528"/>
    <w:rsid w:val="00C66C8E"/>
    <w:rsid w:val="00C66D75"/>
    <w:rsid w:val="00C673FB"/>
    <w:rsid w:val="00C67682"/>
    <w:rsid w:val="00C678AE"/>
    <w:rsid w:val="00C67B80"/>
    <w:rsid w:val="00C67C97"/>
    <w:rsid w:val="00C67DBA"/>
    <w:rsid w:val="00C70398"/>
    <w:rsid w:val="00C70657"/>
    <w:rsid w:val="00C7086C"/>
    <w:rsid w:val="00C7097A"/>
    <w:rsid w:val="00C709FE"/>
    <w:rsid w:val="00C70AC5"/>
    <w:rsid w:val="00C70AD5"/>
    <w:rsid w:val="00C70B79"/>
    <w:rsid w:val="00C70DBC"/>
    <w:rsid w:val="00C7118A"/>
    <w:rsid w:val="00C714DD"/>
    <w:rsid w:val="00C7165B"/>
    <w:rsid w:val="00C717B2"/>
    <w:rsid w:val="00C719E5"/>
    <w:rsid w:val="00C71C4C"/>
    <w:rsid w:val="00C72234"/>
    <w:rsid w:val="00C7277E"/>
    <w:rsid w:val="00C72E01"/>
    <w:rsid w:val="00C732B5"/>
    <w:rsid w:val="00C73994"/>
    <w:rsid w:val="00C739C4"/>
    <w:rsid w:val="00C73BDC"/>
    <w:rsid w:val="00C740BE"/>
    <w:rsid w:val="00C74273"/>
    <w:rsid w:val="00C746AC"/>
    <w:rsid w:val="00C7481A"/>
    <w:rsid w:val="00C748D8"/>
    <w:rsid w:val="00C749AA"/>
    <w:rsid w:val="00C74F49"/>
    <w:rsid w:val="00C756BF"/>
    <w:rsid w:val="00C75953"/>
    <w:rsid w:val="00C75B1C"/>
    <w:rsid w:val="00C75CBC"/>
    <w:rsid w:val="00C75D0B"/>
    <w:rsid w:val="00C75D2D"/>
    <w:rsid w:val="00C75F48"/>
    <w:rsid w:val="00C75FE3"/>
    <w:rsid w:val="00C7695C"/>
    <w:rsid w:val="00C7696C"/>
    <w:rsid w:val="00C76D05"/>
    <w:rsid w:val="00C76E1A"/>
    <w:rsid w:val="00C770D1"/>
    <w:rsid w:val="00C77413"/>
    <w:rsid w:val="00C77881"/>
    <w:rsid w:val="00C77A57"/>
    <w:rsid w:val="00C77D49"/>
    <w:rsid w:val="00C77ECA"/>
    <w:rsid w:val="00C800A0"/>
    <w:rsid w:val="00C806C4"/>
    <w:rsid w:val="00C80A03"/>
    <w:rsid w:val="00C80B99"/>
    <w:rsid w:val="00C80EEA"/>
    <w:rsid w:val="00C80FEC"/>
    <w:rsid w:val="00C813AF"/>
    <w:rsid w:val="00C813E7"/>
    <w:rsid w:val="00C816E3"/>
    <w:rsid w:val="00C81966"/>
    <w:rsid w:val="00C81BC1"/>
    <w:rsid w:val="00C81F47"/>
    <w:rsid w:val="00C8216F"/>
    <w:rsid w:val="00C828D7"/>
    <w:rsid w:val="00C82D77"/>
    <w:rsid w:val="00C82D8B"/>
    <w:rsid w:val="00C8350B"/>
    <w:rsid w:val="00C837CC"/>
    <w:rsid w:val="00C84134"/>
    <w:rsid w:val="00C84163"/>
    <w:rsid w:val="00C8466A"/>
    <w:rsid w:val="00C8483C"/>
    <w:rsid w:val="00C848DD"/>
    <w:rsid w:val="00C84F54"/>
    <w:rsid w:val="00C85318"/>
    <w:rsid w:val="00C85341"/>
    <w:rsid w:val="00C853F6"/>
    <w:rsid w:val="00C857F2"/>
    <w:rsid w:val="00C858E3"/>
    <w:rsid w:val="00C85F01"/>
    <w:rsid w:val="00C863CE"/>
    <w:rsid w:val="00C865F9"/>
    <w:rsid w:val="00C87016"/>
    <w:rsid w:val="00C87158"/>
    <w:rsid w:val="00C87B31"/>
    <w:rsid w:val="00C87DEC"/>
    <w:rsid w:val="00C87DF9"/>
    <w:rsid w:val="00C87F08"/>
    <w:rsid w:val="00C87FA5"/>
    <w:rsid w:val="00C900EB"/>
    <w:rsid w:val="00C903AB"/>
    <w:rsid w:val="00C905F5"/>
    <w:rsid w:val="00C9067F"/>
    <w:rsid w:val="00C90803"/>
    <w:rsid w:val="00C90C33"/>
    <w:rsid w:val="00C90C7E"/>
    <w:rsid w:val="00C90CE8"/>
    <w:rsid w:val="00C90DBC"/>
    <w:rsid w:val="00C916B1"/>
    <w:rsid w:val="00C91B48"/>
    <w:rsid w:val="00C91B7B"/>
    <w:rsid w:val="00C91CFF"/>
    <w:rsid w:val="00C91D70"/>
    <w:rsid w:val="00C91E0B"/>
    <w:rsid w:val="00C91E81"/>
    <w:rsid w:val="00C9207C"/>
    <w:rsid w:val="00C920DD"/>
    <w:rsid w:val="00C9259E"/>
    <w:rsid w:val="00C92658"/>
    <w:rsid w:val="00C93146"/>
    <w:rsid w:val="00C931D7"/>
    <w:rsid w:val="00C932D0"/>
    <w:rsid w:val="00C93C55"/>
    <w:rsid w:val="00C93F57"/>
    <w:rsid w:val="00C94D00"/>
    <w:rsid w:val="00C9548E"/>
    <w:rsid w:val="00C95503"/>
    <w:rsid w:val="00C95AFE"/>
    <w:rsid w:val="00C95B5D"/>
    <w:rsid w:val="00C95CC5"/>
    <w:rsid w:val="00C962E4"/>
    <w:rsid w:val="00C96B10"/>
    <w:rsid w:val="00C96EBD"/>
    <w:rsid w:val="00C9705B"/>
    <w:rsid w:val="00C970D7"/>
    <w:rsid w:val="00C97164"/>
    <w:rsid w:val="00C973DD"/>
    <w:rsid w:val="00C9755C"/>
    <w:rsid w:val="00C97A41"/>
    <w:rsid w:val="00C97AC6"/>
    <w:rsid w:val="00C97B20"/>
    <w:rsid w:val="00C97DE5"/>
    <w:rsid w:val="00C97F2C"/>
    <w:rsid w:val="00CA0024"/>
    <w:rsid w:val="00CA011C"/>
    <w:rsid w:val="00CA01C3"/>
    <w:rsid w:val="00CA03DC"/>
    <w:rsid w:val="00CA0B3F"/>
    <w:rsid w:val="00CA0BCD"/>
    <w:rsid w:val="00CA0CF6"/>
    <w:rsid w:val="00CA0F8B"/>
    <w:rsid w:val="00CA112F"/>
    <w:rsid w:val="00CA1191"/>
    <w:rsid w:val="00CA13C2"/>
    <w:rsid w:val="00CA1716"/>
    <w:rsid w:val="00CA1C20"/>
    <w:rsid w:val="00CA1F37"/>
    <w:rsid w:val="00CA2441"/>
    <w:rsid w:val="00CA296B"/>
    <w:rsid w:val="00CA2A7E"/>
    <w:rsid w:val="00CA2AAF"/>
    <w:rsid w:val="00CA2F6D"/>
    <w:rsid w:val="00CA2F81"/>
    <w:rsid w:val="00CA3283"/>
    <w:rsid w:val="00CA3351"/>
    <w:rsid w:val="00CA344F"/>
    <w:rsid w:val="00CA3E1C"/>
    <w:rsid w:val="00CA40C9"/>
    <w:rsid w:val="00CA4157"/>
    <w:rsid w:val="00CA42FF"/>
    <w:rsid w:val="00CA440F"/>
    <w:rsid w:val="00CA4551"/>
    <w:rsid w:val="00CA4C5F"/>
    <w:rsid w:val="00CA5367"/>
    <w:rsid w:val="00CA5558"/>
    <w:rsid w:val="00CA5833"/>
    <w:rsid w:val="00CA5CC0"/>
    <w:rsid w:val="00CA684D"/>
    <w:rsid w:val="00CA6F72"/>
    <w:rsid w:val="00CA7779"/>
    <w:rsid w:val="00CA7804"/>
    <w:rsid w:val="00CA7A67"/>
    <w:rsid w:val="00CB02FB"/>
    <w:rsid w:val="00CB0456"/>
    <w:rsid w:val="00CB07B4"/>
    <w:rsid w:val="00CB0A82"/>
    <w:rsid w:val="00CB0AA2"/>
    <w:rsid w:val="00CB0BFD"/>
    <w:rsid w:val="00CB0F51"/>
    <w:rsid w:val="00CB10A4"/>
    <w:rsid w:val="00CB119B"/>
    <w:rsid w:val="00CB1266"/>
    <w:rsid w:val="00CB192A"/>
    <w:rsid w:val="00CB1B36"/>
    <w:rsid w:val="00CB21B6"/>
    <w:rsid w:val="00CB22D9"/>
    <w:rsid w:val="00CB239D"/>
    <w:rsid w:val="00CB2671"/>
    <w:rsid w:val="00CB3307"/>
    <w:rsid w:val="00CB35B4"/>
    <w:rsid w:val="00CB3754"/>
    <w:rsid w:val="00CB3B28"/>
    <w:rsid w:val="00CB40DF"/>
    <w:rsid w:val="00CB41FA"/>
    <w:rsid w:val="00CB4441"/>
    <w:rsid w:val="00CB45D6"/>
    <w:rsid w:val="00CB4B7C"/>
    <w:rsid w:val="00CB53BD"/>
    <w:rsid w:val="00CB5479"/>
    <w:rsid w:val="00CB54F2"/>
    <w:rsid w:val="00CB577B"/>
    <w:rsid w:val="00CB58D3"/>
    <w:rsid w:val="00CB58D4"/>
    <w:rsid w:val="00CB5A1B"/>
    <w:rsid w:val="00CB5B7B"/>
    <w:rsid w:val="00CB5DD2"/>
    <w:rsid w:val="00CB6489"/>
    <w:rsid w:val="00CB663B"/>
    <w:rsid w:val="00CB6734"/>
    <w:rsid w:val="00CB68D9"/>
    <w:rsid w:val="00CB6B3F"/>
    <w:rsid w:val="00CB6C6D"/>
    <w:rsid w:val="00CB7304"/>
    <w:rsid w:val="00CB760F"/>
    <w:rsid w:val="00CB7641"/>
    <w:rsid w:val="00CB7A1E"/>
    <w:rsid w:val="00CC016A"/>
    <w:rsid w:val="00CC03FC"/>
    <w:rsid w:val="00CC049D"/>
    <w:rsid w:val="00CC0640"/>
    <w:rsid w:val="00CC0813"/>
    <w:rsid w:val="00CC0D43"/>
    <w:rsid w:val="00CC1568"/>
    <w:rsid w:val="00CC169C"/>
    <w:rsid w:val="00CC184B"/>
    <w:rsid w:val="00CC2104"/>
    <w:rsid w:val="00CC2468"/>
    <w:rsid w:val="00CC293D"/>
    <w:rsid w:val="00CC29A9"/>
    <w:rsid w:val="00CC2B49"/>
    <w:rsid w:val="00CC2BD8"/>
    <w:rsid w:val="00CC2D59"/>
    <w:rsid w:val="00CC2F48"/>
    <w:rsid w:val="00CC3433"/>
    <w:rsid w:val="00CC35BA"/>
    <w:rsid w:val="00CC3615"/>
    <w:rsid w:val="00CC36F9"/>
    <w:rsid w:val="00CC37E0"/>
    <w:rsid w:val="00CC3A42"/>
    <w:rsid w:val="00CC3A99"/>
    <w:rsid w:val="00CC3F8D"/>
    <w:rsid w:val="00CC4967"/>
    <w:rsid w:val="00CC4B8C"/>
    <w:rsid w:val="00CC53F8"/>
    <w:rsid w:val="00CC57C1"/>
    <w:rsid w:val="00CC5D79"/>
    <w:rsid w:val="00CC5E95"/>
    <w:rsid w:val="00CC5EA7"/>
    <w:rsid w:val="00CC5ED2"/>
    <w:rsid w:val="00CC624F"/>
    <w:rsid w:val="00CC6341"/>
    <w:rsid w:val="00CC6573"/>
    <w:rsid w:val="00CC69DD"/>
    <w:rsid w:val="00CC6DC1"/>
    <w:rsid w:val="00CC6DD9"/>
    <w:rsid w:val="00CC71D0"/>
    <w:rsid w:val="00CC777A"/>
    <w:rsid w:val="00CC78A0"/>
    <w:rsid w:val="00CD0082"/>
    <w:rsid w:val="00CD072C"/>
    <w:rsid w:val="00CD09B5"/>
    <w:rsid w:val="00CD0BFB"/>
    <w:rsid w:val="00CD0E65"/>
    <w:rsid w:val="00CD170A"/>
    <w:rsid w:val="00CD1730"/>
    <w:rsid w:val="00CD1882"/>
    <w:rsid w:val="00CD1BD3"/>
    <w:rsid w:val="00CD1ED5"/>
    <w:rsid w:val="00CD2024"/>
    <w:rsid w:val="00CD2398"/>
    <w:rsid w:val="00CD26AE"/>
    <w:rsid w:val="00CD2BCF"/>
    <w:rsid w:val="00CD2C57"/>
    <w:rsid w:val="00CD2CE9"/>
    <w:rsid w:val="00CD2F57"/>
    <w:rsid w:val="00CD357C"/>
    <w:rsid w:val="00CD3665"/>
    <w:rsid w:val="00CD380C"/>
    <w:rsid w:val="00CD3900"/>
    <w:rsid w:val="00CD432A"/>
    <w:rsid w:val="00CD46C8"/>
    <w:rsid w:val="00CD5024"/>
    <w:rsid w:val="00CD5474"/>
    <w:rsid w:val="00CD555C"/>
    <w:rsid w:val="00CD60CA"/>
    <w:rsid w:val="00CD61E2"/>
    <w:rsid w:val="00CD636D"/>
    <w:rsid w:val="00CD6925"/>
    <w:rsid w:val="00CD6A34"/>
    <w:rsid w:val="00CD6AC5"/>
    <w:rsid w:val="00CD6BB2"/>
    <w:rsid w:val="00CD6BF6"/>
    <w:rsid w:val="00CD6C52"/>
    <w:rsid w:val="00CD7018"/>
    <w:rsid w:val="00CD70D2"/>
    <w:rsid w:val="00CD74A5"/>
    <w:rsid w:val="00CD74EF"/>
    <w:rsid w:val="00CD78D5"/>
    <w:rsid w:val="00CD78F1"/>
    <w:rsid w:val="00CD7CCD"/>
    <w:rsid w:val="00CD7D04"/>
    <w:rsid w:val="00CE01FF"/>
    <w:rsid w:val="00CE122F"/>
    <w:rsid w:val="00CE17B8"/>
    <w:rsid w:val="00CE1EB0"/>
    <w:rsid w:val="00CE2167"/>
    <w:rsid w:val="00CE21D9"/>
    <w:rsid w:val="00CE260E"/>
    <w:rsid w:val="00CE2824"/>
    <w:rsid w:val="00CE285B"/>
    <w:rsid w:val="00CE28F9"/>
    <w:rsid w:val="00CE2FC8"/>
    <w:rsid w:val="00CE32A2"/>
    <w:rsid w:val="00CE39A7"/>
    <w:rsid w:val="00CE3B6B"/>
    <w:rsid w:val="00CE3BDC"/>
    <w:rsid w:val="00CE3E90"/>
    <w:rsid w:val="00CE41A5"/>
    <w:rsid w:val="00CE4CB9"/>
    <w:rsid w:val="00CE5160"/>
    <w:rsid w:val="00CE5224"/>
    <w:rsid w:val="00CE53D1"/>
    <w:rsid w:val="00CE5865"/>
    <w:rsid w:val="00CE5926"/>
    <w:rsid w:val="00CE60BC"/>
    <w:rsid w:val="00CE6106"/>
    <w:rsid w:val="00CE6187"/>
    <w:rsid w:val="00CE6524"/>
    <w:rsid w:val="00CE6931"/>
    <w:rsid w:val="00CE6BFF"/>
    <w:rsid w:val="00CE6DC1"/>
    <w:rsid w:val="00CE6EA6"/>
    <w:rsid w:val="00CE6FF3"/>
    <w:rsid w:val="00CE7052"/>
    <w:rsid w:val="00CE70F0"/>
    <w:rsid w:val="00CE72A1"/>
    <w:rsid w:val="00CE75D1"/>
    <w:rsid w:val="00CE762C"/>
    <w:rsid w:val="00CE77EB"/>
    <w:rsid w:val="00CE798E"/>
    <w:rsid w:val="00CE7CCC"/>
    <w:rsid w:val="00CE7DB5"/>
    <w:rsid w:val="00CE7E38"/>
    <w:rsid w:val="00CF00CD"/>
    <w:rsid w:val="00CF024C"/>
    <w:rsid w:val="00CF08EE"/>
    <w:rsid w:val="00CF0D3D"/>
    <w:rsid w:val="00CF0FF1"/>
    <w:rsid w:val="00CF1A7E"/>
    <w:rsid w:val="00CF1B91"/>
    <w:rsid w:val="00CF1BF1"/>
    <w:rsid w:val="00CF1D0F"/>
    <w:rsid w:val="00CF23CC"/>
    <w:rsid w:val="00CF2B72"/>
    <w:rsid w:val="00CF2E55"/>
    <w:rsid w:val="00CF303C"/>
    <w:rsid w:val="00CF31C3"/>
    <w:rsid w:val="00CF3445"/>
    <w:rsid w:val="00CF361B"/>
    <w:rsid w:val="00CF36E7"/>
    <w:rsid w:val="00CF3B28"/>
    <w:rsid w:val="00CF3C4F"/>
    <w:rsid w:val="00CF3D2B"/>
    <w:rsid w:val="00CF3ECF"/>
    <w:rsid w:val="00CF444C"/>
    <w:rsid w:val="00CF46D6"/>
    <w:rsid w:val="00CF4B38"/>
    <w:rsid w:val="00CF4F32"/>
    <w:rsid w:val="00CF51E9"/>
    <w:rsid w:val="00CF5211"/>
    <w:rsid w:val="00CF5F79"/>
    <w:rsid w:val="00CF6800"/>
    <w:rsid w:val="00CF6CA0"/>
    <w:rsid w:val="00CF6D54"/>
    <w:rsid w:val="00CF6F41"/>
    <w:rsid w:val="00CF702F"/>
    <w:rsid w:val="00CF7277"/>
    <w:rsid w:val="00CF7279"/>
    <w:rsid w:val="00CF727D"/>
    <w:rsid w:val="00CF74B4"/>
    <w:rsid w:val="00CF7569"/>
    <w:rsid w:val="00CF764E"/>
    <w:rsid w:val="00CF76A9"/>
    <w:rsid w:val="00CF77DF"/>
    <w:rsid w:val="00CF79E1"/>
    <w:rsid w:val="00D004EE"/>
    <w:rsid w:val="00D005AE"/>
    <w:rsid w:val="00D005FB"/>
    <w:rsid w:val="00D00A9F"/>
    <w:rsid w:val="00D00E5A"/>
    <w:rsid w:val="00D00F48"/>
    <w:rsid w:val="00D01061"/>
    <w:rsid w:val="00D01451"/>
    <w:rsid w:val="00D01755"/>
    <w:rsid w:val="00D023DF"/>
    <w:rsid w:val="00D025AB"/>
    <w:rsid w:val="00D0264E"/>
    <w:rsid w:val="00D02A6C"/>
    <w:rsid w:val="00D02B81"/>
    <w:rsid w:val="00D0300B"/>
    <w:rsid w:val="00D030AA"/>
    <w:rsid w:val="00D035BE"/>
    <w:rsid w:val="00D03EDA"/>
    <w:rsid w:val="00D03FD4"/>
    <w:rsid w:val="00D0452A"/>
    <w:rsid w:val="00D0457E"/>
    <w:rsid w:val="00D045CB"/>
    <w:rsid w:val="00D04737"/>
    <w:rsid w:val="00D04A25"/>
    <w:rsid w:val="00D04DF8"/>
    <w:rsid w:val="00D0507A"/>
    <w:rsid w:val="00D05481"/>
    <w:rsid w:val="00D05B19"/>
    <w:rsid w:val="00D05B44"/>
    <w:rsid w:val="00D05B73"/>
    <w:rsid w:val="00D05C49"/>
    <w:rsid w:val="00D05D93"/>
    <w:rsid w:val="00D05E59"/>
    <w:rsid w:val="00D05E60"/>
    <w:rsid w:val="00D05FDB"/>
    <w:rsid w:val="00D068A1"/>
    <w:rsid w:val="00D07557"/>
    <w:rsid w:val="00D076E6"/>
    <w:rsid w:val="00D07B41"/>
    <w:rsid w:val="00D07C24"/>
    <w:rsid w:val="00D10726"/>
    <w:rsid w:val="00D10817"/>
    <w:rsid w:val="00D10E75"/>
    <w:rsid w:val="00D1112A"/>
    <w:rsid w:val="00D11FA5"/>
    <w:rsid w:val="00D11FBA"/>
    <w:rsid w:val="00D12411"/>
    <w:rsid w:val="00D12749"/>
    <w:rsid w:val="00D12829"/>
    <w:rsid w:val="00D1292B"/>
    <w:rsid w:val="00D12985"/>
    <w:rsid w:val="00D12B2E"/>
    <w:rsid w:val="00D12B87"/>
    <w:rsid w:val="00D12CD6"/>
    <w:rsid w:val="00D12F20"/>
    <w:rsid w:val="00D12F82"/>
    <w:rsid w:val="00D13445"/>
    <w:rsid w:val="00D13714"/>
    <w:rsid w:val="00D13B24"/>
    <w:rsid w:val="00D13B35"/>
    <w:rsid w:val="00D13D7F"/>
    <w:rsid w:val="00D141F3"/>
    <w:rsid w:val="00D14343"/>
    <w:rsid w:val="00D14658"/>
    <w:rsid w:val="00D14935"/>
    <w:rsid w:val="00D14B36"/>
    <w:rsid w:val="00D1583F"/>
    <w:rsid w:val="00D15842"/>
    <w:rsid w:val="00D15C6B"/>
    <w:rsid w:val="00D15CFB"/>
    <w:rsid w:val="00D16053"/>
    <w:rsid w:val="00D160B9"/>
    <w:rsid w:val="00D16564"/>
    <w:rsid w:val="00D165FA"/>
    <w:rsid w:val="00D16C5F"/>
    <w:rsid w:val="00D16C87"/>
    <w:rsid w:val="00D1727A"/>
    <w:rsid w:val="00D1742F"/>
    <w:rsid w:val="00D17465"/>
    <w:rsid w:val="00D177A4"/>
    <w:rsid w:val="00D1799F"/>
    <w:rsid w:val="00D17CEC"/>
    <w:rsid w:val="00D2010A"/>
    <w:rsid w:val="00D20198"/>
    <w:rsid w:val="00D2033F"/>
    <w:rsid w:val="00D20584"/>
    <w:rsid w:val="00D208A4"/>
    <w:rsid w:val="00D208DE"/>
    <w:rsid w:val="00D20A33"/>
    <w:rsid w:val="00D20C1D"/>
    <w:rsid w:val="00D20CD6"/>
    <w:rsid w:val="00D20D96"/>
    <w:rsid w:val="00D20DAA"/>
    <w:rsid w:val="00D20EC2"/>
    <w:rsid w:val="00D21052"/>
    <w:rsid w:val="00D21411"/>
    <w:rsid w:val="00D2148D"/>
    <w:rsid w:val="00D216EE"/>
    <w:rsid w:val="00D22396"/>
    <w:rsid w:val="00D22617"/>
    <w:rsid w:val="00D227DC"/>
    <w:rsid w:val="00D22D94"/>
    <w:rsid w:val="00D232D0"/>
    <w:rsid w:val="00D233CC"/>
    <w:rsid w:val="00D233DD"/>
    <w:rsid w:val="00D2355D"/>
    <w:rsid w:val="00D235DC"/>
    <w:rsid w:val="00D23D1F"/>
    <w:rsid w:val="00D24474"/>
    <w:rsid w:val="00D244D0"/>
    <w:rsid w:val="00D244FB"/>
    <w:rsid w:val="00D248B7"/>
    <w:rsid w:val="00D24BAE"/>
    <w:rsid w:val="00D24D12"/>
    <w:rsid w:val="00D24DCA"/>
    <w:rsid w:val="00D253A6"/>
    <w:rsid w:val="00D254F4"/>
    <w:rsid w:val="00D25677"/>
    <w:rsid w:val="00D25922"/>
    <w:rsid w:val="00D26E51"/>
    <w:rsid w:val="00D26EFA"/>
    <w:rsid w:val="00D27623"/>
    <w:rsid w:val="00D27722"/>
    <w:rsid w:val="00D279ED"/>
    <w:rsid w:val="00D27ABC"/>
    <w:rsid w:val="00D27C30"/>
    <w:rsid w:val="00D27C59"/>
    <w:rsid w:val="00D27E7F"/>
    <w:rsid w:val="00D30604"/>
    <w:rsid w:val="00D308D2"/>
    <w:rsid w:val="00D30DEF"/>
    <w:rsid w:val="00D30DF5"/>
    <w:rsid w:val="00D30EE8"/>
    <w:rsid w:val="00D3133E"/>
    <w:rsid w:val="00D3158E"/>
    <w:rsid w:val="00D31714"/>
    <w:rsid w:val="00D3173A"/>
    <w:rsid w:val="00D31F27"/>
    <w:rsid w:val="00D323A2"/>
    <w:rsid w:val="00D32453"/>
    <w:rsid w:val="00D324F0"/>
    <w:rsid w:val="00D327D5"/>
    <w:rsid w:val="00D32886"/>
    <w:rsid w:val="00D32893"/>
    <w:rsid w:val="00D32BEF"/>
    <w:rsid w:val="00D32FC0"/>
    <w:rsid w:val="00D33706"/>
    <w:rsid w:val="00D33A6A"/>
    <w:rsid w:val="00D33E12"/>
    <w:rsid w:val="00D341B0"/>
    <w:rsid w:val="00D3429C"/>
    <w:rsid w:val="00D348CD"/>
    <w:rsid w:val="00D34B5D"/>
    <w:rsid w:val="00D34D00"/>
    <w:rsid w:val="00D34D44"/>
    <w:rsid w:val="00D34D5D"/>
    <w:rsid w:val="00D3550D"/>
    <w:rsid w:val="00D3565C"/>
    <w:rsid w:val="00D3567C"/>
    <w:rsid w:val="00D35722"/>
    <w:rsid w:val="00D357CB"/>
    <w:rsid w:val="00D3582E"/>
    <w:rsid w:val="00D35908"/>
    <w:rsid w:val="00D35F66"/>
    <w:rsid w:val="00D36161"/>
    <w:rsid w:val="00D36548"/>
    <w:rsid w:val="00D3690C"/>
    <w:rsid w:val="00D36FC3"/>
    <w:rsid w:val="00D37094"/>
    <w:rsid w:val="00D3716C"/>
    <w:rsid w:val="00D3729C"/>
    <w:rsid w:val="00D373A9"/>
    <w:rsid w:val="00D37B4B"/>
    <w:rsid w:val="00D37CC1"/>
    <w:rsid w:val="00D37F03"/>
    <w:rsid w:val="00D4019A"/>
    <w:rsid w:val="00D40505"/>
    <w:rsid w:val="00D405FA"/>
    <w:rsid w:val="00D407F5"/>
    <w:rsid w:val="00D40F35"/>
    <w:rsid w:val="00D411AB"/>
    <w:rsid w:val="00D4132A"/>
    <w:rsid w:val="00D41402"/>
    <w:rsid w:val="00D4151F"/>
    <w:rsid w:val="00D41792"/>
    <w:rsid w:val="00D41AF2"/>
    <w:rsid w:val="00D41EE4"/>
    <w:rsid w:val="00D421E0"/>
    <w:rsid w:val="00D42851"/>
    <w:rsid w:val="00D42E0E"/>
    <w:rsid w:val="00D4367C"/>
    <w:rsid w:val="00D43E7C"/>
    <w:rsid w:val="00D4431A"/>
    <w:rsid w:val="00D44448"/>
    <w:rsid w:val="00D444D3"/>
    <w:rsid w:val="00D448ED"/>
    <w:rsid w:val="00D44AC0"/>
    <w:rsid w:val="00D45469"/>
    <w:rsid w:val="00D457C5"/>
    <w:rsid w:val="00D457F8"/>
    <w:rsid w:val="00D45F0B"/>
    <w:rsid w:val="00D46173"/>
    <w:rsid w:val="00D463AA"/>
    <w:rsid w:val="00D467B3"/>
    <w:rsid w:val="00D4687C"/>
    <w:rsid w:val="00D46A4E"/>
    <w:rsid w:val="00D46E58"/>
    <w:rsid w:val="00D470FD"/>
    <w:rsid w:val="00D475FF"/>
    <w:rsid w:val="00D478D5"/>
    <w:rsid w:val="00D500E6"/>
    <w:rsid w:val="00D5029D"/>
    <w:rsid w:val="00D502B5"/>
    <w:rsid w:val="00D50730"/>
    <w:rsid w:val="00D50C9E"/>
    <w:rsid w:val="00D50DFC"/>
    <w:rsid w:val="00D5105C"/>
    <w:rsid w:val="00D5132F"/>
    <w:rsid w:val="00D5137B"/>
    <w:rsid w:val="00D5148B"/>
    <w:rsid w:val="00D514A2"/>
    <w:rsid w:val="00D515B4"/>
    <w:rsid w:val="00D517A6"/>
    <w:rsid w:val="00D5185F"/>
    <w:rsid w:val="00D52022"/>
    <w:rsid w:val="00D52064"/>
    <w:rsid w:val="00D525C5"/>
    <w:rsid w:val="00D5280F"/>
    <w:rsid w:val="00D52D04"/>
    <w:rsid w:val="00D53397"/>
    <w:rsid w:val="00D535AD"/>
    <w:rsid w:val="00D53604"/>
    <w:rsid w:val="00D53679"/>
    <w:rsid w:val="00D537A7"/>
    <w:rsid w:val="00D539A1"/>
    <w:rsid w:val="00D53EB3"/>
    <w:rsid w:val="00D54339"/>
    <w:rsid w:val="00D5449B"/>
    <w:rsid w:val="00D54560"/>
    <w:rsid w:val="00D545EA"/>
    <w:rsid w:val="00D54793"/>
    <w:rsid w:val="00D5484A"/>
    <w:rsid w:val="00D548A8"/>
    <w:rsid w:val="00D55885"/>
    <w:rsid w:val="00D56162"/>
    <w:rsid w:val="00D5659F"/>
    <w:rsid w:val="00D56778"/>
    <w:rsid w:val="00D567F2"/>
    <w:rsid w:val="00D56F30"/>
    <w:rsid w:val="00D56FD5"/>
    <w:rsid w:val="00D574F6"/>
    <w:rsid w:val="00D579C8"/>
    <w:rsid w:val="00D579F8"/>
    <w:rsid w:val="00D57CE0"/>
    <w:rsid w:val="00D57DB5"/>
    <w:rsid w:val="00D60033"/>
    <w:rsid w:val="00D60161"/>
    <w:rsid w:val="00D601BC"/>
    <w:rsid w:val="00D604B4"/>
    <w:rsid w:val="00D608B9"/>
    <w:rsid w:val="00D608F4"/>
    <w:rsid w:val="00D60932"/>
    <w:rsid w:val="00D6097C"/>
    <w:rsid w:val="00D60A68"/>
    <w:rsid w:val="00D6168C"/>
    <w:rsid w:val="00D62184"/>
    <w:rsid w:val="00D622B9"/>
    <w:rsid w:val="00D622BC"/>
    <w:rsid w:val="00D62B0A"/>
    <w:rsid w:val="00D6329D"/>
    <w:rsid w:val="00D63532"/>
    <w:rsid w:val="00D63817"/>
    <w:rsid w:val="00D63888"/>
    <w:rsid w:val="00D63BE7"/>
    <w:rsid w:val="00D63D45"/>
    <w:rsid w:val="00D640AD"/>
    <w:rsid w:val="00D645D9"/>
    <w:rsid w:val="00D6464B"/>
    <w:rsid w:val="00D647AA"/>
    <w:rsid w:val="00D64BC6"/>
    <w:rsid w:val="00D64C4F"/>
    <w:rsid w:val="00D64EC7"/>
    <w:rsid w:val="00D6525A"/>
    <w:rsid w:val="00D65326"/>
    <w:rsid w:val="00D65402"/>
    <w:rsid w:val="00D659AD"/>
    <w:rsid w:val="00D65A6C"/>
    <w:rsid w:val="00D66486"/>
    <w:rsid w:val="00D664A1"/>
    <w:rsid w:val="00D66972"/>
    <w:rsid w:val="00D66ACA"/>
    <w:rsid w:val="00D66B32"/>
    <w:rsid w:val="00D66BB6"/>
    <w:rsid w:val="00D66D21"/>
    <w:rsid w:val="00D66D4B"/>
    <w:rsid w:val="00D66F54"/>
    <w:rsid w:val="00D67448"/>
    <w:rsid w:val="00D676A7"/>
    <w:rsid w:val="00D67900"/>
    <w:rsid w:val="00D67B76"/>
    <w:rsid w:val="00D67CB9"/>
    <w:rsid w:val="00D67D21"/>
    <w:rsid w:val="00D70279"/>
    <w:rsid w:val="00D70282"/>
    <w:rsid w:val="00D702A5"/>
    <w:rsid w:val="00D7072A"/>
    <w:rsid w:val="00D710B9"/>
    <w:rsid w:val="00D71154"/>
    <w:rsid w:val="00D71325"/>
    <w:rsid w:val="00D7187A"/>
    <w:rsid w:val="00D721CD"/>
    <w:rsid w:val="00D72256"/>
    <w:rsid w:val="00D72332"/>
    <w:rsid w:val="00D729ED"/>
    <w:rsid w:val="00D730E6"/>
    <w:rsid w:val="00D7371F"/>
    <w:rsid w:val="00D737AF"/>
    <w:rsid w:val="00D73819"/>
    <w:rsid w:val="00D7397E"/>
    <w:rsid w:val="00D74638"/>
    <w:rsid w:val="00D74CF0"/>
    <w:rsid w:val="00D751AF"/>
    <w:rsid w:val="00D75386"/>
    <w:rsid w:val="00D75EBD"/>
    <w:rsid w:val="00D75FCD"/>
    <w:rsid w:val="00D76101"/>
    <w:rsid w:val="00D76161"/>
    <w:rsid w:val="00D768E4"/>
    <w:rsid w:val="00D76915"/>
    <w:rsid w:val="00D76B84"/>
    <w:rsid w:val="00D771A0"/>
    <w:rsid w:val="00D771BC"/>
    <w:rsid w:val="00D773B1"/>
    <w:rsid w:val="00D77697"/>
    <w:rsid w:val="00D77BE5"/>
    <w:rsid w:val="00D77D39"/>
    <w:rsid w:val="00D809B5"/>
    <w:rsid w:val="00D80B77"/>
    <w:rsid w:val="00D80BA5"/>
    <w:rsid w:val="00D80BEC"/>
    <w:rsid w:val="00D80ECF"/>
    <w:rsid w:val="00D80F69"/>
    <w:rsid w:val="00D81887"/>
    <w:rsid w:val="00D81C9F"/>
    <w:rsid w:val="00D81F09"/>
    <w:rsid w:val="00D820DA"/>
    <w:rsid w:val="00D82244"/>
    <w:rsid w:val="00D8295F"/>
    <w:rsid w:val="00D829E9"/>
    <w:rsid w:val="00D82D9D"/>
    <w:rsid w:val="00D83258"/>
    <w:rsid w:val="00D832CF"/>
    <w:rsid w:val="00D83759"/>
    <w:rsid w:val="00D83B14"/>
    <w:rsid w:val="00D83B49"/>
    <w:rsid w:val="00D847A6"/>
    <w:rsid w:val="00D84BFF"/>
    <w:rsid w:val="00D84D84"/>
    <w:rsid w:val="00D85054"/>
    <w:rsid w:val="00D851D3"/>
    <w:rsid w:val="00D854BA"/>
    <w:rsid w:val="00D85566"/>
    <w:rsid w:val="00D85805"/>
    <w:rsid w:val="00D858EE"/>
    <w:rsid w:val="00D85E81"/>
    <w:rsid w:val="00D86068"/>
    <w:rsid w:val="00D860FD"/>
    <w:rsid w:val="00D862E7"/>
    <w:rsid w:val="00D86B50"/>
    <w:rsid w:val="00D86C70"/>
    <w:rsid w:val="00D86FDD"/>
    <w:rsid w:val="00D86FF1"/>
    <w:rsid w:val="00D8716F"/>
    <w:rsid w:val="00D87C0F"/>
    <w:rsid w:val="00D87E78"/>
    <w:rsid w:val="00D90144"/>
    <w:rsid w:val="00D9049F"/>
    <w:rsid w:val="00D905AC"/>
    <w:rsid w:val="00D907A4"/>
    <w:rsid w:val="00D90A15"/>
    <w:rsid w:val="00D90C28"/>
    <w:rsid w:val="00D90CF4"/>
    <w:rsid w:val="00D90D5A"/>
    <w:rsid w:val="00D911AD"/>
    <w:rsid w:val="00D9177F"/>
    <w:rsid w:val="00D918F8"/>
    <w:rsid w:val="00D91A39"/>
    <w:rsid w:val="00D91C13"/>
    <w:rsid w:val="00D91C9B"/>
    <w:rsid w:val="00D91D87"/>
    <w:rsid w:val="00D92DA6"/>
    <w:rsid w:val="00D92E6C"/>
    <w:rsid w:val="00D92EF9"/>
    <w:rsid w:val="00D930A6"/>
    <w:rsid w:val="00D931F5"/>
    <w:rsid w:val="00D932ED"/>
    <w:rsid w:val="00D93480"/>
    <w:rsid w:val="00D93972"/>
    <w:rsid w:val="00D93988"/>
    <w:rsid w:val="00D93B82"/>
    <w:rsid w:val="00D93BB3"/>
    <w:rsid w:val="00D9409A"/>
    <w:rsid w:val="00D94676"/>
    <w:rsid w:val="00D947DF"/>
    <w:rsid w:val="00D9497A"/>
    <w:rsid w:val="00D957F3"/>
    <w:rsid w:val="00D959B8"/>
    <w:rsid w:val="00D959F9"/>
    <w:rsid w:val="00D96196"/>
    <w:rsid w:val="00D9646F"/>
    <w:rsid w:val="00D96C93"/>
    <w:rsid w:val="00D96E94"/>
    <w:rsid w:val="00D96FF9"/>
    <w:rsid w:val="00D972F0"/>
    <w:rsid w:val="00D9732D"/>
    <w:rsid w:val="00D979BD"/>
    <w:rsid w:val="00D97CF6"/>
    <w:rsid w:val="00D97D72"/>
    <w:rsid w:val="00D97D83"/>
    <w:rsid w:val="00DA068A"/>
    <w:rsid w:val="00DA0A34"/>
    <w:rsid w:val="00DA0DCE"/>
    <w:rsid w:val="00DA0E4C"/>
    <w:rsid w:val="00DA0F50"/>
    <w:rsid w:val="00DA1972"/>
    <w:rsid w:val="00DA1A5B"/>
    <w:rsid w:val="00DA1A87"/>
    <w:rsid w:val="00DA1B86"/>
    <w:rsid w:val="00DA1BBF"/>
    <w:rsid w:val="00DA26A9"/>
    <w:rsid w:val="00DA2852"/>
    <w:rsid w:val="00DA2970"/>
    <w:rsid w:val="00DA29CC"/>
    <w:rsid w:val="00DA3119"/>
    <w:rsid w:val="00DA366C"/>
    <w:rsid w:val="00DA38EC"/>
    <w:rsid w:val="00DA4114"/>
    <w:rsid w:val="00DA4333"/>
    <w:rsid w:val="00DA4794"/>
    <w:rsid w:val="00DA485B"/>
    <w:rsid w:val="00DA4999"/>
    <w:rsid w:val="00DA4DBC"/>
    <w:rsid w:val="00DA53DD"/>
    <w:rsid w:val="00DA558A"/>
    <w:rsid w:val="00DA5A56"/>
    <w:rsid w:val="00DA5BA9"/>
    <w:rsid w:val="00DA5D8E"/>
    <w:rsid w:val="00DA6910"/>
    <w:rsid w:val="00DA6911"/>
    <w:rsid w:val="00DA69FA"/>
    <w:rsid w:val="00DA6AC9"/>
    <w:rsid w:val="00DA6E09"/>
    <w:rsid w:val="00DA6E0E"/>
    <w:rsid w:val="00DA702A"/>
    <w:rsid w:val="00DA7208"/>
    <w:rsid w:val="00DA7413"/>
    <w:rsid w:val="00DA7988"/>
    <w:rsid w:val="00DA7A85"/>
    <w:rsid w:val="00DA7B86"/>
    <w:rsid w:val="00DA7D4D"/>
    <w:rsid w:val="00DA7DD8"/>
    <w:rsid w:val="00DB0132"/>
    <w:rsid w:val="00DB0668"/>
    <w:rsid w:val="00DB073B"/>
    <w:rsid w:val="00DB09CB"/>
    <w:rsid w:val="00DB0E12"/>
    <w:rsid w:val="00DB14A7"/>
    <w:rsid w:val="00DB1A9E"/>
    <w:rsid w:val="00DB268C"/>
    <w:rsid w:val="00DB26C5"/>
    <w:rsid w:val="00DB2A49"/>
    <w:rsid w:val="00DB2D0F"/>
    <w:rsid w:val="00DB2F6A"/>
    <w:rsid w:val="00DB3728"/>
    <w:rsid w:val="00DB39E0"/>
    <w:rsid w:val="00DB3C1E"/>
    <w:rsid w:val="00DB3C3C"/>
    <w:rsid w:val="00DB4008"/>
    <w:rsid w:val="00DB45FC"/>
    <w:rsid w:val="00DB563E"/>
    <w:rsid w:val="00DB5BC1"/>
    <w:rsid w:val="00DB5E21"/>
    <w:rsid w:val="00DB60DC"/>
    <w:rsid w:val="00DB6CB4"/>
    <w:rsid w:val="00DB6E8B"/>
    <w:rsid w:val="00DB6EC3"/>
    <w:rsid w:val="00DB7236"/>
    <w:rsid w:val="00DB7375"/>
    <w:rsid w:val="00DB7471"/>
    <w:rsid w:val="00DB7502"/>
    <w:rsid w:val="00DB7980"/>
    <w:rsid w:val="00DB7A7B"/>
    <w:rsid w:val="00DB7B3F"/>
    <w:rsid w:val="00DB7C81"/>
    <w:rsid w:val="00DC0444"/>
    <w:rsid w:val="00DC0635"/>
    <w:rsid w:val="00DC0669"/>
    <w:rsid w:val="00DC0B76"/>
    <w:rsid w:val="00DC0B79"/>
    <w:rsid w:val="00DC0FC9"/>
    <w:rsid w:val="00DC1749"/>
    <w:rsid w:val="00DC1760"/>
    <w:rsid w:val="00DC1C98"/>
    <w:rsid w:val="00DC1DDE"/>
    <w:rsid w:val="00DC20A9"/>
    <w:rsid w:val="00DC27A6"/>
    <w:rsid w:val="00DC282F"/>
    <w:rsid w:val="00DC28B9"/>
    <w:rsid w:val="00DC29B6"/>
    <w:rsid w:val="00DC2F02"/>
    <w:rsid w:val="00DC2F7E"/>
    <w:rsid w:val="00DC30C8"/>
    <w:rsid w:val="00DC31B1"/>
    <w:rsid w:val="00DC35F8"/>
    <w:rsid w:val="00DC3F70"/>
    <w:rsid w:val="00DC43DD"/>
    <w:rsid w:val="00DC443D"/>
    <w:rsid w:val="00DC460B"/>
    <w:rsid w:val="00DC46BE"/>
    <w:rsid w:val="00DC481D"/>
    <w:rsid w:val="00DC4820"/>
    <w:rsid w:val="00DC4D0D"/>
    <w:rsid w:val="00DC5285"/>
    <w:rsid w:val="00DC5551"/>
    <w:rsid w:val="00DC56B8"/>
    <w:rsid w:val="00DC58C6"/>
    <w:rsid w:val="00DC5952"/>
    <w:rsid w:val="00DC5976"/>
    <w:rsid w:val="00DC5D17"/>
    <w:rsid w:val="00DC5FC8"/>
    <w:rsid w:val="00DC6B22"/>
    <w:rsid w:val="00DC6C3A"/>
    <w:rsid w:val="00DC6D6D"/>
    <w:rsid w:val="00DC6E38"/>
    <w:rsid w:val="00DC74E3"/>
    <w:rsid w:val="00DC7AA0"/>
    <w:rsid w:val="00DD0171"/>
    <w:rsid w:val="00DD017A"/>
    <w:rsid w:val="00DD0310"/>
    <w:rsid w:val="00DD03E8"/>
    <w:rsid w:val="00DD0777"/>
    <w:rsid w:val="00DD07AE"/>
    <w:rsid w:val="00DD07D3"/>
    <w:rsid w:val="00DD1032"/>
    <w:rsid w:val="00DD141B"/>
    <w:rsid w:val="00DD15C6"/>
    <w:rsid w:val="00DD1D49"/>
    <w:rsid w:val="00DD1E3C"/>
    <w:rsid w:val="00DD1EF3"/>
    <w:rsid w:val="00DD2706"/>
    <w:rsid w:val="00DD270B"/>
    <w:rsid w:val="00DD283F"/>
    <w:rsid w:val="00DD285E"/>
    <w:rsid w:val="00DD29AD"/>
    <w:rsid w:val="00DD33E6"/>
    <w:rsid w:val="00DD3A15"/>
    <w:rsid w:val="00DD3B18"/>
    <w:rsid w:val="00DD3C76"/>
    <w:rsid w:val="00DD3F0B"/>
    <w:rsid w:val="00DD4135"/>
    <w:rsid w:val="00DD43B7"/>
    <w:rsid w:val="00DD48B9"/>
    <w:rsid w:val="00DD4B72"/>
    <w:rsid w:val="00DD5003"/>
    <w:rsid w:val="00DD5233"/>
    <w:rsid w:val="00DD5857"/>
    <w:rsid w:val="00DD5901"/>
    <w:rsid w:val="00DD5AA1"/>
    <w:rsid w:val="00DD5AB3"/>
    <w:rsid w:val="00DD5CC3"/>
    <w:rsid w:val="00DD6510"/>
    <w:rsid w:val="00DD6B92"/>
    <w:rsid w:val="00DD6E01"/>
    <w:rsid w:val="00DD6E04"/>
    <w:rsid w:val="00DD7364"/>
    <w:rsid w:val="00DD75EA"/>
    <w:rsid w:val="00DD7660"/>
    <w:rsid w:val="00DD7A3E"/>
    <w:rsid w:val="00DD7F51"/>
    <w:rsid w:val="00DE0764"/>
    <w:rsid w:val="00DE0884"/>
    <w:rsid w:val="00DE0B29"/>
    <w:rsid w:val="00DE0BF9"/>
    <w:rsid w:val="00DE0D46"/>
    <w:rsid w:val="00DE124B"/>
    <w:rsid w:val="00DE128F"/>
    <w:rsid w:val="00DE20D8"/>
    <w:rsid w:val="00DE2AD4"/>
    <w:rsid w:val="00DE2D21"/>
    <w:rsid w:val="00DE2DA0"/>
    <w:rsid w:val="00DE3080"/>
    <w:rsid w:val="00DE3B4D"/>
    <w:rsid w:val="00DE3DB5"/>
    <w:rsid w:val="00DE409D"/>
    <w:rsid w:val="00DE4A8B"/>
    <w:rsid w:val="00DE4AEF"/>
    <w:rsid w:val="00DE4B1F"/>
    <w:rsid w:val="00DE5206"/>
    <w:rsid w:val="00DE5656"/>
    <w:rsid w:val="00DE57BF"/>
    <w:rsid w:val="00DE5A4B"/>
    <w:rsid w:val="00DE6097"/>
    <w:rsid w:val="00DE6A0E"/>
    <w:rsid w:val="00DE6AC9"/>
    <w:rsid w:val="00DE71DC"/>
    <w:rsid w:val="00DE72B0"/>
    <w:rsid w:val="00DE7826"/>
    <w:rsid w:val="00DE7B2B"/>
    <w:rsid w:val="00DE7E3D"/>
    <w:rsid w:val="00DF0034"/>
    <w:rsid w:val="00DF0159"/>
    <w:rsid w:val="00DF04E2"/>
    <w:rsid w:val="00DF078A"/>
    <w:rsid w:val="00DF1EE2"/>
    <w:rsid w:val="00DF1F12"/>
    <w:rsid w:val="00DF2744"/>
    <w:rsid w:val="00DF28EB"/>
    <w:rsid w:val="00DF2A85"/>
    <w:rsid w:val="00DF2A94"/>
    <w:rsid w:val="00DF39F1"/>
    <w:rsid w:val="00DF3E8C"/>
    <w:rsid w:val="00DF4640"/>
    <w:rsid w:val="00DF4983"/>
    <w:rsid w:val="00DF4ABC"/>
    <w:rsid w:val="00DF50CC"/>
    <w:rsid w:val="00DF56F8"/>
    <w:rsid w:val="00DF570C"/>
    <w:rsid w:val="00DF58FD"/>
    <w:rsid w:val="00DF5922"/>
    <w:rsid w:val="00DF5E0B"/>
    <w:rsid w:val="00DF5E94"/>
    <w:rsid w:val="00DF5F1F"/>
    <w:rsid w:val="00DF5F39"/>
    <w:rsid w:val="00DF6249"/>
    <w:rsid w:val="00DF6366"/>
    <w:rsid w:val="00DF63D2"/>
    <w:rsid w:val="00DF63EC"/>
    <w:rsid w:val="00DF65EF"/>
    <w:rsid w:val="00DF6A1A"/>
    <w:rsid w:val="00DF6A65"/>
    <w:rsid w:val="00DF6AB8"/>
    <w:rsid w:val="00DF6B85"/>
    <w:rsid w:val="00DF70D3"/>
    <w:rsid w:val="00DF72DF"/>
    <w:rsid w:val="00DF73CE"/>
    <w:rsid w:val="00DF7EF1"/>
    <w:rsid w:val="00E00073"/>
    <w:rsid w:val="00E000AB"/>
    <w:rsid w:val="00E000F7"/>
    <w:rsid w:val="00E005FF"/>
    <w:rsid w:val="00E00B19"/>
    <w:rsid w:val="00E00D64"/>
    <w:rsid w:val="00E00EFE"/>
    <w:rsid w:val="00E014C8"/>
    <w:rsid w:val="00E0196A"/>
    <w:rsid w:val="00E01B2D"/>
    <w:rsid w:val="00E01F8F"/>
    <w:rsid w:val="00E02018"/>
    <w:rsid w:val="00E021CF"/>
    <w:rsid w:val="00E0299D"/>
    <w:rsid w:val="00E02B27"/>
    <w:rsid w:val="00E02C00"/>
    <w:rsid w:val="00E02DD4"/>
    <w:rsid w:val="00E03135"/>
    <w:rsid w:val="00E032E0"/>
    <w:rsid w:val="00E035FB"/>
    <w:rsid w:val="00E0382B"/>
    <w:rsid w:val="00E03D31"/>
    <w:rsid w:val="00E041AB"/>
    <w:rsid w:val="00E04345"/>
    <w:rsid w:val="00E045EE"/>
    <w:rsid w:val="00E04649"/>
    <w:rsid w:val="00E05173"/>
    <w:rsid w:val="00E0567B"/>
    <w:rsid w:val="00E05D2A"/>
    <w:rsid w:val="00E05ECB"/>
    <w:rsid w:val="00E05FD3"/>
    <w:rsid w:val="00E0621B"/>
    <w:rsid w:val="00E06284"/>
    <w:rsid w:val="00E062BA"/>
    <w:rsid w:val="00E06357"/>
    <w:rsid w:val="00E06953"/>
    <w:rsid w:val="00E0734B"/>
    <w:rsid w:val="00E07B03"/>
    <w:rsid w:val="00E10365"/>
    <w:rsid w:val="00E10428"/>
    <w:rsid w:val="00E104B8"/>
    <w:rsid w:val="00E10889"/>
    <w:rsid w:val="00E1089B"/>
    <w:rsid w:val="00E10B70"/>
    <w:rsid w:val="00E11227"/>
    <w:rsid w:val="00E11452"/>
    <w:rsid w:val="00E11577"/>
    <w:rsid w:val="00E11812"/>
    <w:rsid w:val="00E11899"/>
    <w:rsid w:val="00E11D06"/>
    <w:rsid w:val="00E11DDC"/>
    <w:rsid w:val="00E11DF2"/>
    <w:rsid w:val="00E11FED"/>
    <w:rsid w:val="00E122FA"/>
    <w:rsid w:val="00E12B50"/>
    <w:rsid w:val="00E12CE2"/>
    <w:rsid w:val="00E12EF3"/>
    <w:rsid w:val="00E1327A"/>
    <w:rsid w:val="00E132CB"/>
    <w:rsid w:val="00E1348F"/>
    <w:rsid w:val="00E137C5"/>
    <w:rsid w:val="00E13804"/>
    <w:rsid w:val="00E13B37"/>
    <w:rsid w:val="00E13D60"/>
    <w:rsid w:val="00E13E37"/>
    <w:rsid w:val="00E13EDF"/>
    <w:rsid w:val="00E13F73"/>
    <w:rsid w:val="00E1465E"/>
    <w:rsid w:val="00E14ABF"/>
    <w:rsid w:val="00E15138"/>
    <w:rsid w:val="00E154D7"/>
    <w:rsid w:val="00E155B4"/>
    <w:rsid w:val="00E15682"/>
    <w:rsid w:val="00E1569D"/>
    <w:rsid w:val="00E15A67"/>
    <w:rsid w:val="00E15E55"/>
    <w:rsid w:val="00E16669"/>
    <w:rsid w:val="00E1677B"/>
    <w:rsid w:val="00E16ABD"/>
    <w:rsid w:val="00E16F90"/>
    <w:rsid w:val="00E1731B"/>
    <w:rsid w:val="00E1731E"/>
    <w:rsid w:val="00E175BD"/>
    <w:rsid w:val="00E177F2"/>
    <w:rsid w:val="00E17844"/>
    <w:rsid w:val="00E17907"/>
    <w:rsid w:val="00E17C2B"/>
    <w:rsid w:val="00E17E9F"/>
    <w:rsid w:val="00E202A2"/>
    <w:rsid w:val="00E2038B"/>
    <w:rsid w:val="00E2053E"/>
    <w:rsid w:val="00E20552"/>
    <w:rsid w:val="00E20558"/>
    <w:rsid w:val="00E206ED"/>
    <w:rsid w:val="00E2089E"/>
    <w:rsid w:val="00E20953"/>
    <w:rsid w:val="00E209ED"/>
    <w:rsid w:val="00E20B87"/>
    <w:rsid w:val="00E20C25"/>
    <w:rsid w:val="00E216DC"/>
    <w:rsid w:val="00E21A76"/>
    <w:rsid w:val="00E21B80"/>
    <w:rsid w:val="00E21EEA"/>
    <w:rsid w:val="00E21F6F"/>
    <w:rsid w:val="00E21F9E"/>
    <w:rsid w:val="00E22065"/>
    <w:rsid w:val="00E22131"/>
    <w:rsid w:val="00E2226D"/>
    <w:rsid w:val="00E22860"/>
    <w:rsid w:val="00E22B90"/>
    <w:rsid w:val="00E22CF7"/>
    <w:rsid w:val="00E23163"/>
    <w:rsid w:val="00E2373E"/>
    <w:rsid w:val="00E237A9"/>
    <w:rsid w:val="00E23800"/>
    <w:rsid w:val="00E23958"/>
    <w:rsid w:val="00E23D46"/>
    <w:rsid w:val="00E24224"/>
    <w:rsid w:val="00E2429A"/>
    <w:rsid w:val="00E243C1"/>
    <w:rsid w:val="00E24798"/>
    <w:rsid w:val="00E248D1"/>
    <w:rsid w:val="00E2496C"/>
    <w:rsid w:val="00E251A3"/>
    <w:rsid w:val="00E25A85"/>
    <w:rsid w:val="00E25B39"/>
    <w:rsid w:val="00E25C25"/>
    <w:rsid w:val="00E25C6E"/>
    <w:rsid w:val="00E26314"/>
    <w:rsid w:val="00E26843"/>
    <w:rsid w:val="00E2691F"/>
    <w:rsid w:val="00E26970"/>
    <w:rsid w:val="00E272AD"/>
    <w:rsid w:val="00E272B9"/>
    <w:rsid w:val="00E275D2"/>
    <w:rsid w:val="00E27935"/>
    <w:rsid w:val="00E27B99"/>
    <w:rsid w:val="00E27BD6"/>
    <w:rsid w:val="00E27ECA"/>
    <w:rsid w:val="00E27FF4"/>
    <w:rsid w:val="00E30352"/>
    <w:rsid w:val="00E30415"/>
    <w:rsid w:val="00E30703"/>
    <w:rsid w:val="00E309F0"/>
    <w:rsid w:val="00E30B42"/>
    <w:rsid w:val="00E30D94"/>
    <w:rsid w:val="00E30DFE"/>
    <w:rsid w:val="00E3106B"/>
    <w:rsid w:val="00E311F4"/>
    <w:rsid w:val="00E313F4"/>
    <w:rsid w:val="00E3157E"/>
    <w:rsid w:val="00E31786"/>
    <w:rsid w:val="00E318ED"/>
    <w:rsid w:val="00E31908"/>
    <w:rsid w:val="00E319A1"/>
    <w:rsid w:val="00E31F42"/>
    <w:rsid w:val="00E31FD6"/>
    <w:rsid w:val="00E320F8"/>
    <w:rsid w:val="00E32393"/>
    <w:rsid w:val="00E32550"/>
    <w:rsid w:val="00E3268D"/>
    <w:rsid w:val="00E32961"/>
    <w:rsid w:val="00E32ABA"/>
    <w:rsid w:val="00E32D29"/>
    <w:rsid w:val="00E33222"/>
    <w:rsid w:val="00E3345E"/>
    <w:rsid w:val="00E334C3"/>
    <w:rsid w:val="00E336EE"/>
    <w:rsid w:val="00E33897"/>
    <w:rsid w:val="00E33BBA"/>
    <w:rsid w:val="00E33C03"/>
    <w:rsid w:val="00E33C70"/>
    <w:rsid w:val="00E33D6D"/>
    <w:rsid w:val="00E33E6F"/>
    <w:rsid w:val="00E341E2"/>
    <w:rsid w:val="00E34211"/>
    <w:rsid w:val="00E34552"/>
    <w:rsid w:val="00E345E4"/>
    <w:rsid w:val="00E347A1"/>
    <w:rsid w:val="00E34850"/>
    <w:rsid w:val="00E350B6"/>
    <w:rsid w:val="00E351E7"/>
    <w:rsid w:val="00E35835"/>
    <w:rsid w:val="00E35A40"/>
    <w:rsid w:val="00E35A69"/>
    <w:rsid w:val="00E35F01"/>
    <w:rsid w:val="00E35F29"/>
    <w:rsid w:val="00E35FE0"/>
    <w:rsid w:val="00E368F3"/>
    <w:rsid w:val="00E36B8D"/>
    <w:rsid w:val="00E36B91"/>
    <w:rsid w:val="00E36FE7"/>
    <w:rsid w:val="00E37292"/>
    <w:rsid w:val="00E373EC"/>
    <w:rsid w:val="00E37D23"/>
    <w:rsid w:val="00E37DD8"/>
    <w:rsid w:val="00E37E60"/>
    <w:rsid w:val="00E37F4C"/>
    <w:rsid w:val="00E4024A"/>
    <w:rsid w:val="00E405DC"/>
    <w:rsid w:val="00E40E4F"/>
    <w:rsid w:val="00E41060"/>
    <w:rsid w:val="00E413CB"/>
    <w:rsid w:val="00E41423"/>
    <w:rsid w:val="00E414FD"/>
    <w:rsid w:val="00E4158F"/>
    <w:rsid w:val="00E4189A"/>
    <w:rsid w:val="00E41B44"/>
    <w:rsid w:val="00E41B4E"/>
    <w:rsid w:val="00E4209C"/>
    <w:rsid w:val="00E422A0"/>
    <w:rsid w:val="00E426A3"/>
    <w:rsid w:val="00E42CEC"/>
    <w:rsid w:val="00E43365"/>
    <w:rsid w:val="00E43801"/>
    <w:rsid w:val="00E439AD"/>
    <w:rsid w:val="00E43B05"/>
    <w:rsid w:val="00E43CDA"/>
    <w:rsid w:val="00E43E60"/>
    <w:rsid w:val="00E43FF8"/>
    <w:rsid w:val="00E44049"/>
    <w:rsid w:val="00E4404E"/>
    <w:rsid w:val="00E44353"/>
    <w:rsid w:val="00E44412"/>
    <w:rsid w:val="00E44BA4"/>
    <w:rsid w:val="00E44DE5"/>
    <w:rsid w:val="00E45222"/>
    <w:rsid w:val="00E459E7"/>
    <w:rsid w:val="00E45D2A"/>
    <w:rsid w:val="00E45DC7"/>
    <w:rsid w:val="00E463FA"/>
    <w:rsid w:val="00E466B4"/>
    <w:rsid w:val="00E46C14"/>
    <w:rsid w:val="00E46F50"/>
    <w:rsid w:val="00E47A37"/>
    <w:rsid w:val="00E47AC0"/>
    <w:rsid w:val="00E47F4A"/>
    <w:rsid w:val="00E47F9A"/>
    <w:rsid w:val="00E5049E"/>
    <w:rsid w:val="00E509D9"/>
    <w:rsid w:val="00E50AAF"/>
    <w:rsid w:val="00E50B98"/>
    <w:rsid w:val="00E50C8B"/>
    <w:rsid w:val="00E50CF0"/>
    <w:rsid w:val="00E51257"/>
    <w:rsid w:val="00E51264"/>
    <w:rsid w:val="00E512DF"/>
    <w:rsid w:val="00E515E7"/>
    <w:rsid w:val="00E51969"/>
    <w:rsid w:val="00E51BDB"/>
    <w:rsid w:val="00E51CF0"/>
    <w:rsid w:val="00E51E2C"/>
    <w:rsid w:val="00E51F7F"/>
    <w:rsid w:val="00E52058"/>
    <w:rsid w:val="00E523F6"/>
    <w:rsid w:val="00E525E0"/>
    <w:rsid w:val="00E52758"/>
    <w:rsid w:val="00E52ACB"/>
    <w:rsid w:val="00E52D55"/>
    <w:rsid w:val="00E52D9B"/>
    <w:rsid w:val="00E5380A"/>
    <w:rsid w:val="00E53A4F"/>
    <w:rsid w:val="00E53B99"/>
    <w:rsid w:val="00E54102"/>
    <w:rsid w:val="00E541A9"/>
    <w:rsid w:val="00E54341"/>
    <w:rsid w:val="00E5472E"/>
    <w:rsid w:val="00E549D4"/>
    <w:rsid w:val="00E5580C"/>
    <w:rsid w:val="00E558BB"/>
    <w:rsid w:val="00E55B49"/>
    <w:rsid w:val="00E55FD5"/>
    <w:rsid w:val="00E56769"/>
    <w:rsid w:val="00E569B5"/>
    <w:rsid w:val="00E56F64"/>
    <w:rsid w:val="00E5705A"/>
    <w:rsid w:val="00E57259"/>
    <w:rsid w:val="00E57406"/>
    <w:rsid w:val="00E57CFC"/>
    <w:rsid w:val="00E57FC0"/>
    <w:rsid w:val="00E608CB"/>
    <w:rsid w:val="00E60A8B"/>
    <w:rsid w:val="00E60BB8"/>
    <w:rsid w:val="00E60E28"/>
    <w:rsid w:val="00E60F7C"/>
    <w:rsid w:val="00E6106A"/>
    <w:rsid w:val="00E6121A"/>
    <w:rsid w:val="00E61873"/>
    <w:rsid w:val="00E61960"/>
    <w:rsid w:val="00E61C7A"/>
    <w:rsid w:val="00E61E19"/>
    <w:rsid w:val="00E62025"/>
    <w:rsid w:val="00E626A6"/>
    <w:rsid w:val="00E6277D"/>
    <w:rsid w:val="00E62F1F"/>
    <w:rsid w:val="00E63168"/>
    <w:rsid w:val="00E63317"/>
    <w:rsid w:val="00E63AB0"/>
    <w:rsid w:val="00E63C33"/>
    <w:rsid w:val="00E64C70"/>
    <w:rsid w:val="00E64F87"/>
    <w:rsid w:val="00E64FCF"/>
    <w:rsid w:val="00E650EC"/>
    <w:rsid w:val="00E65D71"/>
    <w:rsid w:val="00E65EA8"/>
    <w:rsid w:val="00E65ECC"/>
    <w:rsid w:val="00E66197"/>
    <w:rsid w:val="00E66320"/>
    <w:rsid w:val="00E66434"/>
    <w:rsid w:val="00E6692E"/>
    <w:rsid w:val="00E66B16"/>
    <w:rsid w:val="00E6709B"/>
    <w:rsid w:val="00E671D3"/>
    <w:rsid w:val="00E673C8"/>
    <w:rsid w:val="00E67787"/>
    <w:rsid w:val="00E67AE9"/>
    <w:rsid w:val="00E67B8B"/>
    <w:rsid w:val="00E7039A"/>
    <w:rsid w:val="00E704EB"/>
    <w:rsid w:val="00E7089B"/>
    <w:rsid w:val="00E70A5B"/>
    <w:rsid w:val="00E70BDB"/>
    <w:rsid w:val="00E70C37"/>
    <w:rsid w:val="00E70D05"/>
    <w:rsid w:val="00E70E26"/>
    <w:rsid w:val="00E70F8B"/>
    <w:rsid w:val="00E719CF"/>
    <w:rsid w:val="00E71A68"/>
    <w:rsid w:val="00E71EEF"/>
    <w:rsid w:val="00E721EB"/>
    <w:rsid w:val="00E7256A"/>
    <w:rsid w:val="00E72A19"/>
    <w:rsid w:val="00E72D99"/>
    <w:rsid w:val="00E73032"/>
    <w:rsid w:val="00E732F5"/>
    <w:rsid w:val="00E7330D"/>
    <w:rsid w:val="00E7399B"/>
    <w:rsid w:val="00E740B2"/>
    <w:rsid w:val="00E742B5"/>
    <w:rsid w:val="00E749F7"/>
    <w:rsid w:val="00E74BC3"/>
    <w:rsid w:val="00E74E80"/>
    <w:rsid w:val="00E7517F"/>
    <w:rsid w:val="00E75508"/>
    <w:rsid w:val="00E7552C"/>
    <w:rsid w:val="00E760E1"/>
    <w:rsid w:val="00E7631E"/>
    <w:rsid w:val="00E76379"/>
    <w:rsid w:val="00E76548"/>
    <w:rsid w:val="00E7673D"/>
    <w:rsid w:val="00E76ADD"/>
    <w:rsid w:val="00E76B33"/>
    <w:rsid w:val="00E76F1B"/>
    <w:rsid w:val="00E76F59"/>
    <w:rsid w:val="00E771C9"/>
    <w:rsid w:val="00E77332"/>
    <w:rsid w:val="00E7744A"/>
    <w:rsid w:val="00E776AC"/>
    <w:rsid w:val="00E77932"/>
    <w:rsid w:val="00E802D4"/>
    <w:rsid w:val="00E808AC"/>
    <w:rsid w:val="00E809F9"/>
    <w:rsid w:val="00E80ED7"/>
    <w:rsid w:val="00E819F7"/>
    <w:rsid w:val="00E81DD2"/>
    <w:rsid w:val="00E81E89"/>
    <w:rsid w:val="00E8287E"/>
    <w:rsid w:val="00E82D1F"/>
    <w:rsid w:val="00E83030"/>
    <w:rsid w:val="00E83364"/>
    <w:rsid w:val="00E836A7"/>
    <w:rsid w:val="00E8395C"/>
    <w:rsid w:val="00E83A3F"/>
    <w:rsid w:val="00E83B27"/>
    <w:rsid w:val="00E83BA9"/>
    <w:rsid w:val="00E83BF1"/>
    <w:rsid w:val="00E83C1D"/>
    <w:rsid w:val="00E83E8F"/>
    <w:rsid w:val="00E83F84"/>
    <w:rsid w:val="00E8403D"/>
    <w:rsid w:val="00E8420E"/>
    <w:rsid w:val="00E84480"/>
    <w:rsid w:val="00E844B4"/>
    <w:rsid w:val="00E8459D"/>
    <w:rsid w:val="00E84BC6"/>
    <w:rsid w:val="00E84D8E"/>
    <w:rsid w:val="00E84EE1"/>
    <w:rsid w:val="00E85144"/>
    <w:rsid w:val="00E855C0"/>
    <w:rsid w:val="00E85876"/>
    <w:rsid w:val="00E8634C"/>
    <w:rsid w:val="00E86950"/>
    <w:rsid w:val="00E86967"/>
    <w:rsid w:val="00E86BE9"/>
    <w:rsid w:val="00E86CC1"/>
    <w:rsid w:val="00E86D9B"/>
    <w:rsid w:val="00E873E3"/>
    <w:rsid w:val="00E87713"/>
    <w:rsid w:val="00E87913"/>
    <w:rsid w:val="00E90ABB"/>
    <w:rsid w:val="00E90AC2"/>
    <w:rsid w:val="00E90D86"/>
    <w:rsid w:val="00E910E2"/>
    <w:rsid w:val="00E914A9"/>
    <w:rsid w:val="00E91D32"/>
    <w:rsid w:val="00E91F48"/>
    <w:rsid w:val="00E923AE"/>
    <w:rsid w:val="00E92567"/>
    <w:rsid w:val="00E925D5"/>
    <w:rsid w:val="00E929AF"/>
    <w:rsid w:val="00E92E98"/>
    <w:rsid w:val="00E931EE"/>
    <w:rsid w:val="00E93401"/>
    <w:rsid w:val="00E93469"/>
    <w:rsid w:val="00E935C3"/>
    <w:rsid w:val="00E935FE"/>
    <w:rsid w:val="00E941A1"/>
    <w:rsid w:val="00E94249"/>
    <w:rsid w:val="00E943B7"/>
    <w:rsid w:val="00E9443E"/>
    <w:rsid w:val="00E94452"/>
    <w:rsid w:val="00E94B1E"/>
    <w:rsid w:val="00E94FFD"/>
    <w:rsid w:val="00E95720"/>
    <w:rsid w:val="00E95783"/>
    <w:rsid w:val="00E959F7"/>
    <w:rsid w:val="00E95B48"/>
    <w:rsid w:val="00E95C9C"/>
    <w:rsid w:val="00E95D43"/>
    <w:rsid w:val="00E9600D"/>
    <w:rsid w:val="00E9612E"/>
    <w:rsid w:val="00E96223"/>
    <w:rsid w:val="00E968E1"/>
    <w:rsid w:val="00E968EF"/>
    <w:rsid w:val="00E96921"/>
    <w:rsid w:val="00E96B54"/>
    <w:rsid w:val="00E96C8D"/>
    <w:rsid w:val="00E97352"/>
    <w:rsid w:val="00E9735D"/>
    <w:rsid w:val="00E97E33"/>
    <w:rsid w:val="00E97F43"/>
    <w:rsid w:val="00EA00C1"/>
    <w:rsid w:val="00EA0208"/>
    <w:rsid w:val="00EA075A"/>
    <w:rsid w:val="00EA0979"/>
    <w:rsid w:val="00EA11F7"/>
    <w:rsid w:val="00EA1855"/>
    <w:rsid w:val="00EA190F"/>
    <w:rsid w:val="00EA1ABA"/>
    <w:rsid w:val="00EA1D57"/>
    <w:rsid w:val="00EA1F4E"/>
    <w:rsid w:val="00EA2829"/>
    <w:rsid w:val="00EA2F4C"/>
    <w:rsid w:val="00EA3184"/>
    <w:rsid w:val="00EA334A"/>
    <w:rsid w:val="00EA3456"/>
    <w:rsid w:val="00EA36A9"/>
    <w:rsid w:val="00EA3805"/>
    <w:rsid w:val="00EA3BF4"/>
    <w:rsid w:val="00EA40DA"/>
    <w:rsid w:val="00EA423D"/>
    <w:rsid w:val="00EA42A6"/>
    <w:rsid w:val="00EA4602"/>
    <w:rsid w:val="00EA485D"/>
    <w:rsid w:val="00EA489B"/>
    <w:rsid w:val="00EA48D6"/>
    <w:rsid w:val="00EA4C67"/>
    <w:rsid w:val="00EA4E66"/>
    <w:rsid w:val="00EA531F"/>
    <w:rsid w:val="00EA55E0"/>
    <w:rsid w:val="00EA5647"/>
    <w:rsid w:val="00EA581A"/>
    <w:rsid w:val="00EA5B38"/>
    <w:rsid w:val="00EA5F83"/>
    <w:rsid w:val="00EA6006"/>
    <w:rsid w:val="00EA6062"/>
    <w:rsid w:val="00EA6395"/>
    <w:rsid w:val="00EA6A13"/>
    <w:rsid w:val="00EA6C26"/>
    <w:rsid w:val="00EA7144"/>
    <w:rsid w:val="00EA71D4"/>
    <w:rsid w:val="00EA7354"/>
    <w:rsid w:val="00EB0046"/>
    <w:rsid w:val="00EB05F5"/>
    <w:rsid w:val="00EB0903"/>
    <w:rsid w:val="00EB0AAE"/>
    <w:rsid w:val="00EB1332"/>
    <w:rsid w:val="00EB1457"/>
    <w:rsid w:val="00EB156B"/>
    <w:rsid w:val="00EB15F1"/>
    <w:rsid w:val="00EB1858"/>
    <w:rsid w:val="00EB19B2"/>
    <w:rsid w:val="00EB2218"/>
    <w:rsid w:val="00EB255B"/>
    <w:rsid w:val="00EB257B"/>
    <w:rsid w:val="00EB2737"/>
    <w:rsid w:val="00EB3030"/>
    <w:rsid w:val="00EB30F4"/>
    <w:rsid w:val="00EB35B2"/>
    <w:rsid w:val="00EB42BE"/>
    <w:rsid w:val="00EB4479"/>
    <w:rsid w:val="00EB4602"/>
    <w:rsid w:val="00EB4A9E"/>
    <w:rsid w:val="00EB4CD2"/>
    <w:rsid w:val="00EB50D4"/>
    <w:rsid w:val="00EB51D0"/>
    <w:rsid w:val="00EB5406"/>
    <w:rsid w:val="00EB5560"/>
    <w:rsid w:val="00EB5579"/>
    <w:rsid w:val="00EB589B"/>
    <w:rsid w:val="00EB6249"/>
    <w:rsid w:val="00EB6950"/>
    <w:rsid w:val="00EB69F0"/>
    <w:rsid w:val="00EB69FA"/>
    <w:rsid w:val="00EB6CDF"/>
    <w:rsid w:val="00EB7181"/>
    <w:rsid w:val="00EB786C"/>
    <w:rsid w:val="00EB7A4F"/>
    <w:rsid w:val="00EB7D5C"/>
    <w:rsid w:val="00EB7EF2"/>
    <w:rsid w:val="00EC018D"/>
    <w:rsid w:val="00EC039F"/>
    <w:rsid w:val="00EC0CB1"/>
    <w:rsid w:val="00EC1024"/>
    <w:rsid w:val="00EC10BD"/>
    <w:rsid w:val="00EC14DC"/>
    <w:rsid w:val="00EC15D0"/>
    <w:rsid w:val="00EC1E23"/>
    <w:rsid w:val="00EC253C"/>
    <w:rsid w:val="00EC2FE3"/>
    <w:rsid w:val="00EC33D1"/>
    <w:rsid w:val="00EC34FB"/>
    <w:rsid w:val="00EC3B69"/>
    <w:rsid w:val="00EC3E6E"/>
    <w:rsid w:val="00EC3F82"/>
    <w:rsid w:val="00EC40AA"/>
    <w:rsid w:val="00EC5316"/>
    <w:rsid w:val="00EC573F"/>
    <w:rsid w:val="00EC597F"/>
    <w:rsid w:val="00EC5BAB"/>
    <w:rsid w:val="00EC5CA5"/>
    <w:rsid w:val="00EC6223"/>
    <w:rsid w:val="00EC62E0"/>
    <w:rsid w:val="00EC63D1"/>
    <w:rsid w:val="00EC6479"/>
    <w:rsid w:val="00EC6844"/>
    <w:rsid w:val="00EC6B38"/>
    <w:rsid w:val="00EC6CED"/>
    <w:rsid w:val="00EC6EDE"/>
    <w:rsid w:val="00EC74D6"/>
    <w:rsid w:val="00EC7582"/>
    <w:rsid w:val="00EC75F3"/>
    <w:rsid w:val="00EC7647"/>
    <w:rsid w:val="00EC784A"/>
    <w:rsid w:val="00EC795A"/>
    <w:rsid w:val="00EC79E6"/>
    <w:rsid w:val="00EC7B96"/>
    <w:rsid w:val="00EC7CDA"/>
    <w:rsid w:val="00EC7E7E"/>
    <w:rsid w:val="00EC7F03"/>
    <w:rsid w:val="00ED00AD"/>
    <w:rsid w:val="00ED02A6"/>
    <w:rsid w:val="00ED033B"/>
    <w:rsid w:val="00ED0D03"/>
    <w:rsid w:val="00ED0D43"/>
    <w:rsid w:val="00ED0D57"/>
    <w:rsid w:val="00ED0FF4"/>
    <w:rsid w:val="00ED12AA"/>
    <w:rsid w:val="00ED1377"/>
    <w:rsid w:val="00ED14A2"/>
    <w:rsid w:val="00ED1628"/>
    <w:rsid w:val="00ED1CD4"/>
    <w:rsid w:val="00ED206E"/>
    <w:rsid w:val="00ED2282"/>
    <w:rsid w:val="00ED24B5"/>
    <w:rsid w:val="00ED2646"/>
    <w:rsid w:val="00ED26CE"/>
    <w:rsid w:val="00ED292D"/>
    <w:rsid w:val="00ED2DCC"/>
    <w:rsid w:val="00ED2FD9"/>
    <w:rsid w:val="00ED31F9"/>
    <w:rsid w:val="00ED34AB"/>
    <w:rsid w:val="00ED3854"/>
    <w:rsid w:val="00ED3953"/>
    <w:rsid w:val="00ED3C9F"/>
    <w:rsid w:val="00ED3E58"/>
    <w:rsid w:val="00ED4037"/>
    <w:rsid w:val="00ED42EA"/>
    <w:rsid w:val="00ED453A"/>
    <w:rsid w:val="00ED4D44"/>
    <w:rsid w:val="00ED55C2"/>
    <w:rsid w:val="00ED55F3"/>
    <w:rsid w:val="00ED5DB8"/>
    <w:rsid w:val="00ED6163"/>
    <w:rsid w:val="00ED6185"/>
    <w:rsid w:val="00ED63E2"/>
    <w:rsid w:val="00ED6653"/>
    <w:rsid w:val="00ED6BB8"/>
    <w:rsid w:val="00ED6C08"/>
    <w:rsid w:val="00ED7040"/>
    <w:rsid w:val="00ED74FA"/>
    <w:rsid w:val="00ED7B25"/>
    <w:rsid w:val="00ED7F33"/>
    <w:rsid w:val="00EE06D3"/>
    <w:rsid w:val="00EE087A"/>
    <w:rsid w:val="00EE090B"/>
    <w:rsid w:val="00EE090D"/>
    <w:rsid w:val="00EE0AED"/>
    <w:rsid w:val="00EE0E07"/>
    <w:rsid w:val="00EE18CD"/>
    <w:rsid w:val="00EE1BBD"/>
    <w:rsid w:val="00EE1D36"/>
    <w:rsid w:val="00EE260F"/>
    <w:rsid w:val="00EE2935"/>
    <w:rsid w:val="00EE2F81"/>
    <w:rsid w:val="00EE354A"/>
    <w:rsid w:val="00EE3685"/>
    <w:rsid w:val="00EE3880"/>
    <w:rsid w:val="00EE41D7"/>
    <w:rsid w:val="00EE4A6E"/>
    <w:rsid w:val="00EE50BD"/>
    <w:rsid w:val="00EE56E4"/>
    <w:rsid w:val="00EE587A"/>
    <w:rsid w:val="00EE595A"/>
    <w:rsid w:val="00EE5CE5"/>
    <w:rsid w:val="00EE6075"/>
    <w:rsid w:val="00EE632F"/>
    <w:rsid w:val="00EE6723"/>
    <w:rsid w:val="00EE6E74"/>
    <w:rsid w:val="00EE6F9B"/>
    <w:rsid w:val="00EE7769"/>
    <w:rsid w:val="00EF021F"/>
    <w:rsid w:val="00EF04B8"/>
    <w:rsid w:val="00EF0538"/>
    <w:rsid w:val="00EF0DEA"/>
    <w:rsid w:val="00EF1977"/>
    <w:rsid w:val="00EF1DFC"/>
    <w:rsid w:val="00EF2066"/>
    <w:rsid w:val="00EF208A"/>
    <w:rsid w:val="00EF2153"/>
    <w:rsid w:val="00EF21E9"/>
    <w:rsid w:val="00EF2570"/>
    <w:rsid w:val="00EF28CC"/>
    <w:rsid w:val="00EF2BFA"/>
    <w:rsid w:val="00EF2BFF"/>
    <w:rsid w:val="00EF30F7"/>
    <w:rsid w:val="00EF3257"/>
    <w:rsid w:val="00EF3464"/>
    <w:rsid w:val="00EF3548"/>
    <w:rsid w:val="00EF38D6"/>
    <w:rsid w:val="00EF3D22"/>
    <w:rsid w:val="00EF4011"/>
    <w:rsid w:val="00EF420D"/>
    <w:rsid w:val="00EF49D8"/>
    <w:rsid w:val="00EF4B52"/>
    <w:rsid w:val="00EF552E"/>
    <w:rsid w:val="00EF570F"/>
    <w:rsid w:val="00EF5D89"/>
    <w:rsid w:val="00EF63A7"/>
    <w:rsid w:val="00EF669A"/>
    <w:rsid w:val="00EF6AB8"/>
    <w:rsid w:val="00EF6C02"/>
    <w:rsid w:val="00EF6DB0"/>
    <w:rsid w:val="00EF6E67"/>
    <w:rsid w:val="00EF6E80"/>
    <w:rsid w:val="00EF6FC6"/>
    <w:rsid w:val="00EF7199"/>
    <w:rsid w:val="00EF74C8"/>
    <w:rsid w:val="00EF7876"/>
    <w:rsid w:val="00EF7895"/>
    <w:rsid w:val="00F0001F"/>
    <w:rsid w:val="00F0014F"/>
    <w:rsid w:val="00F00599"/>
    <w:rsid w:val="00F00898"/>
    <w:rsid w:val="00F008DE"/>
    <w:rsid w:val="00F00E09"/>
    <w:rsid w:val="00F00F2E"/>
    <w:rsid w:val="00F0120A"/>
    <w:rsid w:val="00F012F8"/>
    <w:rsid w:val="00F01B5B"/>
    <w:rsid w:val="00F01DB0"/>
    <w:rsid w:val="00F021FB"/>
    <w:rsid w:val="00F02370"/>
    <w:rsid w:val="00F023FD"/>
    <w:rsid w:val="00F023FE"/>
    <w:rsid w:val="00F024F8"/>
    <w:rsid w:val="00F02739"/>
    <w:rsid w:val="00F02937"/>
    <w:rsid w:val="00F02AA9"/>
    <w:rsid w:val="00F02DA7"/>
    <w:rsid w:val="00F030AC"/>
    <w:rsid w:val="00F030F2"/>
    <w:rsid w:val="00F03873"/>
    <w:rsid w:val="00F03DC8"/>
    <w:rsid w:val="00F04067"/>
    <w:rsid w:val="00F0495E"/>
    <w:rsid w:val="00F05A8B"/>
    <w:rsid w:val="00F06174"/>
    <w:rsid w:val="00F06453"/>
    <w:rsid w:val="00F066C3"/>
    <w:rsid w:val="00F06B6B"/>
    <w:rsid w:val="00F06BCC"/>
    <w:rsid w:val="00F07B5B"/>
    <w:rsid w:val="00F07DEA"/>
    <w:rsid w:val="00F10220"/>
    <w:rsid w:val="00F10222"/>
    <w:rsid w:val="00F10463"/>
    <w:rsid w:val="00F10614"/>
    <w:rsid w:val="00F10811"/>
    <w:rsid w:val="00F10E25"/>
    <w:rsid w:val="00F10F4D"/>
    <w:rsid w:val="00F115C6"/>
    <w:rsid w:val="00F11646"/>
    <w:rsid w:val="00F1198C"/>
    <w:rsid w:val="00F11B8D"/>
    <w:rsid w:val="00F11BD1"/>
    <w:rsid w:val="00F12952"/>
    <w:rsid w:val="00F12A27"/>
    <w:rsid w:val="00F12B42"/>
    <w:rsid w:val="00F12EE4"/>
    <w:rsid w:val="00F13097"/>
    <w:rsid w:val="00F13CB4"/>
    <w:rsid w:val="00F1462C"/>
    <w:rsid w:val="00F1468B"/>
    <w:rsid w:val="00F14A53"/>
    <w:rsid w:val="00F14E78"/>
    <w:rsid w:val="00F1533C"/>
    <w:rsid w:val="00F1562D"/>
    <w:rsid w:val="00F15D0F"/>
    <w:rsid w:val="00F1641E"/>
    <w:rsid w:val="00F164C9"/>
    <w:rsid w:val="00F1674C"/>
    <w:rsid w:val="00F16C0D"/>
    <w:rsid w:val="00F170A2"/>
    <w:rsid w:val="00F17399"/>
    <w:rsid w:val="00F173D7"/>
    <w:rsid w:val="00F17420"/>
    <w:rsid w:val="00F17CEA"/>
    <w:rsid w:val="00F17E4A"/>
    <w:rsid w:val="00F17F73"/>
    <w:rsid w:val="00F20081"/>
    <w:rsid w:val="00F20270"/>
    <w:rsid w:val="00F20487"/>
    <w:rsid w:val="00F20547"/>
    <w:rsid w:val="00F20A72"/>
    <w:rsid w:val="00F20C5D"/>
    <w:rsid w:val="00F216AC"/>
    <w:rsid w:val="00F218B4"/>
    <w:rsid w:val="00F21E22"/>
    <w:rsid w:val="00F22198"/>
    <w:rsid w:val="00F2219F"/>
    <w:rsid w:val="00F2308B"/>
    <w:rsid w:val="00F2322C"/>
    <w:rsid w:val="00F232D8"/>
    <w:rsid w:val="00F238E6"/>
    <w:rsid w:val="00F23BC6"/>
    <w:rsid w:val="00F23FB4"/>
    <w:rsid w:val="00F241F2"/>
    <w:rsid w:val="00F244D5"/>
    <w:rsid w:val="00F244FC"/>
    <w:rsid w:val="00F245FC"/>
    <w:rsid w:val="00F247D3"/>
    <w:rsid w:val="00F24891"/>
    <w:rsid w:val="00F24A6B"/>
    <w:rsid w:val="00F24D08"/>
    <w:rsid w:val="00F24F39"/>
    <w:rsid w:val="00F252AB"/>
    <w:rsid w:val="00F254D9"/>
    <w:rsid w:val="00F25E7A"/>
    <w:rsid w:val="00F265BA"/>
    <w:rsid w:val="00F26765"/>
    <w:rsid w:val="00F26E12"/>
    <w:rsid w:val="00F270EB"/>
    <w:rsid w:val="00F271AC"/>
    <w:rsid w:val="00F274E9"/>
    <w:rsid w:val="00F2776C"/>
    <w:rsid w:val="00F3010A"/>
    <w:rsid w:val="00F30351"/>
    <w:rsid w:val="00F3036D"/>
    <w:rsid w:val="00F30861"/>
    <w:rsid w:val="00F30D06"/>
    <w:rsid w:val="00F30F98"/>
    <w:rsid w:val="00F31D16"/>
    <w:rsid w:val="00F31DDC"/>
    <w:rsid w:val="00F31DF8"/>
    <w:rsid w:val="00F3204A"/>
    <w:rsid w:val="00F3209B"/>
    <w:rsid w:val="00F326E9"/>
    <w:rsid w:val="00F328BB"/>
    <w:rsid w:val="00F328DF"/>
    <w:rsid w:val="00F32CF6"/>
    <w:rsid w:val="00F33027"/>
    <w:rsid w:val="00F330B1"/>
    <w:rsid w:val="00F332D1"/>
    <w:rsid w:val="00F332DC"/>
    <w:rsid w:val="00F3356F"/>
    <w:rsid w:val="00F33BE4"/>
    <w:rsid w:val="00F33C4D"/>
    <w:rsid w:val="00F33DED"/>
    <w:rsid w:val="00F34167"/>
    <w:rsid w:val="00F34488"/>
    <w:rsid w:val="00F348BA"/>
    <w:rsid w:val="00F35485"/>
    <w:rsid w:val="00F35D16"/>
    <w:rsid w:val="00F35D41"/>
    <w:rsid w:val="00F35DC5"/>
    <w:rsid w:val="00F3616A"/>
    <w:rsid w:val="00F3678E"/>
    <w:rsid w:val="00F3683B"/>
    <w:rsid w:val="00F36B39"/>
    <w:rsid w:val="00F36E6E"/>
    <w:rsid w:val="00F36F26"/>
    <w:rsid w:val="00F37027"/>
    <w:rsid w:val="00F37261"/>
    <w:rsid w:val="00F3781F"/>
    <w:rsid w:val="00F378EC"/>
    <w:rsid w:val="00F3796A"/>
    <w:rsid w:val="00F37DB2"/>
    <w:rsid w:val="00F40080"/>
    <w:rsid w:val="00F404AC"/>
    <w:rsid w:val="00F404B8"/>
    <w:rsid w:val="00F4087E"/>
    <w:rsid w:val="00F4093D"/>
    <w:rsid w:val="00F409B9"/>
    <w:rsid w:val="00F40B3E"/>
    <w:rsid w:val="00F40E25"/>
    <w:rsid w:val="00F4118F"/>
    <w:rsid w:val="00F41508"/>
    <w:rsid w:val="00F416F0"/>
    <w:rsid w:val="00F41AAC"/>
    <w:rsid w:val="00F41AFC"/>
    <w:rsid w:val="00F41BCA"/>
    <w:rsid w:val="00F420A1"/>
    <w:rsid w:val="00F420EF"/>
    <w:rsid w:val="00F42439"/>
    <w:rsid w:val="00F425AF"/>
    <w:rsid w:val="00F42827"/>
    <w:rsid w:val="00F42A36"/>
    <w:rsid w:val="00F42C41"/>
    <w:rsid w:val="00F42CCD"/>
    <w:rsid w:val="00F42D42"/>
    <w:rsid w:val="00F42F7F"/>
    <w:rsid w:val="00F4300D"/>
    <w:rsid w:val="00F43348"/>
    <w:rsid w:val="00F435B8"/>
    <w:rsid w:val="00F436B5"/>
    <w:rsid w:val="00F436E0"/>
    <w:rsid w:val="00F43864"/>
    <w:rsid w:val="00F439CD"/>
    <w:rsid w:val="00F43B3F"/>
    <w:rsid w:val="00F43EF7"/>
    <w:rsid w:val="00F4400A"/>
    <w:rsid w:val="00F44213"/>
    <w:rsid w:val="00F44295"/>
    <w:rsid w:val="00F44D9B"/>
    <w:rsid w:val="00F456D7"/>
    <w:rsid w:val="00F45942"/>
    <w:rsid w:val="00F4643D"/>
    <w:rsid w:val="00F4655D"/>
    <w:rsid w:val="00F46851"/>
    <w:rsid w:val="00F46A49"/>
    <w:rsid w:val="00F471F2"/>
    <w:rsid w:val="00F4771B"/>
    <w:rsid w:val="00F47899"/>
    <w:rsid w:val="00F4793E"/>
    <w:rsid w:val="00F47A0D"/>
    <w:rsid w:val="00F47A11"/>
    <w:rsid w:val="00F47AB7"/>
    <w:rsid w:val="00F47B21"/>
    <w:rsid w:val="00F47CF3"/>
    <w:rsid w:val="00F47F1F"/>
    <w:rsid w:val="00F47F9C"/>
    <w:rsid w:val="00F5000F"/>
    <w:rsid w:val="00F502A1"/>
    <w:rsid w:val="00F50566"/>
    <w:rsid w:val="00F505A9"/>
    <w:rsid w:val="00F506CB"/>
    <w:rsid w:val="00F50705"/>
    <w:rsid w:val="00F508A3"/>
    <w:rsid w:val="00F5108C"/>
    <w:rsid w:val="00F510B6"/>
    <w:rsid w:val="00F513CB"/>
    <w:rsid w:val="00F514FA"/>
    <w:rsid w:val="00F517A7"/>
    <w:rsid w:val="00F51969"/>
    <w:rsid w:val="00F51BA6"/>
    <w:rsid w:val="00F51C92"/>
    <w:rsid w:val="00F51D56"/>
    <w:rsid w:val="00F521A6"/>
    <w:rsid w:val="00F52556"/>
    <w:rsid w:val="00F5283C"/>
    <w:rsid w:val="00F529AC"/>
    <w:rsid w:val="00F52C31"/>
    <w:rsid w:val="00F52C6C"/>
    <w:rsid w:val="00F52C87"/>
    <w:rsid w:val="00F53708"/>
    <w:rsid w:val="00F538A2"/>
    <w:rsid w:val="00F53F65"/>
    <w:rsid w:val="00F547A1"/>
    <w:rsid w:val="00F54981"/>
    <w:rsid w:val="00F54C2C"/>
    <w:rsid w:val="00F54C46"/>
    <w:rsid w:val="00F55510"/>
    <w:rsid w:val="00F5558F"/>
    <w:rsid w:val="00F555FE"/>
    <w:rsid w:val="00F55755"/>
    <w:rsid w:val="00F55787"/>
    <w:rsid w:val="00F559C1"/>
    <w:rsid w:val="00F56330"/>
    <w:rsid w:val="00F565E6"/>
    <w:rsid w:val="00F5683A"/>
    <w:rsid w:val="00F568D0"/>
    <w:rsid w:val="00F56A2A"/>
    <w:rsid w:val="00F56A9C"/>
    <w:rsid w:val="00F56E27"/>
    <w:rsid w:val="00F56E6D"/>
    <w:rsid w:val="00F56FF4"/>
    <w:rsid w:val="00F57075"/>
    <w:rsid w:val="00F57303"/>
    <w:rsid w:val="00F573CD"/>
    <w:rsid w:val="00F57BDA"/>
    <w:rsid w:val="00F57CB6"/>
    <w:rsid w:val="00F57FA0"/>
    <w:rsid w:val="00F603A6"/>
    <w:rsid w:val="00F605CF"/>
    <w:rsid w:val="00F605E2"/>
    <w:rsid w:val="00F609C3"/>
    <w:rsid w:val="00F609C4"/>
    <w:rsid w:val="00F609DC"/>
    <w:rsid w:val="00F60A1D"/>
    <w:rsid w:val="00F60AE5"/>
    <w:rsid w:val="00F60BEE"/>
    <w:rsid w:val="00F60C69"/>
    <w:rsid w:val="00F613CB"/>
    <w:rsid w:val="00F614E0"/>
    <w:rsid w:val="00F61884"/>
    <w:rsid w:val="00F61BBF"/>
    <w:rsid w:val="00F61F5B"/>
    <w:rsid w:val="00F61FD0"/>
    <w:rsid w:val="00F62278"/>
    <w:rsid w:val="00F628E0"/>
    <w:rsid w:val="00F62C65"/>
    <w:rsid w:val="00F62E56"/>
    <w:rsid w:val="00F62F06"/>
    <w:rsid w:val="00F630E1"/>
    <w:rsid w:val="00F631E7"/>
    <w:rsid w:val="00F6363F"/>
    <w:rsid w:val="00F6375A"/>
    <w:rsid w:val="00F63E42"/>
    <w:rsid w:val="00F640C8"/>
    <w:rsid w:val="00F64108"/>
    <w:rsid w:val="00F6419A"/>
    <w:rsid w:val="00F642DB"/>
    <w:rsid w:val="00F648C4"/>
    <w:rsid w:val="00F64D49"/>
    <w:rsid w:val="00F64F3D"/>
    <w:rsid w:val="00F65077"/>
    <w:rsid w:val="00F652F2"/>
    <w:rsid w:val="00F65391"/>
    <w:rsid w:val="00F6567B"/>
    <w:rsid w:val="00F659BA"/>
    <w:rsid w:val="00F65D36"/>
    <w:rsid w:val="00F65E00"/>
    <w:rsid w:val="00F65E49"/>
    <w:rsid w:val="00F65FF3"/>
    <w:rsid w:val="00F66133"/>
    <w:rsid w:val="00F66250"/>
    <w:rsid w:val="00F6675C"/>
    <w:rsid w:val="00F669B7"/>
    <w:rsid w:val="00F66B61"/>
    <w:rsid w:val="00F6768B"/>
    <w:rsid w:val="00F67788"/>
    <w:rsid w:val="00F67AB3"/>
    <w:rsid w:val="00F67F37"/>
    <w:rsid w:val="00F700B2"/>
    <w:rsid w:val="00F7031A"/>
    <w:rsid w:val="00F7032F"/>
    <w:rsid w:val="00F7072D"/>
    <w:rsid w:val="00F70A07"/>
    <w:rsid w:val="00F70A9B"/>
    <w:rsid w:val="00F70F9A"/>
    <w:rsid w:val="00F711DC"/>
    <w:rsid w:val="00F713C5"/>
    <w:rsid w:val="00F7150A"/>
    <w:rsid w:val="00F71635"/>
    <w:rsid w:val="00F71786"/>
    <w:rsid w:val="00F71ADD"/>
    <w:rsid w:val="00F7201F"/>
    <w:rsid w:val="00F72077"/>
    <w:rsid w:val="00F720D9"/>
    <w:rsid w:val="00F7237C"/>
    <w:rsid w:val="00F726F9"/>
    <w:rsid w:val="00F72A8A"/>
    <w:rsid w:val="00F72CA4"/>
    <w:rsid w:val="00F72D46"/>
    <w:rsid w:val="00F7344F"/>
    <w:rsid w:val="00F7354A"/>
    <w:rsid w:val="00F737B4"/>
    <w:rsid w:val="00F737D1"/>
    <w:rsid w:val="00F73BA3"/>
    <w:rsid w:val="00F7470E"/>
    <w:rsid w:val="00F74719"/>
    <w:rsid w:val="00F74974"/>
    <w:rsid w:val="00F74C6E"/>
    <w:rsid w:val="00F74DD0"/>
    <w:rsid w:val="00F74DFF"/>
    <w:rsid w:val="00F75746"/>
    <w:rsid w:val="00F76247"/>
    <w:rsid w:val="00F763B1"/>
    <w:rsid w:val="00F764A7"/>
    <w:rsid w:val="00F76747"/>
    <w:rsid w:val="00F76AED"/>
    <w:rsid w:val="00F770D7"/>
    <w:rsid w:val="00F8016D"/>
    <w:rsid w:val="00F8018A"/>
    <w:rsid w:val="00F80E5D"/>
    <w:rsid w:val="00F819B6"/>
    <w:rsid w:val="00F81BE5"/>
    <w:rsid w:val="00F81DF9"/>
    <w:rsid w:val="00F8293A"/>
    <w:rsid w:val="00F82ED7"/>
    <w:rsid w:val="00F8370B"/>
    <w:rsid w:val="00F83DF8"/>
    <w:rsid w:val="00F842D1"/>
    <w:rsid w:val="00F84759"/>
    <w:rsid w:val="00F84B12"/>
    <w:rsid w:val="00F84CEF"/>
    <w:rsid w:val="00F8520F"/>
    <w:rsid w:val="00F85211"/>
    <w:rsid w:val="00F85266"/>
    <w:rsid w:val="00F852FA"/>
    <w:rsid w:val="00F85471"/>
    <w:rsid w:val="00F8599D"/>
    <w:rsid w:val="00F85A2B"/>
    <w:rsid w:val="00F85A2E"/>
    <w:rsid w:val="00F85C2A"/>
    <w:rsid w:val="00F85C53"/>
    <w:rsid w:val="00F86182"/>
    <w:rsid w:val="00F86345"/>
    <w:rsid w:val="00F86698"/>
    <w:rsid w:val="00F86A66"/>
    <w:rsid w:val="00F86F20"/>
    <w:rsid w:val="00F879AC"/>
    <w:rsid w:val="00F87D5D"/>
    <w:rsid w:val="00F87F67"/>
    <w:rsid w:val="00F900D7"/>
    <w:rsid w:val="00F902AA"/>
    <w:rsid w:val="00F9049F"/>
    <w:rsid w:val="00F9053A"/>
    <w:rsid w:val="00F913C1"/>
    <w:rsid w:val="00F9177A"/>
    <w:rsid w:val="00F919C9"/>
    <w:rsid w:val="00F92471"/>
    <w:rsid w:val="00F926AF"/>
    <w:rsid w:val="00F927EB"/>
    <w:rsid w:val="00F92A34"/>
    <w:rsid w:val="00F92F68"/>
    <w:rsid w:val="00F93028"/>
    <w:rsid w:val="00F9310B"/>
    <w:rsid w:val="00F93471"/>
    <w:rsid w:val="00F93880"/>
    <w:rsid w:val="00F9399F"/>
    <w:rsid w:val="00F93C29"/>
    <w:rsid w:val="00F93DF3"/>
    <w:rsid w:val="00F93E68"/>
    <w:rsid w:val="00F93EF4"/>
    <w:rsid w:val="00F93F25"/>
    <w:rsid w:val="00F93FDC"/>
    <w:rsid w:val="00F940C4"/>
    <w:rsid w:val="00F9419C"/>
    <w:rsid w:val="00F941DA"/>
    <w:rsid w:val="00F943D2"/>
    <w:rsid w:val="00F94EEB"/>
    <w:rsid w:val="00F95140"/>
    <w:rsid w:val="00F95694"/>
    <w:rsid w:val="00F95813"/>
    <w:rsid w:val="00F9630B"/>
    <w:rsid w:val="00F96351"/>
    <w:rsid w:val="00F96DF1"/>
    <w:rsid w:val="00F97243"/>
    <w:rsid w:val="00F9738C"/>
    <w:rsid w:val="00F9779C"/>
    <w:rsid w:val="00F97982"/>
    <w:rsid w:val="00FA03BA"/>
    <w:rsid w:val="00FA05AD"/>
    <w:rsid w:val="00FA0931"/>
    <w:rsid w:val="00FA0D78"/>
    <w:rsid w:val="00FA1479"/>
    <w:rsid w:val="00FA1514"/>
    <w:rsid w:val="00FA1810"/>
    <w:rsid w:val="00FA1814"/>
    <w:rsid w:val="00FA1B1B"/>
    <w:rsid w:val="00FA1B4D"/>
    <w:rsid w:val="00FA204F"/>
    <w:rsid w:val="00FA21CE"/>
    <w:rsid w:val="00FA22A6"/>
    <w:rsid w:val="00FA232A"/>
    <w:rsid w:val="00FA24A1"/>
    <w:rsid w:val="00FA253E"/>
    <w:rsid w:val="00FA26B7"/>
    <w:rsid w:val="00FA2700"/>
    <w:rsid w:val="00FA2736"/>
    <w:rsid w:val="00FA2BB8"/>
    <w:rsid w:val="00FA2BF6"/>
    <w:rsid w:val="00FA2BFF"/>
    <w:rsid w:val="00FA3232"/>
    <w:rsid w:val="00FA337C"/>
    <w:rsid w:val="00FA390F"/>
    <w:rsid w:val="00FA4716"/>
    <w:rsid w:val="00FA49C5"/>
    <w:rsid w:val="00FA4DE0"/>
    <w:rsid w:val="00FA534B"/>
    <w:rsid w:val="00FA53DE"/>
    <w:rsid w:val="00FA58AE"/>
    <w:rsid w:val="00FA5DE6"/>
    <w:rsid w:val="00FA63D9"/>
    <w:rsid w:val="00FA6738"/>
    <w:rsid w:val="00FA6CA6"/>
    <w:rsid w:val="00FA7222"/>
    <w:rsid w:val="00FA7521"/>
    <w:rsid w:val="00FA768A"/>
    <w:rsid w:val="00FA778A"/>
    <w:rsid w:val="00FA7816"/>
    <w:rsid w:val="00FA7F1A"/>
    <w:rsid w:val="00FB06B4"/>
    <w:rsid w:val="00FB093E"/>
    <w:rsid w:val="00FB0A77"/>
    <w:rsid w:val="00FB0DA0"/>
    <w:rsid w:val="00FB1060"/>
    <w:rsid w:val="00FB108E"/>
    <w:rsid w:val="00FB1743"/>
    <w:rsid w:val="00FB190B"/>
    <w:rsid w:val="00FB1BBB"/>
    <w:rsid w:val="00FB1F2B"/>
    <w:rsid w:val="00FB1F4D"/>
    <w:rsid w:val="00FB212F"/>
    <w:rsid w:val="00FB22F3"/>
    <w:rsid w:val="00FB2603"/>
    <w:rsid w:val="00FB264C"/>
    <w:rsid w:val="00FB26F0"/>
    <w:rsid w:val="00FB288F"/>
    <w:rsid w:val="00FB2B9E"/>
    <w:rsid w:val="00FB2C67"/>
    <w:rsid w:val="00FB3185"/>
    <w:rsid w:val="00FB3986"/>
    <w:rsid w:val="00FB3BDB"/>
    <w:rsid w:val="00FB3C2C"/>
    <w:rsid w:val="00FB3EB7"/>
    <w:rsid w:val="00FB3EF2"/>
    <w:rsid w:val="00FB413B"/>
    <w:rsid w:val="00FB42A1"/>
    <w:rsid w:val="00FB45CE"/>
    <w:rsid w:val="00FB4879"/>
    <w:rsid w:val="00FB4D22"/>
    <w:rsid w:val="00FB4E65"/>
    <w:rsid w:val="00FB4EDE"/>
    <w:rsid w:val="00FB529C"/>
    <w:rsid w:val="00FB567E"/>
    <w:rsid w:val="00FB5732"/>
    <w:rsid w:val="00FB5E3C"/>
    <w:rsid w:val="00FB60E4"/>
    <w:rsid w:val="00FB65A6"/>
    <w:rsid w:val="00FB669E"/>
    <w:rsid w:val="00FB66D4"/>
    <w:rsid w:val="00FB6C3B"/>
    <w:rsid w:val="00FB7609"/>
    <w:rsid w:val="00FB79AC"/>
    <w:rsid w:val="00FB7EB7"/>
    <w:rsid w:val="00FC0175"/>
    <w:rsid w:val="00FC01F4"/>
    <w:rsid w:val="00FC028A"/>
    <w:rsid w:val="00FC0C8C"/>
    <w:rsid w:val="00FC0EC8"/>
    <w:rsid w:val="00FC1F6C"/>
    <w:rsid w:val="00FC25FC"/>
    <w:rsid w:val="00FC287D"/>
    <w:rsid w:val="00FC28AC"/>
    <w:rsid w:val="00FC2A02"/>
    <w:rsid w:val="00FC3092"/>
    <w:rsid w:val="00FC32B0"/>
    <w:rsid w:val="00FC34A9"/>
    <w:rsid w:val="00FC37A0"/>
    <w:rsid w:val="00FC38CB"/>
    <w:rsid w:val="00FC3ED2"/>
    <w:rsid w:val="00FC42CA"/>
    <w:rsid w:val="00FC4B21"/>
    <w:rsid w:val="00FC4BBD"/>
    <w:rsid w:val="00FC4C0D"/>
    <w:rsid w:val="00FC4D7D"/>
    <w:rsid w:val="00FC51A1"/>
    <w:rsid w:val="00FC51A9"/>
    <w:rsid w:val="00FC5986"/>
    <w:rsid w:val="00FC5AAC"/>
    <w:rsid w:val="00FC5F4E"/>
    <w:rsid w:val="00FC608F"/>
    <w:rsid w:val="00FC6577"/>
    <w:rsid w:val="00FC66E2"/>
    <w:rsid w:val="00FC6A57"/>
    <w:rsid w:val="00FC6ACD"/>
    <w:rsid w:val="00FC6F49"/>
    <w:rsid w:val="00FC7602"/>
    <w:rsid w:val="00FC7625"/>
    <w:rsid w:val="00FC7773"/>
    <w:rsid w:val="00FD03C5"/>
    <w:rsid w:val="00FD06FF"/>
    <w:rsid w:val="00FD07F0"/>
    <w:rsid w:val="00FD088F"/>
    <w:rsid w:val="00FD089B"/>
    <w:rsid w:val="00FD0B03"/>
    <w:rsid w:val="00FD0B5F"/>
    <w:rsid w:val="00FD14CB"/>
    <w:rsid w:val="00FD1732"/>
    <w:rsid w:val="00FD17A8"/>
    <w:rsid w:val="00FD1A6D"/>
    <w:rsid w:val="00FD1AE4"/>
    <w:rsid w:val="00FD1C1A"/>
    <w:rsid w:val="00FD2028"/>
    <w:rsid w:val="00FD20B5"/>
    <w:rsid w:val="00FD22C3"/>
    <w:rsid w:val="00FD2CB5"/>
    <w:rsid w:val="00FD30E4"/>
    <w:rsid w:val="00FD39CC"/>
    <w:rsid w:val="00FD3C06"/>
    <w:rsid w:val="00FD3E10"/>
    <w:rsid w:val="00FD3FFF"/>
    <w:rsid w:val="00FD4478"/>
    <w:rsid w:val="00FD4A2B"/>
    <w:rsid w:val="00FD4C9E"/>
    <w:rsid w:val="00FD4CA6"/>
    <w:rsid w:val="00FD4FD1"/>
    <w:rsid w:val="00FD55D1"/>
    <w:rsid w:val="00FD5944"/>
    <w:rsid w:val="00FD5CB6"/>
    <w:rsid w:val="00FD5E63"/>
    <w:rsid w:val="00FD6258"/>
    <w:rsid w:val="00FD6464"/>
    <w:rsid w:val="00FD64F1"/>
    <w:rsid w:val="00FD6677"/>
    <w:rsid w:val="00FD6A93"/>
    <w:rsid w:val="00FD6AD4"/>
    <w:rsid w:val="00FD6B46"/>
    <w:rsid w:val="00FD6F2B"/>
    <w:rsid w:val="00FD71EE"/>
    <w:rsid w:val="00FD7489"/>
    <w:rsid w:val="00FD7511"/>
    <w:rsid w:val="00FE0113"/>
    <w:rsid w:val="00FE0170"/>
    <w:rsid w:val="00FE0335"/>
    <w:rsid w:val="00FE03DB"/>
    <w:rsid w:val="00FE08AF"/>
    <w:rsid w:val="00FE0CBF"/>
    <w:rsid w:val="00FE0DD3"/>
    <w:rsid w:val="00FE0FF6"/>
    <w:rsid w:val="00FE0FFE"/>
    <w:rsid w:val="00FE1155"/>
    <w:rsid w:val="00FE133C"/>
    <w:rsid w:val="00FE1679"/>
    <w:rsid w:val="00FE19FD"/>
    <w:rsid w:val="00FE1B74"/>
    <w:rsid w:val="00FE2636"/>
    <w:rsid w:val="00FE2637"/>
    <w:rsid w:val="00FE289A"/>
    <w:rsid w:val="00FE2F1A"/>
    <w:rsid w:val="00FE3141"/>
    <w:rsid w:val="00FE3170"/>
    <w:rsid w:val="00FE31E3"/>
    <w:rsid w:val="00FE31FD"/>
    <w:rsid w:val="00FE37D9"/>
    <w:rsid w:val="00FE3816"/>
    <w:rsid w:val="00FE391E"/>
    <w:rsid w:val="00FE3C12"/>
    <w:rsid w:val="00FE3C56"/>
    <w:rsid w:val="00FE3EE9"/>
    <w:rsid w:val="00FE4343"/>
    <w:rsid w:val="00FE434A"/>
    <w:rsid w:val="00FE45A5"/>
    <w:rsid w:val="00FE52E2"/>
    <w:rsid w:val="00FE53B4"/>
    <w:rsid w:val="00FE57F1"/>
    <w:rsid w:val="00FE58F3"/>
    <w:rsid w:val="00FE5955"/>
    <w:rsid w:val="00FE5A39"/>
    <w:rsid w:val="00FE5AA1"/>
    <w:rsid w:val="00FE5CC6"/>
    <w:rsid w:val="00FE5EFB"/>
    <w:rsid w:val="00FE5FD8"/>
    <w:rsid w:val="00FE6022"/>
    <w:rsid w:val="00FE6429"/>
    <w:rsid w:val="00FE6A1A"/>
    <w:rsid w:val="00FE6B03"/>
    <w:rsid w:val="00FE6CE6"/>
    <w:rsid w:val="00FE6D97"/>
    <w:rsid w:val="00FE6EF0"/>
    <w:rsid w:val="00FE7112"/>
    <w:rsid w:val="00FE721C"/>
    <w:rsid w:val="00FE7274"/>
    <w:rsid w:val="00FE72FF"/>
    <w:rsid w:val="00FE770D"/>
    <w:rsid w:val="00FE795E"/>
    <w:rsid w:val="00FE7C0C"/>
    <w:rsid w:val="00FF003F"/>
    <w:rsid w:val="00FF08C3"/>
    <w:rsid w:val="00FF0A0E"/>
    <w:rsid w:val="00FF116C"/>
    <w:rsid w:val="00FF1283"/>
    <w:rsid w:val="00FF1290"/>
    <w:rsid w:val="00FF131D"/>
    <w:rsid w:val="00FF13BA"/>
    <w:rsid w:val="00FF14B2"/>
    <w:rsid w:val="00FF16F9"/>
    <w:rsid w:val="00FF19A7"/>
    <w:rsid w:val="00FF1C5F"/>
    <w:rsid w:val="00FF1C74"/>
    <w:rsid w:val="00FF1F7B"/>
    <w:rsid w:val="00FF21AA"/>
    <w:rsid w:val="00FF2382"/>
    <w:rsid w:val="00FF28AE"/>
    <w:rsid w:val="00FF2A5E"/>
    <w:rsid w:val="00FF2ADE"/>
    <w:rsid w:val="00FF2DA7"/>
    <w:rsid w:val="00FF3013"/>
    <w:rsid w:val="00FF34C0"/>
    <w:rsid w:val="00FF3AC4"/>
    <w:rsid w:val="00FF413F"/>
    <w:rsid w:val="00FF449D"/>
    <w:rsid w:val="00FF47B7"/>
    <w:rsid w:val="00FF4822"/>
    <w:rsid w:val="00FF4876"/>
    <w:rsid w:val="00FF49C1"/>
    <w:rsid w:val="00FF4CC0"/>
    <w:rsid w:val="00FF4E12"/>
    <w:rsid w:val="00FF4FEE"/>
    <w:rsid w:val="00FF5391"/>
    <w:rsid w:val="00FF55DB"/>
    <w:rsid w:val="00FF5D41"/>
    <w:rsid w:val="00FF618A"/>
    <w:rsid w:val="00FF6854"/>
    <w:rsid w:val="00FF6ABB"/>
    <w:rsid w:val="00FF6F50"/>
    <w:rsid w:val="00FF71F3"/>
    <w:rsid w:val="00FF7626"/>
    <w:rsid w:val="00FF78E2"/>
    <w:rsid w:val="00FF7C48"/>
    <w:rsid w:val="00FF7EE7"/>
    <w:rsid w:val="00FF7FA8"/>
    <w:rsid w:val="01295F6D"/>
    <w:rsid w:val="0139ECC8"/>
    <w:rsid w:val="0169D1FF"/>
    <w:rsid w:val="018F8221"/>
    <w:rsid w:val="01BACA75"/>
    <w:rsid w:val="01C354A8"/>
    <w:rsid w:val="01CFAEA6"/>
    <w:rsid w:val="01D5CF97"/>
    <w:rsid w:val="01E1C797"/>
    <w:rsid w:val="021767D0"/>
    <w:rsid w:val="0227F445"/>
    <w:rsid w:val="0260EBAF"/>
    <w:rsid w:val="026759DB"/>
    <w:rsid w:val="0267BEB8"/>
    <w:rsid w:val="027473D7"/>
    <w:rsid w:val="027580C9"/>
    <w:rsid w:val="028C2266"/>
    <w:rsid w:val="02943FF9"/>
    <w:rsid w:val="02953B3E"/>
    <w:rsid w:val="02ABAB62"/>
    <w:rsid w:val="02B3A666"/>
    <w:rsid w:val="02B3AFF0"/>
    <w:rsid w:val="02BED133"/>
    <w:rsid w:val="02C01FFA"/>
    <w:rsid w:val="02C434FD"/>
    <w:rsid w:val="02D813CE"/>
    <w:rsid w:val="02D96FE9"/>
    <w:rsid w:val="02DEC70A"/>
    <w:rsid w:val="02E5D51A"/>
    <w:rsid w:val="02E992E8"/>
    <w:rsid w:val="02FB47C0"/>
    <w:rsid w:val="03042D84"/>
    <w:rsid w:val="03119333"/>
    <w:rsid w:val="03126ED0"/>
    <w:rsid w:val="031B0B36"/>
    <w:rsid w:val="033A78F6"/>
    <w:rsid w:val="0342E349"/>
    <w:rsid w:val="0345A893"/>
    <w:rsid w:val="03507AC6"/>
    <w:rsid w:val="0352F533"/>
    <w:rsid w:val="035B5CA9"/>
    <w:rsid w:val="03617A96"/>
    <w:rsid w:val="036EEEFB"/>
    <w:rsid w:val="039C4330"/>
    <w:rsid w:val="03B33831"/>
    <w:rsid w:val="03C2C335"/>
    <w:rsid w:val="03C714B3"/>
    <w:rsid w:val="03E3051C"/>
    <w:rsid w:val="03E41C2F"/>
    <w:rsid w:val="03E4C786"/>
    <w:rsid w:val="03E668F8"/>
    <w:rsid w:val="03EC7C3B"/>
    <w:rsid w:val="03F5E57E"/>
    <w:rsid w:val="03FE6740"/>
    <w:rsid w:val="04037A4B"/>
    <w:rsid w:val="040BAC0E"/>
    <w:rsid w:val="041F6818"/>
    <w:rsid w:val="042B1657"/>
    <w:rsid w:val="04343AEB"/>
    <w:rsid w:val="0454112F"/>
    <w:rsid w:val="0464611A"/>
    <w:rsid w:val="047677D3"/>
    <w:rsid w:val="047FB4A5"/>
    <w:rsid w:val="04992213"/>
    <w:rsid w:val="04A72463"/>
    <w:rsid w:val="04AAD63D"/>
    <w:rsid w:val="04B0627A"/>
    <w:rsid w:val="04C1FF40"/>
    <w:rsid w:val="04DBA147"/>
    <w:rsid w:val="04F20306"/>
    <w:rsid w:val="05032253"/>
    <w:rsid w:val="0511B333"/>
    <w:rsid w:val="0530FE7E"/>
    <w:rsid w:val="053CD180"/>
    <w:rsid w:val="05424A7D"/>
    <w:rsid w:val="0551A0DE"/>
    <w:rsid w:val="056C502A"/>
    <w:rsid w:val="057137F1"/>
    <w:rsid w:val="05771F52"/>
    <w:rsid w:val="057CEFBA"/>
    <w:rsid w:val="05966F9D"/>
    <w:rsid w:val="059C0AB7"/>
    <w:rsid w:val="05A73425"/>
    <w:rsid w:val="05CD6F00"/>
    <w:rsid w:val="05D83615"/>
    <w:rsid w:val="05E99A2A"/>
    <w:rsid w:val="05EE6C5D"/>
    <w:rsid w:val="05FDFA8A"/>
    <w:rsid w:val="06203CD9"/>
    <w:rsid w:val="0628216B"/>
    <w:rsid w:val="062F3A89"/>
    <w:rsid w:val="0647BFB6"/>
    <w:rsid w:val="068EE78E"/>
    <w:rsid w:val="06946845"/>
    <w:rsid w:val="06B0DDEC"/>
    <w:rsid w:val="06B9E165"/>
    <w:rsid w:val="06DCB822"/>
    <w:rsid w:val="070C2E31"/>
    <w:rsid w:val="070EC5E4"/>
    <w:rsid w:val="071A606C"/>
    <w:rsid w:val="0724DEB3"/>
    <w:rsid w:val="07337E14"/>
    <w:rsid w:val="0740B526"/>
    <w:rsid w:val="07456A42"/>
    <w:rsid w:val="0746AE5F"/>
    <w:rsid w:val="075F5249"/>
    <w:rsid w:val="07615558"/>
    <w:rsid w:val="07769284"/>
    <w:rsid w:val="079A7976"/>
    <w:rsid w:val="07A9F611"/>
    <w:rsid w:val="07D5E7C6"/>
    <w:rsid w:val="07E17957"/>
    <w:rsid w:val="07E509F4"/>
    <w:rsid w:val="07F8F446"/>
    <w:rsid w:val="0803E908"/>
    <w:rsid w:val="080558B7"/>
    <w:rsid w:val="081E6FBE"/>
    <w:rsid w:val="08264A6E"/>
    <w:rsid w:val="0829A3C8"/>
    <w:rsid w:val="083D87BC"/>
    <w:rsid w:val="0852017D"/>
    <w:rsid w:val="08597EC3"/>
    <w:rsid w:val="085F1175"/>
    <w:rsid w:val="0860D9DE"/>
    <w:rsid w:val="08876522"/>
    <w:rsid w:val="088DD080"/>
    <w:rsid w:val="08AB5C06"/>
    <w:rsid w:val="08C8A06B"/>
    <w:rsid w:val="08C8D4B3"/>
    <w:rsid w:val="08CE98E9"/>
    <w:rsid w:val="08D375E8"/>
    <w:rsid w:val="08D6614A"/>
    <w:rsid w:val="08E341F1"/>
    <w:rsid w:val="08E7DF92"/>
    <w:rsid w:val="08FA571B"/>
    <w:rsid w:val="090259D1"/>
    <w:rsid w:val="0912D6C5"/>
    <w:rsid w:val="0917D272"/>
    <w:rsid w:val="092DC5F9"/>
    <w:rsid w:val="093E252A"/>
    <w:rsid w:val="096529D6"/>
    <w:rsid w:val="0974CCA3"/>
    <w:rsid w:val="098791E6"/>
    <w:rsid w:val="098D28E8"/>
    <w:rsid w:val="09934C70"/>
    <w:rsid w:val="099C58DE"/>
    <w:rsid w:val="09A1146C"/>
    <w:rsid w:val="09E5F8F2"/>
    <w:rsid w:val="09F258F4"/>
    <w:rsid w:val="09FB6F01"/>
    <w:rsid w:val="0A19D3AE"/>
    <w:rsid w:val="0A232EB3"/>
    <w:rsid w:val="0A26FAA0"/>
    <w:rsid w:val="0A311430"/>
    <w:rsid w:val="0A31F596"/>
    <w:rsid w:val="0A40A7A5"/>
    <w:rsid w:val="0A617D0D"/>
    <w:rsid w:val="0A62E6F9"/>
    <w:rsid w:val="0A68EE24"/>
    <w:rsid w:val="0A704630"/>
    <w:rsid w:val="0A7F85BC"/>
    <w:rsid w:val="0A81D3D9"/>
    <w:rsid w:val="0A8B742D"/>
    <w:rsid w:val="0A9275F7"/>
    <w:rsid w:val="0A9E2A32"/>
    <w:rsid w:val="0AAFC155"/>
    <w:rsid w:val="0AB3EF77"/>
    <w:rsid w:val="0AC44085"/>
    <w:rsid w:val="0ACD9B69"/>
    <w:rsid w:val="0AD73095"/>
    <w:rsid w:val="0B09DBA9"/>
    <w:rsid w:val="0B13FB6E"/>
    <w:rsid w:val="0B1ADF97"/>
    <w:rsid w:val="0B1C605C"/>
    <w:rsid w:val="0B397114"/>
    <w:rsid w:val="0B4CF223"/>
    <w:rsid w:val="0B531592"/>
    <w:rsid w:val="0B584596"/>
    <w:rsid w:val="0B6A17EB"/>
    <w:rsid w:val="0B89944F"/>
    <w:rsid w:val="0B8DFE28"/>
    <w:rsid w:val="0B97E5B1"/>
    <w:rsid w:val="0BBC4A82"/>
    <w:rsid w:val="0BCEB1A1"/>
    <w:rsid w:val="0C04D998"/>
    <w:rsid w:val="0C198D8C"/>
    <w:rsid w:val="0C25B842"/>
    <w:rsid w:val="0C2C41BC"/>
    <w:rsid w:val="0C39FA93"/>
    <w:rsid w:val="0C435C23"/>
    <w:rsid w:val="0C5C5033"/>
    <w:rsid w:val="0C7428BA"/>
    <w:rsid w:val="0C792A74"/>
    <w:rsid w:val="0C7CC63E"/>
    <w:rsid w:val="0C8CC637"/>
    <w:rsid w:val="0C90DE23"/>
    <w:rsid w:val="0C936957"/>
    <w:rsid w:val="0CD5DAC9"/>
    <w:rsid w:val="0CDD867E"/>
    <w:rsid w:val="0CDEF01C"/>
    <w:rsid w:val="0CE19C15"/>
    <w:rsid w:val="0CECD0A9"/>
    <w:rsid w:val="0CF51CDE"/>
    <w:rsid w:val="0D07A5DE"/>
    <w:rsid w:val="0D1C641B"/>
    <w:rsid w:val="0D23F187"/>
    <w:rsid w:val="0D2C1507"/>
    <w:rsid w:val="0D42D9C6"/>
    <w:rsid w:val="0D44EF88"/>
    <w:rsid w:val="0D484828"/>
    <w:rsid w:val="0D560A62"/>
    <w:rsid w:val="0D603D14"/>
    <w:rsid w:val="0D794E6C"/>
    <w:rsid w:val="0D8D1302"/>
    <w:rsid w:val="0D98D58D"/>
    <w:rsid w:val="0D9BA13C"/>
    <w:rsid w:val="0D9C79B4"/>
    <w:rsid w:val="0DC8079E"/>
    <w:rsid w:val="0DD50D0C"/>
    <w:rsid w:val="0DDAACF7"/>
    <w:rsid w:val="0DE50A2F"/>
    <w:rsid w:val="0DF4C36E"/>
    <w:rsid w:val="0E0B0C6F"/>
    <w:rsid w:val="0E0E2D27"/>
    <w:rsid w:val="0E22CC0D"/>
    <w:rsid w:val="0E2DC1F2"/>
    <w:rsid w:val="0E341D95"/>
    <w:rsid w:val="0E4C80C1"/>
    <w:rsid w:val="0E5FF71C"/>
    <w:rsid w:val="0E7FE59D"/>
    <w:rsid w:val="0E8AF554"/>
    <w:rsid w:val="0EA2ADD6"/>
    <w:rsid w:val="0EA5FCD6"/>
    <w:rsid w:val="0EA69F6F"/>
    <w:rsid w:val="0EA93A79"/>
    <w:rsid w:val="0EADEDED"/>
    <w:rsid w:val="0EAF505F"/>
    <w:rsid w:val="0EB54481"/>
    <w:rsid w:val="0EBD0732"/>
    <w:rsid w:val="0ECE3B8E"/>
    <w:rsid w:val="0ECFA947"/>
    <w:rsid w:val="0ED4B2F2"/>
    <w:rsid w:val="0ED7AF5B"/>
    <w:rsid w:val="0EDE471A"/>
    <w:rsid w:val="0EECE97B"/>
    <w:rsid w:val="0EF045B5"/>
    <w:rsid w:val="0EF48A16"/>
    <w:rsid w:val="0EF5A90F"/>
    <w:rsid w:val="0EF6254E"/>
    <w:rsid w:val="0EF9B859"/>
    <w:rsid w:val="0F033A61"/>
    <w:rsid w:val="0F132EB1"/>
    <w:rsid w:val="0F17A503"/>
    <w:rsid w:val="0F1AB6D6"/>
    <w:rsid w:val="0F1B3938"/>
    <w:rsid w:val="0F1B8382"/>
    <w:rsid w:val="0F209425"/>
    <w:rsid w:val="0F278E4F"/>
    <w:rsid w:val="0F4048BB"/>
    <w:rsid w:val="0F40AE07"/>
    <w:rsid w:val="0F448D4B"/>
    <w:rsid w:val="0F46106C"/>
    <w:rsid w:val="0F50D4BB"/>
    <w:rsid w:val="0F56A1E4"/>
    <w:rsid w:val="0F6B41B9"/>
    <w:rsid w:val="0F9CF8ED"/>
    <w:rsid w:val="0FA1E783"/>
    <w:rsid w:val="0FA2CB1F"/>
    <w:rsid w:val="0FA33DCC"/>
    <w:rsid w:val="0FB80C43"/>
    <w:rsid w:val="0FB8FBF2"/>
    <w:rsid w:val="0FF20723"/>
    <w:rsid w:val="10021067"/>
    <w:rsid w:val="10119A53"/>
    <w:rsid w:val="1014FD8F"/>
    <w:rsid w:val="10286ECB"/>
    <w:rsid w:val="1035F6A0"/>
    <w:rsid w:val="104B0348"/>
    <w:rsid w:val="105B8024"/>
    <w:rsid w:val="107FE8EA"/>
    <w:rsid w:val="1099EC79"/>
    <w:rsid w:val="109C4ADE"/>
    <w:rsid w:val="109CFF1C"/>
    <w:rsid w:val="10A61D62"/>
    <w:rsid w:val="10AACACA"/>
    <w:rsid w:val="10C2DB11"/>
    <w:rsid w:val="10C540CA"/>
    <w:rsid w:val="10CB6DCF"/>
    <w:rsid w:val="10D22632"/>
    <w:rsid w:val="10DAE2EB"/>
    <w:rsid w:val="10E6771B"/>
    <w:rsid w:val="10E836CD"/>
    <w:rsid w:val="10E9C41E"/>
    <w:rsid w:val="10FC6E6B"/>
    <w:rsid w:val="11283313"/>
    <w:rsid w:val="112AB4EA"/>
    <w:rsid w:val="1150F751"/>
    <w:rsid w:val="116B9C7A"/>
    <w:rsid w:val="118B3326"/>
    <w:rsid w:val="119AE5BC"/>
    <w:rsid w:val="11A34E9C"/>
    <w:rsid w:val="11A70C38"/>
    <w:rsid w:val="11B25FE2"/>
    <w:rsid w:val="11B85C8A"/>
    <w:rsid w:val="11CB4D75"/>
    <w:rsid w:val="11D6967B"/>
    <w:rsid w:val="11E0CAFE"/>
    <w:rsid w:val="11E3885E"/>
    <w:rsid w:val="12225B7B"/>
    <w:rsid w:val="12602F76"/>
    <w:rsid w:val="12621F05"/>
    <w:rsid w:val="126D8D78"/>
    <w:rsid w:val="12862F5B"/>
    <w:rsid w:val="12881104"/>
    <w:rsid w:val="12A34A64"/>
    <w:rsid w:val="12B251FD"/>
    <w:rsid w:val="12B48321"/>
    <w:rsid w:val="12D78F69"/>
    <w:rsid w:val="12D837A9"/>
    <w:rsid w:val="12D9F986"/>
    <w:rsid w:val="12F8A775"/>
    <w:rsid w:val="12FE6726"/>
    <w:rsid w:val="12FEB593"/>
    <w:rsid w:val="1304CAD0"/>
    <w:rsid w:val="131179AA"/>
    <w:rsid w:val="13121F41"/>
    <w:rsid w:val="1314BD3C"/>
    <w:rsid w:val="13179920"/>
    <w:rsid w:val="1322D94E"/>
    <w:rsid w:val="1336D50D"/>
    <w:rsid w:val="1345E4FA"/>
    <w:rsid w:val="135A856D"/>
    <w:rsid w:val="13603A66"/>
    <w:rsid w:val="13710683"/>
    <w:rsid w:val="137A5ECA"/>
    <w:rsid w:val="13846A33"/>
    <w:rsid w:val="1394FC54"/>
    <w:rsid w:val="13A93D96"/>
    <w:rsid w:val="13B1D457"/>
    <w:rsid w:val="13DC2262"/>
    <w:rsid w:val="13F748D6"/>
    <w:rsid w:val="13FCE840"/>
    <w:rsid w:val="1407C711"/>
    <w:rsid w:val="141DF1D2"/>
    <w:rsid w:val="141FCEF9"/>
    <w:rsid w:val="14259C13"/>
    <w:rsid w:val="143CF0F3"/>
    <w:rsid w:val="14417704"/>
    <w:rsid w:val="14503DFF"/>
    <w:rsid w:val="1451AEE9"/>
    <w:rsid w:val="145F702F"/>
    <w:rsid w:val="1464E3C4"/>
    <w:rsid w:val="14683522"/>
    <w:rsid w:val="146B6EFF"/>
    <w:rsid w:val="146C0310"/>
    <w:rsid w:val="147628B1"/>
    <w:rsid w:val="14BEF8DE"/>
    <w:rsid w:val="14C10782"/>
    <w:rsid w:val="14CC6D9B"/>
    <w:rsid w:val="14DD1F83"/>
    <w:rsid w:val="14F8ED50"/>
    <w:rsid w:val="1508443A"/>
    <w:rsid w:val="1509DCB9"/>
    <w:rsid w:val="150DA71E"/>
    <w:rsid w:val="1515AC1A"/>
    <w:rsid w:val="151D5E7A"/>
    <w:rsid w:val="151DA864"/>
    <w:rsid w:val="1522D9BA"/>
    <w:rsid w:val="152B15A1"/>
    <w:rsid w:val="15435A4D"/>
    <w:rsid w:val="158AB673"/>
    <w:rsid w:val="1593B995"/>
    <w:rsid w:val="15952896"/>
    <w:rsid w:val="15A209A1"/>
    <w:rsid w:val="15C02271"/>
    <w:rsid w:val="15C35F39"/>
    <w:rsid w:val="15D7A043"/>
    <w:rsid w:val="15DDAD3D"/>
    <w:rsid w:val="15F57A8B"/>
    <w:rsid w:val="16109ACD"/>
    <w:rsid w:val="1612B8C4"/>
    <w:rsid w:val="16152B51"/>
    <w:rsid w:val="16173179"/>
    <w:rsid w:val="16211FBF"/>
    <w:rsid w:val="162986DB"/>
    <w:rsid w:val="1630B357"/>
    <w:rsid w:val="163E0185"/>
    <w:rsid w:val="163F8083"/>
    <w:rsid w:val="1657C7BC"/>
    <w:rsid w:val="166C941F"/>
    <w:rsid w:val="16829E12"/>
    <w:rsid w:val="169A5D62"/>
    <w:rsid w:val="16AC6EF5"/>
    <w:rsid w:val="16BB774F"/>
    <w:rsid w:val="16BF6E81"/>
    <w:rsid w:val="16D0A809"/>
    <w:rsid w:val="16E212E4"/>
    <w:rsid w:val="16FC87F4"/>
    <w:rsid w:val="17125802"/>
    <w:rsid w:val="172216A1"/>
    <w:rsid w:val="173CD9A1"/>
    <w:rsid w:val="173FF26C"/>
    <w:rsid w:val="1741CF05"/>
    <w:rsid w:val="174349FA"/>
    <w:rsid w:val="175C4622"/>
    <w:rsid w:val="1769A3FB"/>
    <w:rsid w:val="1784C595"/>
    <w:rsid w:val="17886163"/>
    <w:rsid w:val="179D2AAA"/>
    <w:rsid w:val="17BD8CFC"/>
    <w:rsid w:val="17BE9156"/>
    <w:rsid w:val="17C132C0"/>
    <w:rsid w:val="17C61EA4"/>
    <w:rsid w:val="17CB001B"/>
    <w:rsid w:val="17D5415F"/>
    <w:rsid w:val="17E87EAA"/>
    <w:rsid w:val="17E91EAF"/>
    <w:rsid w:val="17EEE8E6"/>
    <w:rsid w:val="17EFF958"/>
    <w:rsid w:val="1812FCC9"/>
    <w:rsid w:val="181CD392"/>
    <w:rsid w:val="18216E9B"/>
    <w:rsid w:val="18254FE4"/>
    <w:rsid w:val="182AE8DD"/>
    <w:rsid w:val="18336346"/>
    <w:rsid w:val="18396B69"/>
    <w:rsid w:val="18437F09"/>
    <w:rsid w:val="184687C5"/>
    <w:rsid w:val="184B0707"/>
    <w:rsid w:val="184CBF18"/>
    <w:rsid w:val="184D4CDC"/>
    <w:rsid w:val="184DF385"/>
    <w:rsid w:val="1853DE4C"/>
    <w:rsid w:val="18597BDF"/>
    <w:rsid w:val="1890BCD6"/>
    <w:rsid w:val="18AF612F"/>
    <w:rsid w:val="18B40FF9"/>
    <w:rsid w:val="18BE3150"/>
    <w:rsid w:val="18D8C7BD"/>
    <w:rsid w:val="18DFBBCD"/>
    <w:rsid w:val="18E36B46"/>
    <w:rsid w:val="18E78900"/>
    <w:rsid w:val="18EB4647"/>
    <w:rsid w:val="18EE48A6"/>
    <w:rsid w:val="18F42F8A"/>
    <w:rsid w:val="1912A287"/>
    <w:rsid w:val="191383C4"/>
    <w:rsid w:val="19142958"/>
    <w:rsid w:val="192199D6"/>
    <w:rsid w:val="19347FA8"/>
    <w:rsid w:val="194CCC13"/>
    <w:rsid w:val="1953ECEF"/>
    <w:rsid w:val="1955FD92"/>
    <w:rsid w:val="1964B92C"/>
    <w:rsid w:val="19659565"/>
    <w:rsid w:val="1966C2AC"/>
    <w:rsid w:val="1986DDA6"/>
    <w:rsid w:val="198C2F6F"/>
    <w:rsid w:val="198F687E"/>
    <w:rsid w:val="199EEF95"/>
    <w:rsid w:val="19AF5032"/>
    <w:rsid w:val="19E21521"/>
    <w:rsid w:val="19E6FED7"/>
    <w:rsid w:val="19F32F9B"/>
    <w:rsid w:val="19FCDC90"/>
    <w:rsid w:val="19FF94DE"/>
    <w:rsid w:val="1A05EBD4"/>
    <w:rsid w:val="1A0C1471"/>
    <w:rsid w:val="1A2242A2"/>
    <w:rsid w:val="1A334883"/>
    <w:rsid w:val="1A453315"/>
    <w:rsid w:val="1A4768FB"/>
    <w:rsid w:val="1A47E5ED"/>
    <w:rsid w:val="1A496901"/>
    <w:rsid w:val="1A554EA8"/>
    <w:rsid w:val="1A85BB30"/>
    <w:rsid w:val="1A9F4F5F"/>
    <w:rsid w:val="1AA86562"/>
    <w:rsid w:val="1ABB5C8D"/>
    <w:rsid w:val="1AD6E059"/>
    <w:rsid w:val="1AD8C5B7"/>
    <w:rsid w:val="1ADB0376"/>
    <w:rsid w:val="1AF41BDE"/>
    <w:rsid w:val="1AF72687"/>
    <w:rsid w:val="1B0696AE"/>
    <w:rsid w:val="1B069A02"/>
    <w:rsid w:val="1B14C032"/>
    <w:rsid w:val="1B24AD5F"/>
    <w:rsid w:val="1B362C85"/>
    <w:rsid w:val="1B54CB87"/>
    <w:rsid w:val="1B5BD27D"/>
    <w:rsid w:val="1B5FEBFD"/>
    <w:rsid w:val="1B7AECFC"/>
    <w:rsid w:val="1B7FAD02"/>
    <w:rsid w:val="1B843FC2"/>
    <w:rsid w:val="1B88967D"/>
    <w:rsid w:val="1BACE8A0"/>
    <w:rsid w:val="1BC7DABE"/>
    <w:rsid w:val="1BD797B7"/>
    <w:rsid w:val="1BE563EA"/>
    <w:rsid w:val="1BFFF6D0"/>
    <w:rsid w:val="1C0B5B18"/>
    <w:rsid w:val="1C0EEB13"/>
    <w:rsid w:val="1C23ACF9"/>
    <w:rsid w:val="1C396010"/>
    <w:rsid w:val="1C5B1902"/>
    <w:rsid w:val="1C663F7C"/>
    <w:rsid w:val="1C67FBE5"/>
    <w:rsid w:val="1C84A23E"/>
    <w:rsid w:val="1C8D9BA3"/>
    <w:rsid w:val="1CA70E4C"/>
    <w:rsid w:val="1CAC6E28"/>
    <w:rsid w:val="1CAC7345"/>
    <w:rsid w:val="1CB3439C"/>
    <w:rsid w:val="1CB65E84"/>
    <w:rsid w:val="1CC3FD9F"/>
    <w:rsid w:val="1CCAFB23"/>
    <w:rsid w:val="1CD30C74"/>
    <w:rsid w:val="1CD43113"/>
    <w:rsid w:val="1CDC910E"/>
    <w:rsid w:val="1CE6A9D4"/>
    <w:rsid w:val="1CE73F39"/>
    <w:rsid w:val="1CF16403"/>
    <w:rsid w:val="1CF30D02"/>
    <w:rsid w:val="1D14CF4E"/>
    <w:rsid w:val="1D1E4566"/>
    <w:rsid w:val="1D240EF8"/>
    <w:rsid w:val="1D2955E4"/>
    <w:rsid w:val="1D37B57C"/>
    <w:rsid w:val="1D4292E2"/>
    <w:rsid w:val="1D43E150"/>
    <w:rsid w:val="1D492D29"/>
    <w:rsid w:val="1D5309F1"/>
    <w:rsid w:val="1D70B557"/>
    <w:rsid w:val="1D79B2BD"/>
    <w:rsid w:val="1D815386"/>
    <w:rsid w:val="1D90E1A7"/>
    <w:rsid w:val="1DB8E357"/>
    <w:rsid w:val="1DC6EEC7"/>
    <w:rsid w:val="1DD899FA"/>
    <w:rsid w:val="1DEEA82C"/>
    <w:rsid w:val="1DF406D9"/>
    <w:rsid w:val="1DF89985"/>
    <w:rsid w:val="1DF8BE47"/>
    <w:rsid w:val="1DFC35AB"/>
    <w:rsid w:val="1E06B54B"/>
    <w:rsid w:val="1E06BD62"/>
    <w:rsid w:val="1E0A3989"/>
    <w:rsid w:val="1E3680A2"/>
    <w:rsid w:val="1E3C6A49"/>
    <w:rsid w:val="1E3E1D0D"/>
    <w:rsid w:val="1E4AD8D7"/>
    <w:rsid w:val="1E7FC0C0"/>
    <w:rsid w:val="1E9CF270"/>
    <w:rsid w:val="1EA2AB32"/>
    <w:rsid w:val="1EA3DEBC"/>
    <w:rsid w:val="1EA93831"/>
    <w:rsid w:val="1EB766A1"/>
    <w:rsid w:val="1EB9FC39"/>
    <w:rsid w:val="1ECED825"/>
    <w:rsid w:val="1ECEDE1D"/>
    <w:rsid w:val="1EDBE59C"/>
    <w:rsid w:val="1EEB0F13"/>
    <w:rsid w:val="1F0531C4"/>
    <w:rsid w:val="1F0DB84A"/>
    <w:rsid w:val="1F5AEF17"/>
    <w:rsid w:val="1F7C97EB"/>
    <w:rsid w:val="1F8B80C8"/>
    <w:rsid w:val="1F9B24D0"/>
    <w:rsid w:val="1FA986AA"/>
    <w:rsid w:val="1FB05153"/>
    <w:rsid w:val="1FD1C0C6"/>
    <w:rsid w:val="1FD4D6E9"/>
    <w:rsid w:val="1FDDFF86"/>
    <w:rsid w:val="1FF29555"/>
    <w:rsid w:val="1FFF414F"/>
    <w:rsid w:val="20003BB9"/>
    <w:rsid w:val="20012F58"/>
    <w:rsid w:val="2016155E"/>
    <w:rsid w:val="2019707B"/>
    <w:rsid w:val="201987D6"/>
    <w:rsid w:val="204025AE"/>
    <w:rsid w:val="2050E873"/>
    <w:rsid w:val="205B1046"/>
    <w:rsid w:val="2067170F"/>
    <w:rsid w:val="207AFB86"/>
    <w:rsid w:val="209D050C"/>
    <w:rsid w:val="209DB776"/>
    <w:rsid w:val="20A2ED45"/>
    <w:rsid w:val="20B8D6AE"/>
    <w:rsid w:val="20C74FEC"/>
    <w:rsid w:val="20DA597E"/>
    <w:rsid w:val="20E25D26"/>
    <w:rsid w:val="20E47509"/>
    <w:rsid w:val="20EB92EF"/>
    <w:rsid w:val="20F3244E"/>
    <w:rsid w:val="20FE7E89"/>
    <w:rsid w:val="21272622"/>
    <w:rsid w:val="213840E2"/>
    <w:rsid w:val="21405253"/>
    <w:rsid w:val="214D7F99"/>
    <w:rsid w:val="2167FD3D"/>
    <w:rsid w:val="2170A74A"/>
    <w:rsid w:val="2172EF23"/>
    <w:rsid w:val="217957FF"/>
    <w:rsid w:val="218ACACB"/>
    <w:rsid w:val="2192072C"/>
    <w:rsid w:val="2193CE75"/>
    <w:rsid w:val="21A275C1"/>
    <w:rsid w:val="21A7FACA"/>
    <w:rsid w:val="21CB7249"/>
    <w:rsid w:val="21D1DBF6"/>
    <w:rsid w:val="21D68657"/>
    <w:rsid w:val="21E403DE"/>
    <w:rsid w:val="21EB5C80"/>
    <w:rsid w:val="21F2BD29"/>
    <w:rsid w:val="220311F8"/>
    <w:rsid w:val="220AAE23"/>
    <w:rsid w:val="221D60FD"/>
    <w:rsid w:val="221D8B30"/>
    <w:rsid w:val="22475D8B"/>
    <w:rsid w:val="2257EA2B"/>
    <w:rsid w:val="2260FE17"/>
    <w:rsid w:val="227A5E4C"/>
    <w:rsid w:val="228C8D20"/>
    <w:rsid w:val="228EF4AF"/>
    <w:rsid w:val="22900550"/>
    <w:rsid w:val="22956B96"/>
    <w:rsid w:val="2296BEF8"/>
    <w:rsid w:val="22996301"/>
    <w:rsid w:val="2299FA35"/>
    <w:rsid w:val="22A8A8F1"/>
    <w:rsid w:val="22B0CA3A"/>
    <w:rsid w:val="22DFF217"/>
    <w:rsid w:val="22EBE5DF"/>
    <w:rsid w:val="23078F20"/>
    <w:rsid w:val="231227D6"/>
    <w:rsid w:val="231AC613"/>
    <w:rsid w:val="23208CC3"/>
    <w:rsid w:val="23210EA6"/>
    <w:rsid w:val="232729CD"/>
    <w:rsid w:val="232D0E41"/>
    <w:rsid w:val="232EE6FB"/>
    <w:rsid w:val="2338806B"/>
    <w:rsid w:val="23418F2E"/>
    <w:rsid w:val="2389F1FF"/>
    <w:rsid w:val="23AD7D02"/>
    <w:rsid w:val="23AECFC4"/>
    <w:rsid w:val="23B98A1D"/>
    <w:rsid w:val="23BB08A9"/>
    <w:rsid w:val="23C168CE"/>
    <w:rsid w:val="23C65C64"/>
    <w:rsid w:val="23C828A6"/>
    <w:rsid w:val="23F63A76"/>
    <w:rsid w:val="23F951B1"/>
    <w:rsid w:val="240BE437"/>
    <w:rsid w:val="240C9501"/>
    <w:rsid w:val="2425E093"/>
    <w:rsid w:val="242B50F5"/>
    <w:rsid w:val="2438DDB5"/>
    <w:rsid w:val="243F71E9"/>
    <w:rsid w:val="24576D7C"/>
    <w:rsid w:val="2463415B"/>
    <w:rsid w:val="246BC328"/>
    <w:rsid w:val="2476D108"/>
    <w:rsid w:val="24820380"/>
    <w:rsid w:val="249D7E3D"/>
    <w:rsid w:val="24ABF7F6"/>
    <w:rsid w:val="24B035D1"/>
    <w:rsid w:val="24B73467"/>
    <w:rsid w:val="24BE6D91"/>
    <w:rsid w:val="24C83E64"/>
    <w:rsid w:val="24D5A3AE"/>
    <w:rsid w:val="24EDE87E"/>
    <w:rsid w:val="24F1CCE9"/>
    <w:rsid w:val="24F80F40"/>
    <w:rsid w:val="256BD9D4"/>
    <w:rsid w:val="256D4D89"/>
    <w:rsid w:val="2575ACF9"/>
    <w:rsid w:val="257C920F"/>
    <w:rsid w:val="258DD3F2"/>
    <w:rsid w:val="259A94BE"/>
    <w:rsid w:val="25B5B599"/>
    <w:rsid w:val="25BB07E9"/>
    <w:rsid w:val="25C2CE56"/>
    <w:rsid w:val="25CA5DC3"/>
    <w:rsid w:val="25DCCA1A"/>
    <w:rsid w:val="25E06C00"/>
    <w:rsid w:val="25F8E530"/>
    <w:rsid w:val="2603D02C"/>
    <w:rsid w:val="2604A491"/>
    <w:rsid w:val="260D4F80"/>
    <w:rsid w:val="26169D51"/>
    <w:rsid w:val="26267582"/>
    <w:rsid w:val="26304671"/>
    <w:rsid w:val="2631F8D9"/>
    <w:rsid w:val="263456B2"/>
    <w:rsid w:val="2646B6EA"/>
    <w:rsid w:val="26497787"/>
    <w:rsid w:val="2649981E"/>
    <w:rsid w:val="264CBF4E"/>
    <w:rsid w:val="264D145B"/>
    <w:rsid w:val="265A7E21"/>
    <w:rsid w:val="265B5AD6"/>
    <w:rsid w:val="267CE4F9"/>
    <w:rsid w:val="26820857"/>
    <w:rsid w:val="269B73EB"/>
    <w:rsid w:val="269C0E67"/>
    <w:rsid w:val="269EBFCE"/>
    <w:rsid w:val="26B9B6BA"/>
    <w:rsid w:val="26BA13FD"/>
    <w:rsid w:val="26BAABCE"/>
    <w:rsid w:val="26BDA0E7"/>
    <w:rsid w:val="26BFB56F"/>
    <w:rsid w:val="26F8852D"/>
    <w:rsid w:val="26FE20DD"/>
    <w:rsid w:val="2713C4E7"/>
    <w:rsid w:val="27159F67"/>
    <w:rsid w:val="27160D9E"/>
    <w:rsid w:val="2718BF7A"/>
    <w:rsid w:val="272ADFA0"/>
    <w:rsid w:val="27337635"/>
    <w:rsid w:val="2745BB69"/>
    <w:rsid w:val="275D402A"/>
    <w:rsid w:val="275E051C"/>
    <w:rsid w:val="2762C076"/>
    <w:rsid w:val="276C491C"/>
    <w:rsid w:val="27732938"/>
    <w:rsid w:val="27A0E049"/>
    <w:rsid w:val="27ADEA00"/>
    <w:rsid w:val="27AEB78A"/>
    <w:rsid w:val="27E5E62E"/>
    <w:rsid w:val="27E68AFE"/>
    <w:rsid w:val="27EB18A7"/>
    <w:rsid w:val="27F64993"/>
    <w:rsid w:val="27FF0CCC"/>
    <w:rsid w:val="28120586"/>
    <w:rsid w:val="281692CC"/>
    <w:rsid w:val="281C3F6D"/>
    <w:rsid w:val="283A7DBD"/>
    <w:rsid w:val="28425674"/>
    <w:rsid w:val="284EC131"/>
    <w:rsid w:val="2855C222"/>
    <w:rsid w:val="288CF0B0"/>
    <w:rsid w:val="28B1117D"/>
    <w:rsid w:val="28B23A88"/>
    <w:rsid w:val="28C20EFB"/>
    <w:rsid w:val="28C90558"/>
    <w:rsid w:val="28D2AE1A"/>
    <w:rsid w:val="28DDAF03"/>
    <w:rsid w:val="28E2CFAF"/>
    <w:rsid w:val="28E33CD6"/>
    <w:rsid w:val="2905F57F"/>
    <w:rsid w:val="2926E7D5"/>
    <w:rsid w:val="292CF3FC"/>
    <w:rsid w:val="292E7A73"/>
    <w:rsid w:val="29312B54"/>
    <w:rsid w:val="293700AB"/>
    <w:rsid w:val="29542CB2"/>
    <w:rsid w:val="295A1273"/>
    <w:rsid w:val="2976C2D2"/>
    <w:rsid w:val="2983A6B5"/>
    <w:rsid w:val="299DFFB7"/>
    <w:rsid w:val="29AD6BBB"/>
    <w:rsid w:val="29CCF9FA"/>
    <w:rsid w:val="29FF2E10"/>
    <w:rsid w:val="29FFDEA7"/>
    <w:rsid w:val="2A19D497"/>
    <w:rsid w:val="2A1A0AD7"/>
    <w:rsid w:val="2A23FAF2"/>
    <w:rsid w:val="2A41EDD7"/>
    <w:rsid w:val="2A7F0D37"/>
    <w:rsid w:val="2A8A5B23"/>
    <w:rsid w:val="2A8E4FB9"/>
    <w:rsid w:val="2A9AC927"/>
    <w:rsid w:val="2AA652F6"/>
    <w:rsid w:val="2AACBD13"/>
    <w:rsid w:val="2AB15370"/>
    <w:rsid w:val="2ADA0C02"/>
    <w:rsid w:val="2AEC893E"/>
    <w:rsid w:val="2AF9EF67"/>
    <w:rsid w:val="2B067E57"/>
    <w:rsid w:val="2B17F81B"/>
    <w:rsid w:val="2B1F7716"/>
    <w:rsid w:val="2B2574CE"/>
    <w:rsid w:val="2B2F2DD0"/>
    <w:rsid w:val="2B3A94B5"/>
    <w:rsid w:val="2B3DF9FE"/>
    <w:rsid w:val="2B43CC78"/>
    <w:rsid w:val="2B4803CE"/>
    <w:rsid w:val="2B707211"/>
    <w:rsid w:val="2B73D756"/>
    <w:rsid w:val="2B874A6F"/>
    <w:rsid w:val="2BA205B9"/>
    <w:rsid w:val="2BA25403"/>
    <w:rsid w:val="2BA9A37D"/>
    <w:rsid w:val="2BDCD6E2"/>
    <w:rsid w:val="2BF30FBC"/>
    <w:rsid w:val="2C175FF0"/>
    <w:rsid w:val="2C194D6B"/>
    <w:rsid w:val="2C2AA4F8"/>
    <w:rsid w:val="2C322424"/>
    <w:rsid w:val="2C34ECCB"/>
    <w:rsid w:val="2C35D6F5"/>
    <w:rsid w:val="2C39D530"/>
    <w:rsid w:val="2C6ACB95"/>
    <w:rsid w:val="2CA266E6"/>
    <w:rsid w:val="2CA822D4"/>
    <w:rsid w:val="2CC717B9"/>
    <w:rsid w:val="2D22C118"/>
    <w:rsid w:val="2D25A6F2"/>
    <w:rsid w:val="2D2FA9DB"/>
    <w:rsid w:val="2D305538"/>
    <w:rsid w:val="2D5704BB"/>
    <w:rsid w:val="2D7AAE73"/>
    <w:rsid w:val="2D827A71"/>
    <w:rsid w:val="2D84DCA3"/>
    <w:rsid w:val="2D99D92B"/>
    <w:rsid w:val="2DB600CB"/>
    <w:rsid w:val="2DB67A2F"/>
    <w:rsid w:val="2DB75562"/>
    <w:rsid w:val="2DC3E729"/>
    <w:rsid w:val="2DD08ABE"/>
    <w:rsid w:val="2DD1D556"/>
    <w:rsid w:val="2DDEB997"/>
    <w:rsid w:val="2DEACEB8"/>
    <w:rsid w:val="2E0457D4"/>
    <w:rsid w:val="2E07DE13"/>
    <w:rsid w:val="2E1D399E"/>
    <w:rsid w:val="2E20F55A"/>
    <w:rsid w:val="2E2EAD08"/>
    <w:rsid w:val="2E386F42"/>
    <w:rsid w:val="2E43A0C3"/>
    <w:rsid w:val="2E43E0EC"/>
    <w:rsid w:val="2E569EB3"/>
    <w:rsid w:val="2E59AD73"/>
    <w:rsid w:val="2E5A8FB4"/>
    <w:rsid w:val="2E68EA27"/>
    <w:rsid w:val="2E742FB8"/>
    <w:rsid w:val="2E7AE145"/>
    <w:rsid w:val="2E8028B0"/>
    <w:rsid w:val="2E892426"/>
    <w:rsid w:val="2EA11E53"/>
    <w:rsid w:val="2EAA5A66"/>
    <w:rsid w:val="2EB7A682"/>
    <w:rsid w:val="2EBF8CF9"/>
    <w:rsid w:val="2EC67582"/>
    <w:rsid w:val="2ECC57A4"/>
    <w:rsid w:val="2ECD3492"/>
    <w:rsid w:val="2EE9ECE1"/>
    <w:rsid w:val="2EFA1479"/>
    <w:rsid w:val="2F164A5A"/>
    <w:rsid w:val="2F356368"/>
    <w:rsid w:val="2F59340D"/>
    <w:rsid w:val="2F661802"/>
    <w:rsid w:val="2F839AC5"/>
    <w:rsid w:val="2F8AB22C"/>
    <w:rsid w:val="2F8CD2B4"/>
    <w:rsid w:val="2FA2ED89"/>
    <w:rsid w:val="2FB6C5B7"/>
    <w:rsid w:val="2FBF68C9"/>
    <w:rsid w:val="2FC7CCCA"/>
    <w:rsid w:val="2FE29EF7"/>
    <w:rsid w:val="2FF2E839"/>
    <w:rsid w:val="3002FB7D"/>
    <w:rsid w:val="300B3EE4"/>
    <w:rsid w:val="301015C8"/>
    <w:rsid w:val="30294AC6"/>
    <w:rsid w:val="302BE11C"/>
    <w:rsid w:val="30486016"/>
    <w:rsid w:val="305EE75A"/>
    <w:rsid w:val="306644CD"/>
    <w:rsid w:val="3068C649"/>
    <w:rsid w:val="3069C41B"/>
    <w:rsid w:val="306AED9D"/>
    <w:rsid w:val="3073690E"/>
    <w:rsid w:val="3073AA16"/>
    <w:rsid w:val="30878817"/>
    <w:rsid w:val="309A9762"/>
    <w:rsid w:val="30CCA26D"/>
    <w:rsid w:val="30F8BF75"/>
    <w:rsid w:val="30FDACCA"/>
    <w:rsid w:val="3134AED2"/>
    <w:rsid w:val="3134D71B"/>
    <w:rsid w:val="3155F40C"/>
    <w:rsid w:val="31704A3D"/>
    <w:rsid w:val="3170BF4D"/>
    <w:rsid w:val="3171528F"/>
    <w:rsid w:val="317C63FB"/>
    <w:rsid w:val="319FDEC0"/>
    <w:rsid w:val="31AAD140"/>
    <w:rsid w:val="31B0B7AF"/>
    <w:rsid w:val="31F5A9F8"/>
    <w:rsid w:val="31F63B2A"/>
    <w:rsid w:val="31FF8828"/>
    <w:rsid w:val="3202F124"/>
    <w:rsid w:val="321A205A"/>
    <w:rsid w:val="327CB86B"/>
    <w:rsid w:val="32837D57"/>
    <w:rsid w:val="32968F9D"/>
    <w:rsid w:val="329B129E"/>
    <w:rsid w:val="32A5A45E"/>
    <w:rsid w:val="32A5EE76"/>
    <w:rsid w:val="32C448D4"/>
    <w:rsid w:val="32D61CBE"/>
    <w:rsid w:val="32ED8D23"/>
    <w:rsid w:val="32F96731"/>
    <w:rsid w:val="33085C6B"/>
    <w:rsid w:val="3308DE26"/>
    <w:rsid w:val="33155390"/>
    <w:rsid w:val="33196B6A"/>
    <w:rsid w:val="3319A1E3"/>
    <w:rsid w:val="335E42A3"/>
    <w:rsid w:val="339D670D"/>
    <w:rsid w:val="33B49F69"/>
    <w:rsid w:val="33BC2172"/>
    <w:rsid w:val="33BCC0E7"/>
    <w:rsid w:val="33C1EBF1"/>
    <w:rsid w:val="33D5CE75"/>
    <w:rsid w:val="33DD92E7"/>
    <w:rsid w:val="33ED8433"/>
    <w:rsid w:val="33F0E995"/>
    <w:rsid w:val="33F5F065"/>
    <w:rsid w:val="3404D9FB"/>
    <w:rsid w:val="3408CB29"/>
    <w:rsid w:val="340FC80B"/>
    <w:rsid w:val="341982DC"/>
    <w:rsid w:val="34206EAF"/>
    <w:rsid w:val="343EE8E2"/>
    <w:rsid w:val="344ED2EA"/>
    <w:rsid w:val="3454202E"/>
    <w:rsid w:val="34587E06"/>
    <w:rsid w:val="34601935"/>
    <w:rsid w:val="34779B67"/>
    <w:rsid w:val="3485B6ED"/>
    <w:rsid w:val="348DB54C"/>
    <w:rsid w:val="349ADB73"/>
    <w:rsid w:val="34A00982"/>
    <w:rsid w:val="34A02E58"/>
    <w:rsid w:val="34A5935B"/>
    <w:rsid w:val="34B0AC4B"/>
    <w:rsid w:val="34CF5E69"/>
    <w:rsid w:val="34D07AF3"/>
    <w:rsid w:val="34DE6D55"/>
    <w:rsid w:val="34E0531B"/>
    <w:rsid w:val="34E0D7CF"/>
    <w:rsid w:val="34E36D60"/>
    <w:rsid w:val="34EDA7AA"/>
    <w:rsid w:val="34FB43D7"/>
    <w:rsid w:val="350C24ED"/>
    <w:rsid w:val="351E8426"/>
    <w:rsid w:val="3520A0ED"/>
    <w:rsid w:val="352106FA"/>
    <w:rsid w:val="35285B00"/>
    <w:rsid w:val="352A90DD"/>
    <w:rsid w:val="3530A104"/>
    <w:rsid w:val="3543D5E0"/>
    <w:rsid w:val="35601AB4"/>
    <w:rsid w:val="3576BAF3"/>
    <w:rsid w:val="358520AD"/>
    <w:rsid w:val="35A8D691"/>
    <w:rsid w:val="35AAF2A4"/>
    <w:rsid w:val="35D1FB44"/>
    <w:rsid w:val="35E7341E"/>
    <w:rsid w:val="35F11654"/>
    <w:rsid w:val="35F20E61"/>
    <w:rsid w:val="35F5BB62"/>
    <w:rsid w:val="35F8184C"/>
    <w:rsid w:val="3609A739"/>
    <w:rsid w:val="3613B90E"/>
    <w:rsid w:val="363DBE2D"/>
    <w:rsid w:val="363EDFA1"/>
    <w:rsid w:val="3672AD07"/>
    <w:rsid w:val="36822015"/>
    <w:rsid w:val="3689E374"/>
    <w:rsid w:val="36955217"/>
    <w:rsid w:val="369978FF"/>
    <w:rsid w:val="36B1B7C4"/>
    <w:rsid w:val="36B4F208"/>
    <w:rsid w:val="36B7E8FC"/>
    <w:rsid w:val="36C5E849"/>
    <w:rsid w:val="36CA6B9F"/>
    <w:rsid w:val="36CB001D"/>
    <w:rsid w:val="36CC2803"/>
    <w:rsid w:val="36DB7963"/>
    <w:rsid w:val="36EF54EA"/>
    <w:rsid w:val="36F80593"/>
    <w:rsid w:val="371D1F9E"/>
    <w:rsid w:val="372524F5"/>
    <w:rsid w:val="372D68DE"/>
    <w:rsid w:val="3738C044"/>
    <w:rsid w:val="37560437"/>
    <w:rsid w:val="376BF9CA"/>
    <w:rsid w:val="378BD15D"/>
    <w:rsid w:val="379125C0"/>
    <w:rsid w:val="37A59634"/>
    <w:rsid w:val="37A6142F"/>
    <w:rsid w:val="37A811B3"/>
    <w:rsid w:val="37A83361"/>
    <w:rsid w:val="37AB505D"/>
    <w:rsid w:val="37B85EA5"/>
    <w:rsid w:val="37BAF9EE"/>
    <w:rsid w:val="37C31D6D"/>
    <w:rsid w:val="37C383B8"/>
    <w:rsid w:val="37CBD91C"/>
    <w:rsid w:val="37CE170E"/>
    <w:rsid w:val="37D3A7A4"/>
    <w:rsid w:val="37F313DD"/>
    <w:rsid w:val="37FCAEBF"/>
    <w:rsid w:val="380475F9"/>
    <w:rsid w:val="38048D0F"/>
    <w:rsid w:val="380E28E3"/>
    <w:rsid w:val="381DF076"/>
    <w:rsid w:val="381E8A27"/>
    <w:rsid w:val="38227511"/>
    <w:rsid w:val="38243311"/>
    <w:rsid w:val="38262AF0"/>
    <w:rsid w:val="3831613E"/>
    <w:rsid w:val="38343A1D"/>
    <w:rsid w:val="3836AC1C"/>
    <w:rsid w:val="3839CC58"/>
    <w:rsid w:val="38518BA0"/>
    <w:rsid w:val="386A981C"/>
    <w:rsid w:val="386D2049"/>
    <w:rsid w:val="386D68BB"/>
    <w:rsid w:val="386E8236"/>
    <w:rsid w:val="386FC5CD"/>
    <w:rsid w:val="3877A6CA"/>
    <w:rsid w:val="3878BE6D"/>
    <w:rsid w:val="3893DAA8"/>
    <w:rsid w:val="38B4421B"/>
    <w:rsid w:val="38BB88CB"/>
    <w:rsid w:val="38E8390F"/>
    <w:rsid w:val="38F9B905"/>
    <w:rsid w:val="38FFDA7D"/>
    <w:rsid w:val="390A342F"/>
    <w:rsid w:val="391C8272"/>
    <w:rsid w:val="392239A7"/>
    <w:rsid w:val="393EF99F"/>
    <w:rsid w:val="394403C2"/>
    <w:rsid w:val="394DE599"/>
    <w:rsid w:val="3952BA91"/>
    <w:rsid w:val="395B9814"/>
    <w:rsid w:val="3964B205"/>
    <w:rsid w:val="396EA06B"/>
    <w:rsid w:val="3981DA1C"/>
    <w:rsid w:val="39AD4A6A"/>
    <w:rsid w:val="39B7EA0F"/>
    <w:rsid w:val="39E06CA3"/>
    <w:rsid w:val="39FAD903"/>
    <w:rsid w:val="3A010E12"/>
    <w:rsid w:val="3A021B29"/>
    <w:rsid w:val="3A08418D"/>
    <w:rsid w:val="3A282EE5"/>
    <w:rsid w:val="3A42A2FD"/>
    <w:rsid w:val="3A558330"/>
    <w:rsid w:val="3A623C91"/>
    <w:rsid w:val="3A628130"/>
    <w:rsid w:val="3A6F0FBE"/>
    <w:rsid w:val="3A774720"/>
    <w:rsid w:val="3A7E69AF"/>
    <w:rsid w:val="3A817FBA"/>
    <w:rsid w:val="3A88296B"/>
    <w:rsid w:val="3A96CD9F"/>
    <w:rsid w:val="3A977A6F"/>
    <w:rsid w:val="3A9D539F"/>
    <w:rsid w:val="3AA630D5"/>
    <w:rsid w:val="3AADD911"/>
    <w:rsid w:val="3AB16257"/>
    <w:rsid w:val="3AB2BA39"/>
    <w:rsid w:val="3AB454E8"/>
    <w:rsid w:val="3AB852D3"/>
    <w:rsid w:val="3ABCCF0D"/>
    <w:rsid w:val="3AC0B534"/>
    <w:rsid w:val="3ACF606E"/>
    <w:rsid w:val="3AFF5A00"/>
    <w:rsid w:val="3B073A1E"/>
    <w:rsid w:val="3B0CA615"/>
    <w:rsid w:val="3B172352"/>
    <w:rsid w:val="3B361BF1"/>
    <w:rsid w:val="3B42BA57"/>
    <w:rsid w:val="3B589D27"/>
    <w:rsid w:val="3B6177EA"/>
    <w:rsid w:val="3B684DC7"/>
    <w:rsid w:val="3B6DE463"/>
    <w:rsid w:val="3B7EE57E"/>
    <w:rsid w:val="3B80787F"/>
    <w:rsid w:val="3B86D607"/>
    <w:rsid w:val="3B9FFA5B"/>
    <w:rsid w:val="3BB455C5"/>
    <w:rsid w:val="3BBB3706"/>
    <w:rsid w:val="3BBFB91E"/>
    <w:rsid w:val="3BC5377D"/>
    <w:rsid w:val="3BDF6DBB"/>
    <w:rsid w:val="3BF17291"/>
    <w:rsid w:val="3C034BAE"/>
    <w:rsid w:val="3C04FEAB"/>
    <w:rsid w:val="3C089BDF"/>
    <w:rsid w:val="3C24300A"/>
    <w:rsid w:val="3C2A9B28"/>
    <w:rsid w:val="3C38EEE8"/>
    <w:rsid w:val="3C4F35B9"/>
    <w:rsid w:val="3C6F8FAB"/>
    <w:rsid w:val="3C72548C"/>
    <w:rsid w:val="3C81F313"/>
    <w:rsid w:val="3C82FA92"/>
    <w:rsid w:val="3C8932DF"/>
    <w:rsid w:val="3C8DC806"/>
    <w:rsid w:val="3C92BDC0"/>
    <w:rsid w:val="3CA24DDE"/>
    <w:rsid w:val="3CA89D69"/>
    <w:rsid w:val="3CADE0AF"/>
    <w:rsid w:val="3CB56421"/>
    <w:rsid w:val="3CD101AB"/>
    <w:rsid w:val="3CD7A38A"/>
    <w:rsid w:val="3CD7E806"/>
    <w:rsid w:val="3CD8393C"/>
    <w:rsid w:val="3CDBD1BB"/>
    <w:rsid w:val="3D0D65F9"/>
    <w:rsid w:val="3D1DB39D"/>
    <w:rsid w:val="3D2B9F78"/>
    <w:rsid w:val="3D523773"/>
    <w:rsid w:val="3D5516AE"/>
    <w:rsid w:val="3D56CC9D"/>
    <w:rsid w:val="3D577248"/>
    <w:rsid w:val="3D58E514"/>
    <w:rsid w:val="3D648B86"/>
    <w:rsid w:val="3D6C19BB"/>
    <w:rsid w:val="3D7F92BB"/>
    <w:rsid w:val="3D898C15"/>
    <w:rsid w:val="3DA2473E"/>
    <w:rsid w:val="3DAA78A4"/>
    <w:rsid w:val="3DAF40DC"/>
    <w:rsid w:val="3DBEA9FF"/>
    <w:rsid w:val="3DD69049"/>
    <w:rsid w:val="3DF0448B"/>
    <w:rsid w:val="3DF0E615"/>
    <w:rsid w:val="3DF7DE55"/>
    <w:rsid w:val="3E013399"/>
    <w:rsid w:val="3E0CCDE3"/>
    <w:rsid w:val="3E141D75"/>
    <w:rsid w:val="3E169315"/>
    <w:rsid w:val="3E2E65F5"/>
    <w:rsid w:val="3E2F8DAF"/>
    <w:rsid w:val="3E315AC9"/>
    <w:rsid w:val="3E37D870"/>
    <w:rsid w:val="3E4C4B19"/>
    <w:rsid w:val="3E4EDB06"/>
    <w:rsid w:val="3E6172D8"/>
    <w:rsid w:val="3E6BDA95"/>
    <w:rsid w:val="3E7387BE"/>
    <w:rsid w:val="3E94CBB2"/>
    <w:rsid w:val="3E97DB44"/>
    <w:rsid w:val="3EAC232D"/>
    <w:rsid w:val="3ECFDFC9"/>
    <w:rsid w:val="3ED94E46"/>
    <w:rsid w:val="3EDD612B"/>
    <w:rsid w:val="3EE1E40E"/>
    <w:rsid w:val="3EE70F79"/>
    <w:rsid w:val="3EF2842B"/>
    <w:rsid w:val="3EF353E9"/>
    <w:rsid w:val="3F095549"/>
    <w:rsid w:val="3F0F93BB"/>
    <w:rsid w:val="3F263F43"/>
    <w:rsid w:val="3F29033C"/>
    <w:rsid w:val="3F2E80CB"/>
    <w:rsid w:val="3F3FAEC8"/>
    <w:rsid w:val="3F4124EE"/>
    <w:rsid w:val="3F4A324A"/>
    <w:rsid w:val="3F603007"/>
    <w:rsid w:val="3F616903"/>
    <w:rsid w:val="3F6CD2BA"/>
    <w:rsid w:val="3F865478"/>
    <w:rsid w:val="3F8ABEAA"/>
    <w:rsid w:val="3F980DBC"/>
    <w:rsid w:val="3FABD0C2"/>
    <w:rsid w:val="3FACF3BD"/>
    <w:rsid w:val="3FB5E63A"/>
    <w:rsid w:val="3FC0F5B5"/>
    <w:rsid w:val="3FCC94C5"/>
    <w:rsid w:val="3FCCBBF5"/>
    <w:rsid w:val="3FDC1893"/>
    <w:rsid w:val="3FE49293"/>
    <w:rsid w:val="3FE69EE5"/>
    <w:rsid w:val="3FE96F2A"/>
    <w:rsid w:val="3FF2E7AD"/>
    <w:rsid w:val="3FF4EB41"/>
    <w:rsid w:val="4005044C"/>
    <w:rsid w:val="400FD9FE"/>
    <w:rsid w:val="40114AD9"/>
    <w:rsid w:val="4027E206"/>
    <w:rsid w:val="40473FF2"/>
    <w:rsid w:val="405BBB0B"/>
    <w:rsid w:val="40666D2D"/>
    <w:rsid w:val="40824875"/>
    <w:rsid w:val="40927295"/>
    <w:rsid w:val="40A6477D"/>
    <w:rsid w:val="40ADB669"/>
    <w:rsid w:val="40B2DEDE"/>
    <w:rsid w:val="40BC1C53"/>
    <w:rsid w:val="40D04F25"/>
    <w:rsid w:val="40DBD4DF"/>
    <w:rsid w:val="40E201CC"/>
    <w:rsid w:val="40EA36C8"/>
    <w:rsid w:val="40EB6215"/>
    <w:rsid w:val="40F99346"/>
    <w:rsid w:val="41269E62"/>
    <w:rsid w:val="41279457"/>
    <w:rsid w:val="4127E54D"/>
    <w:rsid w:val="412C1091"/>
    <w:rsid w:val="4143F61C"/>
    <w:rsid w:val="41473A0B"/>
    <w:rsid w:val="416A7720"/>
    <w:rsid w:val="417E27D6"/>
    <w:rsid w:val="418CEF1E"/>
    <w:rsid w:val="4198A82D"/>
    <w:rsid w:val="41A1B9DF"/>
    <w:rsid w:val="41BB439D"/>
    <w:rsid w:val="41C3C599"/>
    <w:rsid w:val="41DC804A"/>
    <w:rsid w:val="41EE9731"/>
    <w:rsid w:val="4214A24D"/>
    <w:rsid w:val="4217304A"/>
    <w:rsid w:val="423BF728"/>
    <w:rsid w:val="424BD064"/>
    <w:rsid w:val="424E235A"/>
    <w:rsid w:val="4250DFC7"/>
    <w:rsid w:val="425B01E9"/>
    <w:rsid w:val="4269CAE2"/>
    <w:rsid w:val="4298E9E7"/>
    <w:rsid w:val="42BBB61F"/>
    <w:rsid w:val="42D1EC5F"/>
    <w:rsid w:val="42D90F29"/>
    <w:rsid w:val="42E4DB66"/>
    <w:rsid w:val="42F974B5"/>
    <w:rsid w:val="42FF5913"/>
    <w:rsid w:val="430C17EB"/>
    <w:rsid w:val="43309ADE"/>
    <w:rsid w:val="433C1E3A"/>
    <w:rsid w:val="4345562E"/>
    <w:rsid w:val="4362349A"/>
    <w:rsid w:val="43704042"/>
    <w:rsid w:val="438B98F5"/>
    <w:rsid w:val="438E8183"/>
    <w:rsid w:val="4393CF0A"/>
    <w:rsid w:val="4395D6D9"/>
    <w:rsid w:val="439BA925"/>
    <w:rsid w:val="43A4352D"/>
    <w:rsid w:val="43A7E3A7"/>
    <w:rsid w:val="43B02CE4"/>
    <w:rsid w:val="43B3B703"/>
    <w:rsid w:val="43B649B1"/>
    <w:rsid w:val="43BE2635"/>
    <w:rsid w:val="43C28DAD"/>
    <w:rsid w:val="43C706EA"/>
    <w:rsid w:val="43C73016"/>
    <w:rsid w:val="43CE2F91"/>
    <w:rsid w:val="43F1DD0B"/>
    <w:rsid w:val="4402CA9C"/>
    <w:rsid w:val="442D19AA"/>
    <w:rsid w:val="443ABF99"/>
    <w:rsid w:val="44461340"/>
    <w:rsid w:val="44476309"/>
    <w:rsid w:val="4449DC48"/>
    <w:rsid w:val="4454546B"/>
    <w:rsid w:val="4474E41A"/>
    <w:rsid w:val="44805499"/>
    <w:rsid w:val="44853916"/>
    <w:rsid w:val="44915EB0"/>
    <w:rsid w:val="4496F2C2"/>
    <w:rsid w:val="4496FCF5"/>
    <w:rsid w:val="44BA7FFD"/>
    <w:rsid w:val="44CC7D66"/>
    <w:rsid w:val="44DAD9A0"/>
    <w:rsid w:val="44E238C1"/>
    <w:rsid w:val="44E54D04"/>
    <w:rsid w:val="44EBC017"/>
    <w:rsid w:val="44F35537"/>
    <w:rsid w:val="44FE014D"/>
    <w:rsid w:val="44FE8514"/>
    <w:rsid w:val="450D54F4"/>
    <w:rsid w:val="450DD758"/>
    <w:rsid w:val="451E1ADA"/>
    <w:rsid w:val="453C957A"/>
    <w:rsid w:val="4547A562"/>
    <w:rsid w:val="456809FF"/>
    <w:rsid w:val="4581F4AB"/>
    <w:rsid w:val="45948113"/>
    <w:rsid w:val="4598CDA8"/>
    <w:rsid w:val="4599F1D1"/>
    <w:rsid w:val="459FE04A"/>
    <w:rsid w:val="45AF2A36"/>
    <w:rsid w:val="45BCFB29"/>
    <w:rsid w:val="45BD649A"/>
    <w:rsid w:val="45D120B5"/>
    <w:rsid w:val="45D6300D"/>
    <w:rsid w:val="45F908CB"/>
    <w:rsid w:val="45F99465"/>
    <w:rsid w:val="45FAE24E"/>
    <w:rsid w:val="45FD4023"/>
    <w:rsid w:val="460D29E3"/>
    <w:rsid w:val="461205D6"/>
    <w:rsid w:val="4613FDD1"/>
    <w:rsid w:val="46210977"/>
    <w:rsid w:val="462F1D20"/>
    <w:rsid w:val="463DF74C"/>
    <w:rsid w:val="46430DDE"/>
    <w:rsid w:val="464F1943"/>
    <w:rsid w:val="4650EBC1"/>
    <w:rsid w:val="46525538"/>
    <w:rsid w:val="4666EC1C"/>
    <w:rsid w:val="46791B27"/>
    <w:rsid w:val="468092D1"/>
    <w:rsid w:val="46817330"/>
    <w:rsid w:val="4685B975"/>
    <w:rsid w:val="46875441"/>
    <w:rsid w:val="46A7C6EF"/>
    <w:rsid w:val="46A9BC89"/>
    <w:rsid w:val="46ABEC5C"/>
    <w:rsid w:val="46ACFF27"/>
    <w:rsid w:val="46B8E588"/>
    <w:rsid w:val="46D7F35C"/>
    <w:rsid w:val="46DCEA0C"/>
    <w:rsid w:val="46F77200"/>
    <w:rsid w:val="46FBFB7B"/>
    <w:rsid w:val="47043D01"/>
    <w:rsid w:val="4704776E"/>
    <w:rsid w:val="4707CAE1"/>
    <w:rsid w:val="4708207C"/>
    <w:rsid w:val="4711B92A"/>
    <w:rsid w:val="471956E4"/>
    <w:rsid w:val="4725596C"/>
    <w:rsid w:val="4737EB4C"/>
    <w:rsid w:val="47454542"/>
    <w:rsid w:val="476E3E99"/>
    <w:rsid w:val="47891C18"/>
    <w:rsid w:val="47A4528F"/>
    <w:rsid w:val="47A83EAF"/>
    <w:rsid w:val="47AE5E03"/>
    <w:rsid w:val="47C644B1"/>
    <w:rsid w:val="47DCBFE7"/>
    <w:rsid w:val="47E39D82"/>
    <w:rsid w:val="47E4AFA8"/>
    <w:rsid w:val="47EC3557"/>
    <w:rsid w:val="47F1AF26"/>
    <w:rsid w:val="47F417BC"/>
    <w:rsid w:val="47F8A5DA"/>
    <w:rsid w:val="47FEC5DA"/>
    <w:rsid w:val="480818D8"/>
    <w:rsid w:val="480C857F"/>
    <w:rsid w:val="480FF470"/>
    <w:rsid w:val="481040E5"/>
    <w:rsid w:val="48156BA2"/>
    <w:rsid w:val="4822E4B6"/>
    <w:rsid w:val="482F2BC4"/>
    <w:rsid w:val="483C3D41"/>
    <w:rsid w:val="483F24CE"/>
    <w:rsid w:val="48426211"/>
    <w:rsid w:val="486DD36A"/>
    <w:rsid w:val="4893C5C6"/>
    <w:rsid w:val="48A53565"/>
    <w:rsid w:val="48ABD550"/>
    <w:rsid w:val="48AD6BFE"/>
    <w:rsid w:val="48B2660F"/>
    <w:rsid w:val="48B3B784"/>
    <w:rsid w:val="48B9702C"/>
    <w:rsid w:val="48BA0F88"/>
    <w:rsid w:val="48BA9090"/>
    <w:rsid w:val="48C39A6E"/>
    <w:rsid w:val="48EEA4C8"/>
    <w:rsid w:val="48EFF395"/>
    <w:rsid w:val="48FCE418"/>
    <w:rsid w:val="490C9DEC"/>
    <w:rsid w:val="49197DDF"/>
    <w:rsid w:val="491F3A72"/>
    <w:rsid w:val="492CB5A4"/>
    <w:rsid w:val="49371C04"/>
    <w:rsid w:val="4938FD22"/>
    <w:rsid w:val="493F1A49"/>
    <w:rsid w:val="49523A6B"/>
    <w:rsid w:val="4954FEDA"/>
    <w:rsid w:val="4958AA39"/>
    <w:rsid w:val="4967FD32"/>
    <w:rsid w:val="4982DCA8"/>
    <w:rsid w:val="499731FB"/>
    <w:rsid w:val="49AB3CE8"/>
    <w:rsid w:val="49B3218B"/>
    <w:rsid w:val="49CBC7B3"/>
    <w:rsid w:val="49DAC88B"/>
    <w:rsid w:val="49DF0B36"/>
    <w:rsid w:val="4A03ABE0"/>
    <w:rsid w:val="4A05185D"/>
    <w:rsid w:val="4A0FD391"/>
    <w:rsid w:val="4A1278A2"/>
    <w:rsid w:val="4A1327A6"/>
    <w:rsid w:val="4A2448B8"/>
    <w:rsid w:val="4A500F54"/>
    <w:rsid w:val="4A57B336"/>
    <w:rsid w:val="4A605EDE"/>
    <w:rsid w:val="4A61416D"/>
    <w:rsid w:val="4A637025"/>
    <w:rsid w:val="4A7E32E7"/>
    <w:rsid w:val="4A8A88DF"/>
    <w:rsid w:val="4A8E25A6"/>
    <w:rsid w:val="4A9F7C6F"/>
    <w:rsid w:val="4AB54E40"/>
    <w:rsid w:val="4AC3B872"/>
    <w:rsid w:val="4AC5A977"/>
    <w:rsid w:val="4AD9D29D"/>
    <w:rsid w:val="4AF47A9A"/>
    <w:rsid w:val="4AF8A3AE"/>
    <w:rsid w:val="4AFF29E3"/>
    <w:rsid w:val="4B08EE49"/>
    <w:rsid w:val="4B0E1AAD"/>
    <w:rsid w:val="4B189F1D"/>
    <w:rsid w:val="4B23CAD5"/>
    <w:rsid w:val="4B32DF89"/>
    <w:rsid w:val="4B3F9B4A"/>
    <w:rsid w:val="4B5D64BE"/>
    <w:rsid w:val="4B694C04"/>
    <w:rsid w:val="4B730583"/>
    <w:rsid w:val="4B7522EB"/>
    <w:rsid w:val="4B771968"/>
    <w:rsid w:val="4B83A011"/>
    <w:rsid w:val="4B85B27F"/>
    <w:rsid w:val="4B8EC3EA"/>
    <w:rsid w:val="4B980B7F"/>
    <w:rsid w:val="4B9BD164"/>
    <w:rsid w:val="4B9CF5C8"/>
    <w:rsid w:val="4BBA9CD2"/>
    <w:rsid w:val="4BC4E670"/>
    <w:rsid w:val="4BCAA892"/>
    <w:rsid w:val="4BD52AFD"/>
    <w:rsid w:val="4BF1CC06"/>
    <w:rsid w:val="4C051613"/>
    <w:rsid w:val="4C37969D"/>
    <w:rsid w:val="4C4AA217"/>
    <w:rsid w:val="4C4CF0BC"/>
    <w:rsid w:val="4C7A9EEF"/>
    <w:rsid w:val="4C869D58"/>
    <w:rsid w:val="4C94ABB1"/>
    <w:rsid w:val="4CC1D6F0"/>
    <w:rsid w:val="4CC47333"/>
    <w:rsid w:val="4CD17CC9"/>
    <w:rsid w:val="4CD20777"/>
    <w:rsid w:val="4CD371C5"/>
    <w:rsid w:val="4CD48099"/>
    <w:rsid w:val="4CEBA3F4"/>
    <w:rsid w:val="4D0152E1"/>
    <w:rsid w:val="4D07A0C8"/>
    <w:rsid w:val="4D14E834"/>
    <w:rsid w:val="4D1B9724"/>
    <w:rsid w:val="4D1E3F80"/>
    <w:rsid w:val="4D20377B"/>
    <w:rsid w:val="4D25AC10"/>
    <w:rsid w:val="4D3CD032"/>
    <w:rsid w:val="4D49D9D5"/>
    <w:rsid w:val="4D5164D8"/>
    <w:rsid w:val="4D69A71D"/>
    <w:rsid w:val="4D73B8F2"/>
    <w:rsid w:val="4D823A4D"/>
    <w:rsid w:val="4D82C1CD"/>
    <w:rsid w:val="4D9A067E"/>
    <w:rsid w:val="4DACDC49"/>
    <w:rsid w:val="4DB06674"/>
    <w:rsid w:val="4DB66005"/>
    <w:rsid w:val="4DBB6990"/>
    <w:rsid w:val="4DBD492D"/>
    <w:rsid w:val="4DD510A5"/>
    <w:rsid w:val="4DD7A06C"/>
    <w:rsid w:val="4E1753B5"/>
    <w:rsid w:val="4E214439"/>
    <w:rsid w:val="4E242720"/>
    <w:rsid w:val="4E27961E"/>
    <w:rsid w:val="4E3540A7"/>
    <w:rsid w:val="4E42E81A"/>
    <w:rsid w:val="4E474184"/>
    <w:rsid w:val="4E49C3C7"/>
    <w:rsid w:val="4E4FDCFB"/>
    <w:rsid w:val="4E51BED6"/>
    <w:rsid w:val="4E57006F"/>
    <w:rsid w:val="4E591AFB"/>
    <w:rsid w:val="4E7136C2"/>
    <w:rsid w:val="4E742EA9"/>
    <w:rsid w:val="4E744485"/>
    <w:rsid w:val="4E91FA9A"/>
    <w:rsid w:val="4EA2EC5C"/>
    <w:rsid w:val="4EBC54F5"/>
    <w:rsid w:val="4EE67D48"/>
    <w:rsid w:val="4EFAA0F7"/>
    <w:rsid w:val="4F06BB30"/>
    <w:rsid w:val="4F226DB7"/>
    <w:rsid w:val="4F4D4B09"/>
    <w:rsid w:val="4F86910B"/>
    <w:rsid w:val="4F934B2D"/>
    <w:rsid w:val="4FA3D7C0"/>
    <w:rsid w:val="4FAFD841"/>
    <w:rsid w:val="4FC0C245"/>
    <w:rsid w:val="4FC6CADB"/>
    <w:rsid w:val="4FCCE5D4"/>
    <w:rsid w:val="4FCE31DF"/>
    <w:rsid w:val="4FCEADAB"/>
    <w:rsid w:val="4FE115D8"/>
    <w:rsid w:val="5000521B"/>
    <w:rsid w:val="5033A3C7"/>
    <w:rsid w:val="505B98B5"/>
    <w:rsid w:val="507982F2"/>
    <w:rsid w:val="508BA4F8"/>
    <w:rsid w:val="50938A3C"/>
    <w:rsid w:val="50CE14DB"/>
    <w:rsid w:val="50D399DB"/>
    <w:rsid w:val="50D9C3A8"/>
    <w:rsid w:val="50EF5DC8"/>
    <w:rsid w:val="50F21380"/>
    <w:rsid w:val="510ECE85"/>
    <w:rsid w:val="51304F64"/>
    <w:rsid w:val="51421236"/>
    <w:rsid w:val="514EF477"/>
    <w:rsid w:val="519B8D1F"/>
    <w:rsid w:val="51A20AE7"/>
    <w:rsid w:val="51AC0618"/>
    <w:rsid w:val="51B55EBA"/>
    <w:rsid w:val="51B5CDF1"/>
    <w:rsid w:val="51BC6B4A"/>
    <w:rsid w:val="51BF2987"/>
    <w:rsid w:val="51C1AFAD"/>
    <w:rsid w:val="51C39AC7"/>
    <w:rsid w:val="51C58A12"/>
    <w:rsid w:val="51E9A2D1"/>
    <w:rsid w:val="51F7D35D"/>
    <w:rsid w:val="51FFB3FA"/>
    <w:rsid w:val="52048B75"/>
    <w:rsid w:val="5211A3B4"/>
    <w:rsid w:val="52297E3A"/>
    <w:rsid w:val="52398962"/>
    <w:rsid w:val="52457D52"/>
    <w:rsid w:val="52484CF9"/>
    <w:rsid w:val="524F9E32"/>
    <w:rsid w:val="5251ABFD"/>
    <w:rsid w:val="527636CA"/>
    <w:rsid w:val="52841173"/>
    <w:rsid w:val="528911FB"/>
    <w:rsid w:val="528C32EA"/>
    <w:rsid w:val="5291628E"/>
    <w:rsid w:val="52959AC4"/>
    <w:rsid w:val="529A6802"/>
    <w:rsid w:val="52A6F685"/>
    <w:rsid w:val="52B80B06"/>
    <w:rsid w:val="52B887E5"/>
    <w:rsid w:val="52CA53D9"/>
    <w:rsid w:val="52DBCABF"/>
    <w:rsid w:val="52F477CB"/>
    <w:rsid w:val="52F9300E"/>
    <w:rsid w:val="52FEEB59"/>
    <w:rsid w:val="52FF8C7F"/>
    <w:rsid w:val="530622DC"/>
    <w:rsid w:val="531595B0"/>
    <w:rsid w:val="531AA734"/>
    <w:rsid w:val="53310001"/>
    <w:rsid w:val="5341337E"/>
    <w:rsid w:val="535D5BA2"/>
    <w:rsid w:val="53721683"/>
    <w:rsid w:val="5386C226"/>
    <w:rsid w:val="53A824A4"/>
    <w:rsid w:val="53B0BCD8"/>
    <w:rsid w:val="53B4740E"/>
    <w:rsid w:val="53B90959"/>
    <w:rsid w:val="53BADF23"/>
    <w:rsid w:val="53D6604F"/>
    <w:rsid w:val="53E1A461"/>
    <w:rsid w:val="53E2B240"/>
    <w:rsid w:val="53F50FF3"/>
    <w:rsid w:val="53F8E110"/>
    <w:rsid w:val="53FB5586"/>
    <w:rsid w:val="540189D3"/>
    <w:rsid w:val="540E3351"/>
    <w:rsid w:val="54175A8F"/>
    <w:rsid w:val="54260137"/>
    <w:rsid w:val="54313A79"/>
    <w:rsid w:val="543C4376"/>
    <w:rsid w:val="5467FF56"/>
    <w:rsid w:val="54834E94"/>
    <w:rsid w:val="5489CCF6"/>
    <w:rsid w:val="548C608D"/>
    <w:rsid w:val="549ED36C"/>
    <w:rsid w:val="54BB6C62"/>
    <w:rsid w:val="54C939EF"/>
    <w:rsid w:val="54D4E730"/>
    <w:rsid w:val="54DB4904"/>
    <w:rsid w:val="54DB4B0F"/>
    <w:rsid w:val="54E1DFAD"/>
    <w:rsid w:val="54F7BDE7"/>
    <w:rsid w:val="5501FA34"/>
    <w:rsid w:val="5512DA2A"/>
    <w:rsid w:val="5516958B"/>
    <w:rsid w:val="55182E4F"/>
    <w:rsid w:val="551DE3D1"/>
    <w:rsid w:val="5529D97A"/>
    <w:rsid w:val="554B25EE"/>
    <w:rsid w:val="554BB85F"/>
    <w:rsid w:val="554EF059"/>
    <w:rsid w:val="5555762A"/>
    <w:rsid w:val="55610125"/>
    <w:rsid w:val="5568DFEC"/>
    <w:rsid w:val="55795404"/>
    <w:rsid w:val="557D74C2"/>
    <w:rsid w:val="559E0E0D"/>
    <w:rsid w:val="559E9A61"/>
    <w:rsid w:val="55A1904C"/>
    <w:rsid w:val="55AC8109"/>
    <w:rsid w:val="55AFE2FA"/>
    <w:rsid w:val="55BC266E"/>
    <w:rsid w:val="55C2989B"/>
    <w:rsid w:val="55C570DE"/>
    <w:rsid w:val="55CBF883"/>
    <w:rsid w:val="55E1805F"/>
    <w:rsid w:val="55FA8234"/>
    <w:rsid w:val="55FE538F"/>
    <w:rsid w:val="561C0BEC"/>
    <w:rsid w:val="5622659A"/>
    <w:rsid w:val="5629B27F"/>
    <w:rsid w:val="5633C8AA"/>
    <w:rsid w:val="56564E67"/>
    <w:rsid w:val="5656C593"/>
    <w:rsid w:val="56751A06"/>
    <w:rsid w:val="567F42B1"/>
    <w:rsid w:val="5682A3DE"/>
    <w:rsid w:val="56866218"/>
    <w:rsid w:val="568CAC78"/>
    <w:rsid w:val="56ADC0F7"/>
    <w:rsid w:val="56C86FAD"/>
    <w:rsid w:val="56CD47E7"/>
    <w:rsid w:val="56D067EF"/>
    <w:rsid w:val="56E2E7E7"/>
    <w:rsid w:val="56E9E720"/>
    <w:rsid w:val="56EABAC6"/>
    <w:rsid w:val="56F6DBD4"/>
    <w:rsid w:val="56F78536"/>
    <w:rsid w:val="56FCADBC"/>
    <w:rsid w:val="56FE9109"/>
    <w:rsid w:val="57182545"/>
    <w:rsid w:val="572533F5"/>
    <w:rsid w:val="572DAFFF"/>
    <w:rsid w:val="57444FDB"/>
    <w:rsid w:val="57479CF4"/>
    <w:rsid w:val="575C9129"/>
    <w:rsid w:val="579BBECE"/>
    <w:rsid w:val="57BE8142"/>
    <w:rsid w:val="57C5B345"/>
    <w:rsid w:val="57DF3DAA"/>
    <w:rsid w:val="57FCD7D0"/>
    <w:rsid w:val="57FE1A1B"/>
    <w:rsid w:val="58074C96"/>
    <w:rsid w:val="58184743"/>
    <w:rsid w:val="582E8107"/>
    <w:rsid w:val="5853469A"/>
    <w:rsid w:val="58594883"/>
    <w:rsid w:val="5859C9B4"/>
    <w:rsid w:val="585E09F1"/>
    <w:rsid w:val="586224C3"/>
    <w:rsid w:val="586C9BA9"/>
    <w:rsid w:val="58835B5A"/>
    <w:rsid w:val="58FD863A"/>
    <w:rsid w:val="59015F1C"/>
    <w:rsid w:val="5911615C"/>
    <w:rsid w:val="592BE770"/>
    <w:rsid w:val="5934AE3A"/>
    <w:rsid w:val="596699DE"/>
    <w:rsid w:val="596DC639"/>
    <w:rsid w:val="5972BBED"/>
    <w:rsid w:val="597BE386"/>
    <w:rsid w:val="59AE233E"/>
    <w:rsid w:val="59B40F07"/>
    <w:rsid w:val="59C77844"/>
    <w:rsid w:val="59CAEF6C"/>
    <w:rsid w:val="59CCCC2F"/>
    <w:rsid w:val="59D1FAD0"/>
    <w:rsid w:val="59D3050C"/>
    <w:rsid w:val="59EC2363"/>
    <w:rsid w:val="5A083050"/>
    <w:rsid w:val="5A1484B0"/>
    <w:rsid w:val="5A14A57F"/>
    <w:rsid w:val="5A23C356"/>
    <w:rsid w:val="5A2C9FDB"/>
    <w:rsid w:val="5A3B3B3C"/>
    <w:rsid w:val="5A3D0807"/>
    <w:rsid w:val="5A44841C"/>
    <w:rsid w:val="5A50F55E"/>
    <w:rsid w:val="5A63D3CF"/>
    <w:rsid w:val="5A989194"/>
    <w:rsid w:val="5A99569B"/>
    <w:rsid w:val="5A9A4E2B"/>
    <w:rsid w:val="5A9DA19D"/>
    <w:rsid w:val="5AA45E49"/>
    <w:rsid w:val="5AADDD6F"/>
    <w:rsid w:val="5AB44AC4"/>
    <w:rsid w:val="5AC3C89D"/>
    <w:rsid w:val="5AD9C654"/>
    <w:rsid w:val="5ADDC0C3"/>
    <w:rsid w:val="5AF2BF26"/>
    <w:rsid w:val="5B2E0293"/>
    <w:rsid w:val="5B2E1666"/>
    <w:rsid w:val="5B399CAB"/>
    <w:rsid w:val="5B4C2CA7"/>
    <w:rsid w:val="5B657D31"/>
    <w:rsid w:val="5B6BF0EB"/>
    <w:rsid w:val="5B7F1A5B"/>
    <w:rsid w:val="5B7F40E7"/>
    <w:rsid w:val="5B9A593F"/>
    <w:rsid w:val="5BA0ED34"/>
    <w:rsid w:val="5BA2842E"/>
    <w:rsid w:val="5BC93B7A"/>
    <w:rsid w:val="5BD66CA4"/>
    <w:rsid w:val="5BD6D7B6"/>
    <w:rsid w:val="5BE6B05B"/>
    <w:rsid w:val="5BF5C591"/>
    <w:rsid w:val="5C1EC08F"/>
    <w:rsid w:val="5C1F49A6"/>
    <w:rsid w:val="5C2252F2"/>
    <w:rsid w:val="5C28472F"/>
    <w:rsid w:val="5C4F657D"/>
    <w:rsid w:val="5C5AA82D"/>
    <w:rsid w:val="5C613991"/>
    <w:rsid w:val="5C6A6133"/>
    <w:rsid w:val="5C7C95D0"/>
    <w:rsid w:val="5C973D05"/>
    <w:rsid w:val="5C9865B4"/>
    <w:rsid w:val="5C9ED0A7"/>
    <w:rsid w:val="5CB1C8A3"/>
    <w:rsid w:val="5CB348E6"/>
    <w:rsid w:val="5CC858B8"/>
    <w:rsid w:val="5CCBF270"/>
    <w:rsid w:val="5CE534E9"/>
    <w:rsid w:val="5D091C54"/>
    <w:rsid w:val="5D0EC71F"/>
    <w:rsid w:val="5D30F519"/>
    <w:rsid w:val="5D33C4CE"/>
    <w:rsid w:val="5D35B22C"/>
    <w:rsid w:val="5D41DAED"/>
    <w:rsid w:val="5D673968"/>
    <w:rsid w:val="5D6F7C4B"/>
    <w:rsid w:val="5D903871"/>
    <w:rsid w:val="5D9CA901"/>
    <w:rsid w:val="5D9E023D"/>
    <w:rsid w:val="5DA80312"/>
    <w:rsid w:val="5DA9F269"/>
    <w:rsid w:val="5DC0049A"/>
    <w:rsid w:val="5DC277D0"/>
    <w:rsid w:val="5DC5F311"/>
    <w:rsid w:val="5DD219AD"/>
    <w:rsid w:val="5DE35905"/>
    <w:rsid w:val="5DF62E27"/>
    <w:rsid w:val="5E343615"/>
    <w:rsid w:val="5E4227B9"/>
    <w:rsid w:val="5E532824"/>
    <w:rsid w:val="5E55F4FB"/>
    <w:rsid w:val="5E639C11"/>
    <w:rsid w:val="5E6C3E16"/>
    <w:rsid w:val="5E704170"/>
    <w:rsid w:val="5E756AEB"/>
    <w:rsid w:val="5E779AFC"/>
    <w:rsid w:val="5E8C9D82"/>
    <w:rsid w:val="5E937C9F"/>
    <w:rsid w:val="5EA7BC1B"/>
    <w:rsid w:val="5EA876F7"/>
    <w:rsid w:val="5EC2FB45"/>
    <w:rsid w:val="5ED06AE6"/>
    <w:rsid w:val="5EDF6231"/>
    <w:rsid w:val="5EF2539F"/>
    <w:rsid w:val="5EF2570F"/>
    <w:rsid w:val="5EF6638E"/>
    <w:rsid w:val="5EF7087A"/>
    <w:rsid w:val="5EF726B5"/>
    <w:rsid w:val="5EFBB73F"/>
    <w:rsid w:val="5F19014D"/>
    <w:rsid w:val="5F19D72B"/>
    <w:rsid w:val="5F5E752D"/>
    <w:rsid w:val="5F639618"/>
    <w:rsid w:val="5F662CDF"/>
    <w:rsid w:val="5F734078"/>
    <w:rsid w:val="5F7B7BF8"/>
    <w:rsid w:val="5F7E3566"/>
    <w:rsid w:val="5F7F9EE0"/>
    <w:rsid w:val="5F8CB040"/>
    <w:rsid w:val="5F9A72A5"/>
    <w:rsid w:val="5F9DB0FC"/>
    <w:rsid w:val="5FB0DB6B"/>
    <w:rsid w:val="5FCF99AD"/>
    <w:rsid w:val="5FD02408"/>
    <w:rsid w:val="5FE8783B"/>
    <w:rsid w:val="5FF347EA"/>
    <w:rsid w:val="5FF650EB"/>
    <w:rsid w:val="5FFE2269"/>
    <w:rsid w:val="6018E39C"/>
    <w:rsid w:val="602E3D78"/>
    <w:rsid w:val="6030146D"/>
    <w:rsid w:val="6033C0E6"/>
    <w:rsid w:val="60354224"/>
    <w:rsid w:val="603B7ACB"/>
    <w:rsid w:val="603E8917"/>
    <w:rsid w:val="604EE567"/>
    <w:rsid w:val="60505F7F"/>
    <w:rsid w:val="605885D5"/>
    <w:rsid w:val="605B7CED"/>
    <w:rsid w:val="6069CD64"/>
    <w:rsid w:val="60817EBD"/>
    <w:rsid w:val="60826DA4"/>
    <w:rsid w:val="60955C6A"/>
    <w:rsid w:val="6097AB30"/>
    <w:rsid w:val="60A60072"/>
    <w:rsid w:val="60D10182"/>
    <w:rsid w:val="60D17F90"/>
    <w:rsid w:val="60E35649"/>
    <w:rsid w:val="60EB6361"/>
    <w:rsid w:val="6102D6A3"/>
    <w:rsid w:val="610DCF65"/>
    <w:rsid w:val="610E461B"/>
    <w:rsid w:val="612239FE"/>
    <w:rsid w:val="61316F63"/>
    <w:rsid w:val="613DECFF"/>
    <w:rsid w:val="6143FAD9"/>
    <w:rsid w:val="6149F554"/>
    <w:rsid w:val="614A734E"/>
    <w:rsid w:val="6154F057"/>
    <w:rsid w:val="6157F9D6"/>
    <w:rsid w:val="6168F123"/>
    <w:rsid w:val="616B34C7"/>
    <w:rsid w:val="6189577E"/>
    <w:rsid w:val="618C54C9"/>
    <w:rsid w:val="6193AFF5"/>
    <w:rsid w:val="6196FDD3"/>
    <w:rsid w:val="619CD603"/>
    <w:rsid w:val="61A1DAF3"/>
    <w:rsid w:val="61A1F471"/>
    <w:rsid w:val="61AAEAAF"/>
    <w:rsid w:val="61AFE961"/>
    <w:rsid w:val="61C88C82"/>
    <w:rsid w:val="61C98833"/>
    <w:rsid w:val="61D18A2E"/>
    <w:rsid w:val="61D7218B"/>
    <w:rsid w:val="61DD8B92"/>
    <w:rsid w:val="61E14E8D"/>
    <w:rsid w:val="61E92B7C"/>
    <w:rsid w:val="61F0A6C0"/>
    <w:rsid w:val="61FCA876"/>
    <w:rsid w:val="6207F513"/>
    <w:rsid w:val="62169993"/>
    <w:rsid w:val="621750E8"/>
    <w:rsid w:val="621AC285"/>
    <w:rsid w:val="621D7A1A"/>
    <w:rsid w:val="622977B0"/>
    <w:rsid w:val="622CE208"/>
    <w:rsid w:val="6234BD60"/>
    <w:rsid w:val="6238ED1A"/>
    <w:rsid w:val="62666C7C"/>
    <w:rsid w:val="6272897B"/>
    <w:rsid w:val="62743938"/>
    <w:rsid w:val="627620CC"/>
    <w:rsid w:val="627BBE2E"/>
    <w:rsid w:val="62874120"/>
    <w:rsid w:val="62C0251B"/>
    <w:rsid w:val="62E526D7"/>
    <w:rsid w:val="62E708EC"/>
    <w:rsid w:val="62EBAB81"/>
    <w:rsid w:val="62FD4357"/>
    <w:rsid w:val="62FD8AAB"/>
    <w:rsid w:val="63019DE6"/>
    <w:rsid w:val="631B7B8F"/>
    <w:rsid w:val="633301F5"/>
    <w:rsid w:val="6342A417"/>
    <w:rsid w:val="634B3A64"/>
    <w:rsid w:val="634BE5D3"/>
    <w:rsid w:val="636B3D1E"/>
    <w:rsid w:val="6379DC5A"/>
    <w:rsid w:val="63857A1D"/>
    <w:rsid w:val="6388AA2F"/>
    <w:rsid w:val="638DB018"/>
    <w:rsid w:val="638E994D"/>
    <w:rsid w:val="63960AA8"/>
    <w:rsid w:val="63964AD1"/>
    <w:rsid w:val="6396EA64"/>
    <w:rsid w:val="63A3B757"/>
    <w:rsid w:val="63E55823"/>
    <w:rsid w:val="63F7BBB9"/>
    <w:rsid w:val="63FAB1D7"/>
    <w:rsid w:val="6406391E"/>
    <w:rsid w:val="642C76E0"/>
    <w:rsid w:val="6437C0FF"/>
    <w:rsid w:val="643C1924"/>
    <w:rsid w:val="644073CF"/>
    <w:rsid w:val="644D54EA"/>
    <w:rsid w:val="64688FFF"/>
    <w:rsid w:val="646E5A50"/>
    <w:rsid w:val="647B000B"/>
    <w:rsid w:val="648D7076"/>
    <w:rsid w:val="64AD9BE9"/>
    <w:rsid w:val="64BE1D92"/>
    <w:rsid w:val="64C56B3E"/>
    <w:rsid w:val="64C92921"/>
    <w:rsid w:val="64D3B8D6"/>
    <w:rsid w:val="64EC1934"/>
    <w:rsid w:val="64EFD169"/>
    <w:rsid w:val="64FD1140"/>
    <w:rsid w:val="65222985"/>
    <w:rsid w:val="6527A757"/>
    <w:rsid w:val="6529B2CC"/>
    <w:rsid w:val="65336F3A"/>
    <w:rsid w:val="653B5833"/>
    <w:rsid w:val="65671890"/>
    <w:rsid w:val="656B1384"/>
    <w:rsid w:val="6572AF71"/>
    <w:rsid w:val="6573CB81"/>
    <w:rsid w:val="657C2613"/>
    <w:rsid w:val="658128BC"/>
    <w:rsid w:val="658C1B40"/>
    <w:rsid w:val="6592EECD"/>
    <w:rsid w:val="6598463F"/>
    <w:rsid w:val="659FD987"/>
    <w:rsid w:val="65AC127B"/>
    <w:rsid w:val="65ACE944"/>
    <w:rsid w:val="65C72638"/>
    <w:rsid w:val="65CD6BCF"/>
    <w:rsid w:val="65D8F92A"/>
    <w:rsid w:val="65E70489"/>
    <w:rsid w:val="65EB98C4"/>
    <w:rsid w:val="660C71A9"/>
    <w:rsid w:val="662A36E6"/>
    <w:rsid w:val="662B0578"/>
    <w:rsid w:val="662BABCB"/>
    <w:rsid w:val="662CF331"/>
    <w:rsid w:val="6630BBFD"/>
    <w:rsid w:val="6637E3C8"/>
    <w:rsid w:val="664D5CC8"/>
    <w:rsid w:val="664DCF8C"/>
    <w:rsid w:val="6672C6A9"/>
    <w:rsid w:val="66908426"/>
    <w:rsid w:val="66917D53"/>
    <w:rsid w:val="669F5F2E"/>
    <w:rsid w:val="66A7E45C"/>
    <w:rsid w:val="66B9D50B"/>
    <w:rsid w:val="66BF34FD"/>
    <w:rsid w:val="66C03CF8"/>
    <w:rsid w:val="66C047D3"/>
    <w:rsid w:val="66E7B228"/>
    <w:rsid w:val="66E8CC46"/>
    <w:rsid w:val="66EDECA2"/>
    <w:rsid w:val="66F47EE7"/>
    <w:rsid w:val="6708CBC9"/>
    <w:rsid w:val="671A2AAA"/>
    <w:rsid w:val="671D4BE1"/>
    <w:rsid w:val="672990AE"/>
    <w:rsid w:val="6746F369"/>
    <w:rsid w:val="676A61AF"/>
    <w:rsid w:val="677E081E"/>
    <w:rsid w:val="6787B76C"/>
    <w:rsid w:val="67A53BB5"/>
    <w:rsid w:val="67B6D6EF"/>
    <w:rsid w:val="67CE1CC9"/>
    <w:rsid w:val="67D5A094"/>
    <w:rsid w:val="67FE5993"/>
    <w:rsid w:val="681504D1"/>
    <w:rsid w:val="681F297B"/>
    <w:rsid w:val="683544B1"/>
    <w:rsid w:val="683784E8"/>
    <w:rsid w:val="68391F01"/>
    <w:rsid w:val="6843FFC1"/>
    <w:rsid w:val="684F82A8"/>
    <w:rsid w:val="685A51B0"/>
    <w:rsid w:val="68678DAC"/>
    <w:rsid w:val="686CDA1B"/>
    <w:rsid w:val="68940C68"/>
    <w:rsid w:val="68ABA7C0"/>
    <w:rsid w:val="68D7345F"/>
    <w:rsid w:val="68F838E8"/>
    <w:rsid w:val="69008985"/>
    <w:rsid w:val="690EFEAC"/>
    <w:rsid w:val="6914B818"/>
    <w:rsid w:val="69287F36"/>
    <w:rsid w:val="696E810C"/>
    <w:rsid w:val="6972651A"/>
    <w:rsid w:val="69908E6F"/>
    <w:rsid w:val="69952D1B"/>
    <w:rsid w:val="699C9A44"/>
    <w:rsid w:val="699DAAF7"/>
    <w:rsid w:val="69A7D08D"/>
    <w:rsid w:val="69AD7B98"/>
    <w:rsid w:val="69BB291C"/>
    <w:rsid w:val="69C0056B"/>
    <w:rsid w:val="69DA1FFB"/>
    <w:rsid w:val="69F59AA8"/>
    <w:rsid w:val="6A0EED8A"/>
    <w:rsid w:val="6A1D4D3D"/>
    <w:rsid w:val="6A20E4A8"/>
    <w:rsid w:val="6A39E6D6"/>
    <w:rsid w:val="6A5C8C00"/>
    <w:rsid w:val="6A5E521D"/>
    <w:rsid w:val="6A657BA3"/>
    <w:rsid w:val="6A70D182"/>
    <w:rsid w:val="6A77D405"/>
    <w:rsid w:val="6A78EE6D"/>
    <w:rsid w:val="6A7EDA80"/>
    <w:rsid w:val="6A8381CA"/>
    <w:rsid w:val="6AA022F7"/>
    <w:rsid w:val="6AAD0AB0"/>
    <w:rsid w:val="6AB541D2"/>
    <w:rsid w:val="6ABC5092"/>
    <w:rsid w:val="6ABCFA02"/>
    <w:rsid w:val="6AC60EAC"/>
    <w:rsid w:val="6AFC60D4"/>
    <w:rsid w:val="6B11D2F6"/>
    <w:rsid w:val="6B1C2436"/>
    <w:rsid w:val="6B1F4248"/>
    <w:rsid w:val="6B23459E"/>
    <w:rsid w:val="6B41259A"/>
    <w:rsid w:val="6B436C32"/>
    <w:rsid w:val="6B4D3765"/>
    <w:rsid w:val="6B591A6F"/>
    <w:rsid w:val="6B64EDD4"/>
    <w:rsid w:val="6B741298"/>
    <w:rsid w:val="6B792F8A"/>
    <w:rsid w:val="6B88785B"/>
    <w:rsid w:val="6B992EE9"/>
    <w:rsid w:val="6BB0EC7C"/>
    <w:rsid w:val="6BB7C288"/>
    <w:rsid w:val="6BC172E9"/>
    <w:rsid w:val="6BDD79A2"/>
    <w:rsid w:val="6BDDF6F9"/>
    <w:rsid w:val="6BF0FF2B"/>
    <w:rsid w:val="6BF3B319"/>
    <w:rsid w:val="6BF52239"/>
    <w:rsid w:val="6C11E757"/>
    <w:rsid w:val="6C23CFD8"/>
    <w:rsid w:val="6C259916"/>
    <w:rsid w:val="6C298431"/>
    <w:rsid w:val="6C29CA69"/>
    <w:rsid w:val="6C41E593"/>
    <w:rsid w:val="6C4EAFD4"/>
    <w:rsid w:val="6C4FEB6F"/>
    <w:rsid w:val="6C5F2434"/>
    <w:rsid w:val="6C648694"/>
    <w:rsid w:val="6C64F258"/>
    <w:rsid w:val="6C6C64AA"/>
    <w:rsid w:val="6C829616"/>
    <w:rsid w:val="6C8D72D8"/>
    <w:rsid w:val="6C9F38F7"/>
    <w:rsid w:val="6CA7EA03"/>
    <w:rsid w:val="6CA87280"/>
    <w:rsid w:val="6CCEF9B5"/>
    <w:rsid w:val="6CD20591"/>
    <w:rsid w:val="6CE14B8F"/>
    <w:rsid w:val="6CE82C2B"/>
    <w:rsid w:val="6CF64DE4"/>
    <w:rsid w:val="6CF84759"/>
    <w:rsid w:val="6CFF663D"/>
    <w:rsid w:val="6D118217"/>
    <w:rsid w:val="6D15A0FC"/>
    <w:rsid w:val="6D1700E9"/>
    <w:rsid w:val="6D18B0D6"/>
    <w:rsid w:val="6D3067B9"/>
    <w:rsid w:val="6D464309"/>
    <w:rsid w:val="6D50A4AD"/>
    <w:rsid w:val="6D53E2CD"/>
    <w:rsid w:val="6D6A6F3D"/>
    <w:rsid w:val="6D7DB351"/>
    <w:rsid w:val="6D931D9F"/>
    <w:rsid w:val="6DAB2279"/>
    <w:rsid w:val="6DB05BAD"/>
    <w:rsid w:val="6DB3AAA1"/>
    <w:rsid w:val="6DBC69B7"/>
    <w:rsid w:val="6DEEADAD"/>
    <w:rsid w:val="6DFB72E3"/>
    <w:rsid w:val="6E0C9F76"/>
    <w:rsid w:val="6E1745D4"/>
    <w:rsid w:val="6E2B8C1B"/>
    <w:rsid w:val="6E3ADEDC"/>
    <w:rsid w:val="6E414B9D"/>
    <w:rsid w:val="6E5A4C44"/>
    <w:rsid w:val="6E65610B"/>
    <w:rsid w:val="6E746E32"/>
    <w:rsid w:val="6E7F2CC7"/>
    <w:rsid w:val="6E8039BE"/>
    <w:rsid w:val="6E805D6D"/>
    <w:rsid w:val="6EB2E8BB"/>
    <w:rsid w:val="6ECC580C"/>
    <w:rsid w:val="6EE5428A"/>
    <w:rsid w:val="6EEC93A4"/>
    <w:rsid w:val="6EEE9B53"/>
    <w:rsid w:val="6F216D9C"/>
    <w:rsid w:val="6F27A624"/>
    <w:rsid w:val="6F336B46"/>
    <w:rsid w:val="6F51991B"/>
    <w:rsid w:val="6F5CBC58"/>
    <w:rsid w:val="6F6DE277"/>
    <w:rsid w:val="6F968EEB"/>
    <w:rsid w:val="6FA3FE39"/>
    <w:rsid w:val="6FBE6E7C"/>
    <w:rsid w:val="6FC22E3F"/>
    <w:rsid w:val="6FCD444B"/>
    <w:rsid w:val="6FE75930"/>
    <w:rsid w:val="70010D72"/>
    <w:rsid w:val="702FEA3F"/>
    <w:rsid w:val="703175C3"/>
    <w:rsid w:val="7034196A"/>
    <w:rsid w:val="70385E78"/>
    <w:rsid w:val="7046A717"/>
    <w:rsid w:val="7048C401"/>
    <w:rsid w:val="704AD254"/>
    <w:rsid w:val="704B8E25"/>
    <w:rsid w:val="70651FE9"/>
    <w:rsid w:val="706E04C9"/>
    <w:rsid w:val="70870946"/>
    <w:rsid w:val="709C43A5"/>
    <w:rsid w:val="70AF17B6"/>
    <w:rsid w:val="70C66671"/>
    <w:rsid w:val="70CB6950"/>
    <w:rsid w:val="70D2B307"/>
    <w:rsid w:val="70FB4DB3"/>
    <w:rsid w:val="71014F77"/>
    <w:rsid w:val="710E5DD8"/>
    <w:rsid w:val="7127BDBE"/>
    <w:rsid w:val="713D8640"/>
    <w:rsid w:val="714E01DF"/>
    <w:rsid w:val="7153A440"/>
    <w:rsid w:val="7155D486"/>
    <w:rsid w:val="715704F1"/>
    <w:rsid w:val="71611A19"/>
    <w:rsid w:val="71630769"/>
    <w:rsid w:val="71901D9A"/>
    <w:rsid w:val="719114E2"/>
    <w:rsid w:val="719DDAA4"/>
    <w:rsid w:val="71A3CBAE"/>
    <w:rsid w:val="71A502DB"/>
    <w:rsid w:val="71BA47E1"/>
    <w:rsid w:val="71BFA8FB"/>
    <w:rsid w:val="71C3E467"/>
    <w:rsid w:val="71C4F3A4"/>
    <w:rsid w:val="71CB6A83"/>
    <w:rsid w:val="71E66FD3"/>
    <w:rsid w:val="71EB7205"/>
    <w:rsid w:val="71EDBABB"/>
    <w:rsid w:val="71FB634C"/>
    <w:rsid w:val="720EE3E7"/>
    <w:rsid w:val="721546C5"/>
    <w:rsid w:val="72186B45"/>
    <w:rsid w:val="721CF323"/>
    <w:rsid w:val="7223451B"/>
    <w:rsid w:val="72337C8C"/>
    <w:rsid w:val="7234D693"/>
    <w:rsid w:val="7242BE5F"/>
    <w:rsid w:val="7255628C"/>
    <w:rsid w:val="725B0C74"/>
    <w:rsid w:val="7260E0BD"/>
    <w:rsid w:val="72762AE5"/>
    <w:rsid w:val="72953873"/>
    <w:rsid w:val="729AF8AB"/>
    <w:rsid w:val="72C0BE03"/>
    <w:rsid w:val="72C31114"/>
    <w:rsid w:val="72CA4D8F"/>
    <w:rsid w:val="72D178C1"/>
    <w:rsid w:val="72DBFB91"/>
    <w:rsid w:val="72E22659"/>
    <w:rsid w:val="72F5AA97"/>
    <w:rsid w:val="72F6EBFC"/>
    <w:rsid w:val="731D2723"/>
    <w:rsid w:val="731FBCBA"/>
    <w:rsid w:val="73397727"/>
    <w:rsid w:val="73510F68"/>
    <w:rsid w:val="73524B03"/>
    <w:rsid w:val="735A6330"/>
    <w:rsid w:val="7380D999"/>
    <w:rsid w:val="73882418"/>
    <w:rsid w:val="738BF0BE"/>
    <w:rsid w:val="73A2F41F"/>
    <w:rsid w:val="73A68024"/>
    <w:rsid w:val="73A88477"/>
    <w:rsid w:val="73B5472B"/>
    <w:rsid w:val="73C2BB75"/>
    <w:rsid w:val="73E409D9"/>
    <w:rsid w:val="7405BFAA"/>
    <w:rsid w:val="740977B2"/>
    <w:rsid w:val="7414BD4C"/>
    <w:rsid w:val="7425E8CB"/>
    <w:rsid w:val="74309C6B"/>
    <w:rsid w:val="743C5BEB"/>
    <w:rsid w:val="744FE001"/>
    <w:rsid w:val="7453E549"/>
    <w:rsid w:val="7463A5AF"/>
    <w:rsid w:val="746DA8CE"/>
    <w:rsid w:val="746E9381"/>
    <w:rsid w:val="74765A8E"/>
    <w:rsid w:val="74861F07"/>
    <w:rsid w:val="74872466"/>
    <w:rsid w:val="7491C625"/>
    <w:rsid w:val="749E31B7"/>
    <w:rsid w:val="74A3946C"/>
    <w:rsid w:val="74B06F69"/>
    <w:rsid w:val="74B601AD"/>
    <w:rsid w:val="74BACA53"/>
    <w:rsid w:val="74C8F7C5"/>
    <w:rsid w:val="74D4F10D"/>
    <w:rsid w:val="74D58553"/>
    <w:rsid w:val="751E95EA"/>
    <w:rsid w:val="754175EC"/>
    <w:rsid w:val="754251F1"/>
    <w:rsid w:val="75519BC0"/>
    <w:rsid w:val="7567EE0C"/>
    <w:rsid w:val="756DA038"/>
    <w:rsid w:val="7576A0BF"/>
    <w:rsid w:val="75938C11"/>
    <w:rsid w:val="75A3B78A"/>
    <w:rsid w:val="75AB1A6C"/>
    <w:rsid w:val="75AEFA56"/>
    <w:rsid w:val="75EA03A3"/>
    <w:rsid w:val="75F116F7"/>
    <w:rsid w:val="75F473A0"/>
    <w:rsid w:val="75F9182C"/>
    <w:rsid w:val="7608F593"/>
    <w:rsid w:val="760FCE8B"/>
    <w:rsid w:val="761AFB2A"/>
    <w:rsid w:val="76247786"/>
    <w:rsid w:val="76292C13"/>
    <w:rsid w:val="762A7614"/>
    <w:rsid w:val="764C094F"/>
    <w:rsid w:val="764C3FCA"/>
    <w:rsid w:val="7652C278"/>
    <w:rsid w:val="76549FFC"/>
    <w:rsid w:val="765B2847"/>
    <w:rsid w:val="76624464"/>
    <w:rsid w:val="766B0EB1"/>
    <w:rsid w:val="766E5417"/>
    <w:rsid w:val="768AA05C"/>
    <w:rsid w:val="769CF01B"/>
    <w:rsid w:val="76A2B4FB"/>
    <w:rsid w:val="76DE6179"/>
    <w:rsid w:val="76EF177B"/>
    <w:rsid w:val="772651E8"/>
    <w:rsid w:val="772C690E"/>
    <w:rsid w:val="773A5683"/>
    <w:rsid w:val="7751AAF6"/>
    <w:rsid w:val="7755975B"/>
    <w:rsid w:val="777E634F"/>
    <w:rsid w:val="7789DB8E"/>
    <w:rsid w:val="778AE69F"/>
    <w:rsid w:val="778EA345"/>
    <w:rsid w:val="77AA2CFB"/>
    <w:rsid w:val="77E225ED"/>
    <w:rsid w:val="77E26350"/>
    <w:rsid w:val="77EDA5E6"/>
    <w:rsid w:val="77F87313"/>
    <w:rsid w:val="77FFA07E"/>
    <w:rsid w:val="78022D2F"/>
    <w:rsid w:val="7804D10A"/>
    <w:rsid w:val="781E1C0F"/>
    <w:rsid w:val="78287963"/>
    <w:rsid w:val="784BF559"/>
    <w:rsid w:val="7851BD98"/>
    <w:rsid w:val="7857A7AA"/>
    <w:rsid w:val="785F8489"/>
    <w:rsid w:val="785FEE51"/>
    <w:rsid w:val="78657462"/>
    <w:rsid w:val="788E9BB8"/>
    <w:rsid w:val="78A0D32D"/>
    <w:rsid w:val="78B3B610"/>
    <w:rsid w:val="78BE3E9B"/>
    <w:rsid w:val="78C2C068"/>
    <w:rsid w:val="78C777D6"/>
    <w:rsid w:val="78C7B80B"/>
    <w:rsid w:val="78D828B5"/>
    <w:rsid w:val="78DC43E4"/>
    <w:rsid w:val="78F2527A"/>
    <w:rsid w:val="78FACC9C"/>
    <w:rsid w:val="78FB56BA"/>
    <w:rsid w:val="790ED6AA"/>
    <w:rsid w:val="79201EAE"/>
    <w:rsid w:val="794437B7"/>
    <w:rsid w:val="79532A41"/>
    <w:rsid w:val="7959E6DF"/>
    <w:rsid w:val="795AD4D3"/>
    <w:rsid w:val="79642122"/>
    <w:rsid w:val="7985E085"/>
    <w:rsid w:val="798ADBDB"/>
    <w:rsid w:val="79B4168A"/>
    <w:rsid w:val="79B44654"/>
    <w:rsid w:val="79C66814"/>
    <w:rsid w:val="79D938A7"/>
    <w:rsid w:val="79E55E48"/>
    <w:rsid w:val="79EE3D0F"/>
    <w:rsid w:val="79F71970"/>
    <w:rsid w:val="79FA839B"/>
    <w:rsid w:val="7A211B17"/>
    <w:rsid w:val="7A3CAA33"/>
    <w:rsid w:val="7A47E905"/>
    <w:rsid w:val="7A509F65"/>
    <w:rsid w:val="7A5A6948"/>
    <w:rsid w:val="7A5F2424"/>
    <w:rsid w:val="7A88CD72"/>
    <w:rsid w:val="7A89419C"/>
    <w:rsid w:val="7AB5FD2F"/>
    <w:rsid w:val="7AC85AAA"/>
    <w:rsid w:val="7ADF1C8F"/>
    <w:rsid w:val="7AE507AF"/>
    <w:rsid w:val="7AE86D3D"/>
    <w:rsid w:val="7AE9CF15"/>
    <w:rsid w:val="7AEB2DD2"/>
    <w:rsid w:val="7AECA336"/>
    <w:rsid w:val="7AFFACCA"/>
    <w:rsid w:val="7B06C19F"/>
    <w:rsid w:val="7B0984D2"/>
    <w:rsid w:val="7B36C5CF"/>
    <w:rsid w:val="7B382BEE"/>
    <w:rsid w:val="7B5AB1BB"/>
    <w:rsid w:val="7B62B420"/>
    <w:rsid w:val="7B63FFA2"/>
    <w:rsid w:val="7B6AAC13"/>
    <w:rsid w:val="7B732AB9"/>
    <w:rsid w:val="7B810F81"/>
    <w:rsid w:val="7B9508A6"/>
    <w:rsid w:val="7BADF7CC"/>
    <w:rsid w:val="7BBE4ACA"/>
    <w:rsid w:val="7BDEBDF4"/>
    <w:rsid w:val="7BE5DEE6"/>
    <w:rsid w:val="7BEA102C"/>
    <w:rsid w:val="7BEA40C0"/>
    <w:rsid w:val="7C01F149"/>
    <w:rsid w:val="7C06A6FE"/>
    <w:rsid w:val="7C1F8630"/>
    <w:rsid w:val="7C5706CA"/>
    <w:rsid w:val="7C663D21"/>
    <w:rsid w:val="7CB4EF2A"/>
    <w:rsid w:val="7CC00FD7"/>
    <w:rsid w:val="7CC61B7A"/>
    <w:rsid w:val="7CC6681D"/>
    <w:rsid w:val="7CD5344A"/>
    <w:rsid w:val="7CF72DB5"/>
    <w:rsid w:val="7D0A301C"/>
    <w:rsid w:val="7D0D3594"/>
    <w:rsid w:val="7D1490E8"/>
    <w:rsid w:val="7D176A2F"/>
    <w:rsid w:val="7D1CB0E1"/>
    <w:rsid w:val="7D2AA14B"/>
    <w:rsid w:val="7D2D3835"/>
    <w:rsid w:val="7D38366E"/>
    <w:rsid w:val="7D5352F1"/>
    <w:rsid w:val="7D5C51C8"/>
    <w:rsid w:val="7D7278AA"/>
    <w:rsid w:val="7D8190B2"/>
    <w:rsid w:val="7D885117"/>
    <w:rsid w:val="7D9213AE"/>
    <w:rsid w:val="7DA9CDAC"/>
    <w:rsid w:val="7DDA3FEF"/>
    <w:rsid w:val="7E33E7D3"/>
    <w:rsid w:val="7E3554EF"/>
    <w:rsid w:val="7E3CFBE2"/>
    <w:rsid w:val="7E447D96"/>
    <w:rsid w:val="7E4D8592"/>
    <w:rsid w:val="7E6C5FE4"/>
    <w:rsid w:val="7E7293AD"/>
    <w:rsid w:val="7E9E5785"/>
    <w:rsid w:val="7EB6D03C"/>
    <w:rsid w:val="7EB7152A"/>
    <w:rsid w:val="7EBF0E74"/>
    <w:rsid w:val="7EC0A041"/>
    <w:rsid w:val="7ED56FE3"/>
    <w:rsid w:val="7EDC882C"/>
    <w:rsid w:val="7EDE53E7"/>
    <w:rsid w:val="7EDF9705"/>
    <w:rsid w:val="7EDFC70D"/>
    <w:rsid w:val="7EEE4B08"/>
    <w:rsid w:val="7EFA5CEB"/>
    <w:rsid w:val="7F01E60F"/>
    <w:rsid w:val="7F0751B1"/>
    <w:rsid w:val="7F1415FF"/>
    <w:rsid w:val="7F32C17B"/>
    <w:rsid w:val="7F3CA3C5"/>
    <w:rsid w:val="7F424D71"/>
    <w:rsid w:val="7F4568F4"/>
    <w:rsid w:val="7F4960E1"/>
    <w:rsid w:val="7F4FFBEA"/>
    <w:rsid w:val="7F66A9A4"/>
    <w:rsid w:val="7F6A506C"/>
    <w:rsid w:val="7F6B3EE0"/>
    <w:rsid w:val="7F76F8C2"/>
    <w:rsid w:val="7F7EE03E"/>
    <w:rsid w:val="7FB036E0"/>
    <w:rsid w:val="7FB18D4B"/>
    <w:rsid w:val="7FB514F2"/>
    <w:rsid w:val="7FCBD9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FAC11"/>
  <w15:docId w15:val="{D682C932-8A5C-4ACC-8062-E52C0E1CD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2FE"/>
    <w:pPr>
      <w:spacing w:after="200" w:line="276" w:lineRule="auto"/>
    </w:pPr>
    <w:rPr>
      <w:sz w:val="22"/>
      <w:szCs w:val="22"/>
      <w:lang w:eastAsia="en-US"/>
    </w:rPr>
  </w:style>
  <w:style w:type="paragraph" w:styleId="Heading1">
    <w:name w:val="heading 1"/>
    <w:basedOn w:val="Normal"/>
    <w:next w:val="Normal"/>
    <w:link w:val="Heading1Char"/>
    <w:uiPriority w:val="9"/>
    <w:qFormat/>
    <w:rsid w:val="00957453"/>
    <w:pPr>
      <w:spacing w:after="0" w:line="240" w:lineRule="auto"/>
      <w:jc w:val="center"/>
      <w:outlineLvl w:val="0"/>
    </w:pPr>
    <w:rPr>
      <w:rFonts w:ascii="Verdana" w:hAnsi="Verdana"/>
      <w:b/>
      <w:sz w:val="20"/>
      <w:szCs w:val="20"/>
      <w:u w:val="single"/>
    </w:rPr>
  </w:style>
  <w:style w:type="paragraph" w:styleId="Heading2">
    <w:name w:val="heading 2"/>
    <w:basedOn w:val="Normal"/>
    <w:next w:val="Normal"/>
    <w:link w:val="Heading2Char"/>
    <w:uiPriority w:val="9"/>
    <w:unhideWhenUsed/>
    <w:qFormat/>
    <w:rsid w:val="00F40B3E"/>
    <w:pPr>
      <w:keepNext/>
      <w:spacing w:before="240" w:after="60"/>
      <w:jc w:val="center"/>
      <w:outlineLvl w:val="1"/>
    </w:pPr>
    <w:rPr>
      <w:rFonts w:ascii="Verdana" w:eastAsia="Times New Roman" w:hAnsi="Verdana"/>
      <w:b/>
      <w:bCs/>
      <w:iCs/>
      <w:sz w:val="20"/>
      <w:szCs w:val="20"/>
      <w:u w:val="single"/>
    </w:rPr>
  </w:style>
  <w:style w:type="paragraph" w:styleId="Heading3">
    <w:name w:val="heading 3"/>
    <w:basedOn w:val="Normal"/>
    <w:next w:val="Normal"/>
    <w:link w:val="Heading3Char"/>
    <w:uiPriority w:val="9"/>
    <w:unhideWhenUsed/>
    <w:qFormat/>
    <w:rsid w:val="00072F3A"/>
    <w:pPr>
      <w:spacing w:after="0" w:line="240" w:lineRule="auto"/>
      <w:jc w:val="both"/>
      <w:outlineLvl w:val="2"/>
    </w:pPr>
    <w:rPr>
      <w:rFonts w:ascii="Verdana" w:hAnsi="Verdana"/>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987D3A"/>
    <w:pPr>
      <w:ind w:left="720"/>
    </w:pPr>
  </w:style>
  <w:style w:type="paragraph" w:styleId="FootnoteText">
    <w:name w:val="footnote text"/>
    <w:basedOn w:val="Normal"/>
    <w:link w:val="FootnoteTextChar"/>
    <w:uiPriority w:val="99"/>
    <w:semiHidden/>
    <w:unhideWhenUsed/>
    <w:rsid w:val="00954734"/>
    <w:rPr>
      <w:sz w:val="20"/>
      <w:szCs w:val="20"/>
    </w:rPr>
  </w:style>
  <w:style w:type="character" w:customStyle="1" w:styleId="FootnoteTextChar">
    <w:name w:val="Footnote Text Char"/>
    <w:link w:val="FootnoteText"/>
    <w:uiPriority w:val="99"/>
    <w:semiHidden/>
    <w:rsid w:val="00954734"/>
    <w:rPr>
      <w:lang w:eastAsia="en-US"/>
    </w:rPr>
  </w:style>
  <w:style w:type="character" w:styleId="FootnoteReference">
    <w:name w:val="footnote reference"/>
    <w:uiPriority w:val="99"/>
    <w:unhideWhenUsed/>
    <w:rsid w:val="00954734"/>
    <w:rPr>
      <w:vertAlign w:val="superscript"/>
    </w:rPr>
  </w:style>
  <w:style w:type="character" w:styleId="Hyperlink">
    <w:name w:val="Hyperlink"/>
    <w:uiPriority w:val="99"/>
    <w:unhideWhenUsed/>
    <w:rsid w:val="002A4C49"/>
    <w:rPr>
      <w:color w:val="0000FF"/>
      <w:u w:val="single"/>
    </w:rPr>
  </w:style>
  <w:style w:type="character" w:styleId="CommentReference">
    <w:name w:val="annotation reference"/>
    <w:uiPriority w:val="99"/>
    <w:semiHidden/>
    <w:unhideWhenUsed/>
    <w:rsid w:val="00754FB1"/>
    <w:rPr>
      <w:sz w:val="16"/>
      <w:szCs w:val="16"/>
    </w:rPr>
  </w:style>
  <w:style w:type="paragraph" w:styleId="CommentText">
    <w:name w:val="annotation text"/>
    <w:basedOn w:val="Normal"/>
    <w:link w:val="CommentTextChar"/>
    <w:uiPriority w:val="99"/>
    <w:unhideWhenUsed/>
    <w:rsid w:val="00754FB1"/>
    <w:rPr>
      <w:sz w:val="20"/>
      <w:szCs w:val="20"/>
    </w:rPr>
  </w:style>
  <w:style w:type="character" w:customStyle="1" w:styleId="CommentTextChar">
    <w:name w:val="Comment Text Char"/>
    <w:link w:val="CommentText"/>
    <w:uiPriority w:val="99"/>
    <w:rsid w:val="00754FB1"/>
    <w:rPr>
      <w:lang w:eastAsia="en-US"/>
    </w:rPr>
  </w:style>
  <w:style w:type="paragraph" w:styleId="CommentSubject">
    <w:name w:val="annotation subject"/>
    <w:basedOn w:val="CommentText"/>
    <w:next w:val="CommentText"/>
    <w:link w:val="CommentSubjectChar"/>
    <w:uiPriority w:val="99"/>
    <w:semiHidden/>
    <w:unhideWhenUsed/>
    <w:rsid w:val="00754FB1"/>
    <w:rPr>
      <w:b/>
      <w:bCs/>
    </w:rPr>
  </w:style>
  <w:style w:type="character" w:customStyle="1" w:styleId="CommentSubjectChar">
    <w:name w:val="Comment Subject Char"/>
    <w:link w:val="CommentSubject"/>
    <w:uiPriority w:val="99"/>
    <w:semiHidden/>
    <w:rsid w:val="00754FB1"/>
    <w:rPr>
      <w:b/>
      <w:bCs/>
      <w:lang w:eastAsia="en-US"/>
    </w:rPr>
  </w:style>
  <w:style w:type="paragraph" w:styleId="BalloonText">
    <w:name w:val="Balloon Text"/>
    <w:basedOn w:val="Normal"/>
    <w:link w:val="BalloonTextChar"/>
    <w:uiPriority w:val="99"/>
    <w:semiHidden/>
    <w:unhideWhenUsed/>
    <w:rsid w:val="00754F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4FB1"/>
    <w:rPr>
      <w:rFonts w:ascii="Tahoma" w:hAnsi="Tahoma" w:cs="Tahoma"/>
      <w:sz w:val="16"/>
      <w:szCs w:val="16"/>
      <w:lang w:eastAsia="en-US"/>
    </w:rPr>
  </w:style>
  <w:style w:type="table" w:styleId="TableGrid">
    <w:name w:val="Table Grid"/>
    <w:basedOn w:val="TableNormal"/>
    <w:uiPriority w:val="59"/>
    <w:rsid w:val="00102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C31B1"/>
    <w:rPr>
      <w:color w:val="800080"/>
      <w:u w:val="single"/>
    </w:rPr>
  </w:style>
  <w:style w:type="paragraph" w:styleId="Header">
    <w:name w:val="header"/>
    <w:basedOn w:val="Normal"/>
    <w:link w:val="HeaderChar"/>
    <w:uiPriority w:val="99"/>
    <w:unhideWhenUsed/>
    <w:rsid w:val="00036419"/>
    <w:pPr>
      <w:tabs>
        <w:tab w:val="center" w:pos="4513"/>
        <w:tab w:val="right" w:pos="9026"/>
      </w:tabs>
    </w:pPr>
  </w:style>
  <w:style w:type="character" w:customStyle="1" w:styleId="HeaderChar">
    <w:name w:val="Header Char"/>
    <w:link w:val="Header"/>
    <w:uiPriority w:val="99"/>
    <w:rsid w:val="00036419"/>
    <w:rPr>
      <w:sz w:val="22"/>
      <w:szCs w:val="22"/>
      <w:lang w:eastAsia="en-US"/>
    </w:rPr>
  </w:style>
  <w:style w:type="paragraph" w:styleId="Footer">
    <w:name w:val="footer"/>
    <w:basedOn w:val="Normal"/>
    <w:link w:val="FooterChar"/>
    <w:uiPriority w:val="99"/>
    <w:unhideWhenUsed/>
    <w:rsid w:val="00036419"/>
    <w:pPr>
      <w:tabs>
        <w:tab w:val="center" w:pos="4513"/>
        <w:tab w:val="right" w:pos="9026"/>
      </w:tabs>
    </w:pPr>
  </w:style>
  <w:style w:type="character" w:customStyle="1" w:styleId="FooterChar">
    <w:name w:val="Footer Char"/>
    <w:link w:val="Footer"/>
    <w:uiPriority w:val="99"/>
    <w:rsid w:val="00036419"/>
    <w:rPr>
      <w:sz w:val="22"/>
      <w:szCs w:val="22"/>
      <w:lang w:eastAsia="en-US"/>
    </w:rPr>
  </w:style>
  <w:style w:type="character" w:customStyle="1" w:styleId="Heading2Char">
    <w:name w:val="Heading 2 Char"/>
    <w:link w:val="Heading2"/>
    <w:uiPriority w:val="9"/>
    <w:rsid w:val="00F40B3E"/>
    <w:rPr>
      <w:rFonts w:ascii="Verdana" w:eastAsia="Times New Roman" w:hAnsi="Verdana" w:cs="Times New Roman"/>
      <w:b/>
      <w:bCs/>
      <w:iCs/>
      <w:u w:val="single"/>
      <w:lang w:eastAsia="en-US"/>
    </w:rPr>
  </w:style>
  <w:style w:type="character" w:customStyle="1" w:styleId="Heading3Char">
    <w:name w:val="Heading 3 Char"/>
    <w:link w:val="Heading3"/>
    <w:uiPriority w:val="9"/>
    <w:rsid w:val="00072F3A"/>
    <w:rPr>
      <w:rFonts w:ascii="Verdana" w:hAnsi="Verdana"/>
      <w:b/>
      <w:u w:val="single"/>
      <w:lang w:eastAsia="en-US"/>
    </w:rPr>
  </w:style>
  <w:style w:type="paragraph" w:styleId="TOC2">
    <w:name w:val="toc 2"/>
    <w:basedOn w:val="Normal"/>
    <w:next w:val="Normal"/>
    <w:autoRedefine/>
    <w:uiPriority w:val="39"/>
    <w:unhideWhenUsed/>
    <w:rsid w:val="00691BB3"/>
    <w:pPr>
      <w:tabs>
        <w:tab w:val="left" w:pos="0"/>
        <w:tab w:val="right" w:leader="dot" w:pos="9016"/>
      </w:tabs>
      <w:ind w:left="284"/>
    </w:pPr>
    <w:rPr>
      <w:rFonts w:ascii="Arial" w:hAnsi="Arial" w:cs="Arial"/>
      <w:b/>
      <w:noProof/>
      <w:sz w:val="24"/>
      <w:szCs w:val="24"/>
    </w:rPr>
  </w:style>
  <w:style w:type="paragraph" w:styleId="TOC1">
    <w:name w:val="toc 1"/>
    <w:basedOn w:val="Normal"/>
    <w:next w:val="Normal"/>
    <w:autoRedefine/>
    <w:uiPriority w:val="39"/>
    <w:unhideWhenUsed/>
    <w:rsid w:val="003053CD"/>
    <w:pPr>
      <w:tabs>
        <w:tab w:val="right" w:leader="dot" w:pos="9016"/>
      </w:tabs>
      <w:ind w:left="284"/>
    </w:pPr>
    <w:rPr>
      <w:rFonts w:ascii="Verdana" w:hAnsi="Verdana"/>
      <w:b/>
      <w:sz w:val="20"/>
    </w:rPr>
  </w:style>
  <w:style w:type="paragraph" w:styleId="TOC3">
    <w:name w:val="toc 3"/>
    <w:basedOn w:val="Normal"/>
    <w:next w:val="Normal"/>
    <w:autoRedefine/>
    <w:uiPriority w:val="39"/>
    <w:unhideWhenUsed/>
    <w:rsid w:val="0051696A"/>
    <w:pPr>
      <w:tabs>
        <w:tab w:val="right" w:leader="dot" w:pos="9016"/>
      </w:tabs>
      <w:ind w:left="567" w:hanging="283"/>
    </w:pPr>
    <w:rPr>
      <w:rFonts w:ascii="Arial" w:hAnsi="Arial" w:cs="Arial"/>
      <w:b/>
      <w:bCs/>
      <w:noProof/>
      <w:sz w:val="24"/>
      <w:szCs w:val="24"/>
    </w:rPr>
  </w:style>
  <w:style w:type="character" w:customStyle="1" w:styleId="Heading1Char">
    <w:name w:val="Heading 1 Char"/>
    <w:link w:val="Heading1"/>
    <w:uiPriority w:val="9"/>
    <w:rsid w:val="00957453"/>
    <w:rPr>
      <w:rFonts w:ascii="Verdana" w:hAnsi="Verdana"/>
      <w:b/>
      <w:u w:val="single"/>
      <w:lang w:eastAsia="en-US"/>
    </w:rPr>
  </w:style>
  <w:style w:type="paragraph" w:styleId="BodyText">
    <w:name w:val="Body Text"/>
    <w:link w:val="BodyTextChar"/>
    <w:uiPriority w:val="1"/>
    <w:qFormat/>
    <w:rsid w:val="009421D6"/>
    <w:pPr>
      <w:spacing w:before="240"/>
    </w:pPr>
    <w:rPr>
      <w:rFonts w:ascii="Arial" w:eastAsia="Times New Roman" w:hAnsi="Arial" w:cs="Arial"/>
      <w:lang w:val="en-AU" w:eastAsia="en-US"/>
    </w:rPr>
  </w:style>
  <w:style w:type="character" w:customStyle="1" w:styleId="BodyTextChar">
    <w:name w:val="Body Text Char"/>
    <w:basedOn w:val="DefaultParagraphFont"/>
    <w:link w:val="BodyText"/>
    <w:uiPriority w:val="1"/>
    <w:rsid w:val="009421D6"/>
    <w:rPr>
      <w:rFonts w:ascii="Arial" w:eastAsia="Times New Roman" w:hAnsi="Arial" w:cs="Arial"/>
      <w:lang w:val="en-AU" w:eastAsia="en-US"/>
    </w:rPr>
  </w:style>
  <w:style w:type="table" w:customStyle="1" w:styleId="TableGrid1">
    <w:name w:val="Table Grid1"/>
    <w:basedOn w:val="TableNormal"/>
    <w:next w:val="TableGrid"/>
    <w:uiPriority w:val="39"/>
    <w:rsid w:val="0056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062E"/>
    <w:rPr>
      <w:sz w:val="22"/>
      <w:szCs w:val="22"/>
      <w:lang w:eastAsia="en-US"/>
    </w:rPr>
  </w:style>
  <w:style w:type="paragraph" w:customStyle="1" w:styleId="Default">
    <w:name w:val="Default"/>
    <w:rsid w:val="00903F8B"/>
    <w:pPr>
      <w:autoSpaceDE w:val="0"/>
      <w:autoSpaceDN w:val="0"/>
      <w:adjustRightInd w:val="0"/>
    </w:pPr>
    <w:rPr>
      <w:rFonts w:ascii="Verdana" w:hAnsi="Verdana" w:cs="Verdana"/>
      <w:color w:val="000000"/>
      <w:sz w:val="24"/>
      <w:szCs w:val="24"/>
    </w:rPr>
  </w:style>
  <w:style w:type="character" w:styleId="SubtleEmphasis">
    <w:name w:val="Subtle Emphasis"/>
    <w:basedOn w:val="DefaultParagraphFont"/>
    <w:uiPriority w:val="19"/>
    <w:qFormat/>
    <w:rsid w:val="00760512"/>
    <w:rPr>
      <w:i/>
      <w:iCs/>
      <w:color w:val="404040" w:themeColor="text1" w:themeTint="BF"/>
    </w:rPr>
  </w:style>
  <w:style w:type="paragraph" w:customStyle="1" w:styleId="BodyIndent">
    <w:name w:val="BodyIndent"/>
    <w:basedOn w:val="Normal"/>
    <w:uiPriority w:val="99"/>
    <w:rsid w:val="00A75A1F"/>
    <w:pPr>
      <w:widowControl w:val="0"/>
      <w:tabs>
        <w:tab w:val="left" w:pos="567"/>
        <w:tab w:val="left" w:pos="786"/>
      </w:tabs>
      <w:suppressAutoHyphens/>
      <w:autoSpaceDE w:val="0"/>
      <w:autoSpaceDN w:val="0"/>
      <w:adjustRightInd w:val="0"/>
      <w:spacing w:before="120" w:after="0" w:line="320" w:lineRule="atLeast"/>
      <w:ind w:left="567"/>
      <w:textAlignment w:val="baseline"/>
    </w:pPr>
    <w:rPr>
      <w:rFonts w:ascii="FS Lola" w:eastAsiaTheme="minorEastAsia" w:hAnsi="FS Lola" w:cs="FS Lola"/>
      <w:color w:val="000000"/>
      <w:sz w:val="23"/>
      <w:szCs w:val="23"/>
      <w:lang w:val="en-US" w:eastAsia="en-GB"/>
    </w:rPr>
  </w:style>
  <w:style w:type="table" w:customStyle="1" w:styleId="TableGrid2">
    <w:name w:val="Table Grid2"/>
    <w:basedOn w:val="TableNormal"/>
    <w:next w:val="TableGrid"/>
    <w:uiPriority w:val="59"/>
    <w:rsid w:val="00C156B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2D59"/>
    <w:rPr>
      <w:sz w:val="22"/>
      <w:szCs w:val="22"/>
      <w:lang w:eastAsia="en-US"/>
    </w:rPr>
  </w:style>
  <w:style w:type="table" w:customStyle="1" w:styleId="TableGrid3">
    <w:name w:val="Table Grid3"/>
    <w:basedOn w:val="TableNormal"/>
    <w:next w:val="TableGrid"/>
    <w:uiPriority w:val="39"/>
    <w:rsid w:val="00E8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05EF0"/>
    <w:pPr>
      <w:widowControl w:val="0"/>
      <w:spacing w:after="0" w:line="240" w:lineRule="auto"/>
    </w:pPr>
    <w:rPr>
      <w:rFonts w:asciiTheme="minorHAnsi" w:eastAsiaTheme="minorHAnsi" w:hAnsiTheme="minorHAnsi" w:cstheme="minorBidi"/>
      <w:lang w:val="en-US"/>
    </w:rPr>
  </w:style>
  <w:style w:type="character" w:customStyle="1" w:styleId="04-Normalcharacter">
    <w:name w:val="04-Normal character"/>
    <w:uiPriority w:val="1"/>
    <w:qFormat/>
    <w:rsid w:val="0042184C"/>
  </w:style>
  <w:style w:type="paragraph" w:customStyle="1" w:styleId="xl78">
    <w:name w:val="xl78"/>
    <w:basedOn w:val="Normal"/>
    <w:rsid w:val="00C10CFB"/>
    <w:pPr>
      <w:spacing w:before="100" w:beforeAutospacing="1" w:after="100" w:afterAutospacing="1" w:line="240" w:lineRule="auto"/>
      <w:textAlignment w:val="top"/>
    </w:pPr>
    <w:rPr>
      <w:rFonts w:ascii="Arial" w:eastAsia="Arial Unicode MS" w:hAnsi="Arial" w:cs="Arial"/>
      <w:color w:val="000000"/>
      <w:sz w:val="24"/>
      <w:szCs w:val="24"/>
    </w:rPr>
  </w:style>
  <w:style w:type="paragraph" w:customStyle="1" w:styleId="ExampleText">
    <w:name w:val="ExampleText"/>
    <w:basedOn w:val="Normal"/>
    <w:rsid w:val="00C10CFB"/>
    <w:pPr>
      <w:widowControl w:val="0"/>
      <w:tabs>
        <w:tab w:val="left" w:pos="567"/>
        <w:tab w:val="left" w:pos="786"/>
      </w:tabs>
      <w:suppressAutoHyphens/>
      <w:autoSpaceDE w:val="0"/>
      <w:autoSpaceDN w:val="0"/>
      <w:adjustRightInd w:val="0"/>
      <w:spacing w:before="150" w:after="0" w:line="280" w:lineRule="atLeast"/>
      <w:ind w:left="567"/>
      <w:textAlignment w:val="baseline"/>
    </w:pPr>
    <w:rPr>
      <w:rFonts w:ascii="FS Lola Light" w:eastAsia="Times New Roman" w:hAnsi="FS Lola Light" w:cs="FS Lola Light"/>
      <w:color w:val="000000"/>
      <w:sz w:val="20"/>
      <w:szCs w:val="20"/>
      <w:lang w:eastAsia="en-GB"/>
    </w:rPr>
  </w:style>
  <w:style w:type="paragraph" w:customStyle="1" w:styleId="09-Bodytext">
    <w:name w:val="09-Body text"/>
    <w:basedOn w:val="Normal"/>
    <w:qFormat/>
    <w:rsid w:val="00977CF4"/>
    <w:pPr>
      <w:spacing w:before="160" w:after="0" w:line="320" w:lineRule="atLeast"/>
      <w:ind w:left="454"/>
    </w:pPr>
    <w:rPr>
      <w:rFonts w:ascii="Arial" w:eastAsia="Times New Roman" w:hAnsi="Arial"/>
    </w:rPr>
  </w:style>
  <w:style w:type="paragraph" w:customStyle="1" w:styleId="16-Subhead2">
    <w:name w:val="16-Subhead 2"/>
    <w:basedOn w:val="Normal"/>
    <w:next w:val="Normal"/>
    <w:qFormat/>
    <w:rsid w:val="00977CF4"/>
    <w:pPr>
      <w:keepNext/>
      <w:keepLines/>
      <w:spacing w:before="280" w:after="140" w:line="240" w:lineRule="auto"/>
      <w:outlineLvl w:val="2"/>
    </w:pPr>
    <w:rPr>
      <w:rFonts w:ascii="Arial" w:eastAsia="Times New Roman" w:hAnsi="Arial"/>
      <w:b/>
      <w:color w:val="7F7F7F" w:themeColor="text1" w:themeTint="80"/>
      <w:sz w:val="26"/>
      <w:szCs w:val="26"/>
    </w:rPr>
  </w:style>
  <w:style w:type="paragraph" w:customStyle="1" w:styleId="11-Bullet1">
    <w:name w:val="11-Bullet 1"/>
    <w:basedOn w:val="09-Bodytext"/>
    <w:qFormat/>
    <w:rsid w:val="00977CF4"/>
    <w:pPr>
      <w:numPr>
        <w:numId w:val="8"/>
      </w:numPr>
      <w:tabs>
        <w:tab w:val="left" w:pos="907"/>
      </w:tabs>
      <w:spacing w:before="80"/>
    </w:pPr>
  </w:style>
  <w:style w:type="character" w:customStyle="1" w:styleId="01-Bold">
    <w:name w:val="01-Bold"/>
    <w:basedOn w:val="DefaultParagraphFont"/>
    <w:uiPriority w:val="1"/>
    <w:qFormat/>
    <w:rsid w:val="00977CF4"/>
    <w:rPr>
      <w:b/>
    </w:rPr>
  </w:style>
  <w:style w:type="character" w:customStyle="1" w:styleId="normaltextrun">
    <w:name w:val="normaltextrun"/>
    <w:basedOn w:val="DefaultParagraphFont"/>
    <w:rsid w:val="00F565E6"/>
  </w:style>
  <w:style w:type="character" w:customStyle="1" w:styleId="eop">
    <w:name w:val="eop"/>
    <w:basedOn w:val="DefaultParagraphFont"/>
    <w:rsid w:val="00F565E6"/>
  </w:style>
  <w:style w:type="paragraph" w:styleId="NormalWeb">
    <w:name w:val="Normal (Web)"/>
    <w:basedOn w:val="Normal"/>
    <w:uiPriority w:val="99"/>
    <w:unhideWhenUsed/>
    <w:rsid w:val="00F565E6"/>
    <w:pPr>
      <w:spacing w:before="100" w:beforeAutospacing="1" w:after="100" w:afterAutospacing="1" w:line="240" w:lineRule="auto"/>
    </w:pPr>
    <w:rPr>
      <w:rFonts w:eastAsia="Times New Roman" w:cs="Calibri"/>
      <w:lang w:eastAsia="en-GB"/>
    </w:rPr>
  </w:style>
  <w:style w:type="character" w:styleId="Strong">
    <w:name w:val="Strong"/>
    <w:basedOn w:val="DefaultParagraphFont"/>
    <w:uiPriority w:val="22"/>
    <w:qFormat/>
    <w:rsid w:val="009C1D52"/>
    <w:rPr>
      <w:b/>
      <w:bCs/>
    </w:rPr>
  </w:style>
  <w:style w:type="paragraph" w:styleId="TOCHeading">
    <w:name w:val="TOC Heading"/>
    <w:basedOn w:val="Heading1"/>
    <w:next w:val="Normal"/>
    <w:uiPriority w:val="39"/>
    <w:unhideWhenUsed/>
    <w:qFormat/>
    <w:rsid w:val="00147B88"/>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u w:val="none"/>
      <w:lang w:val="en-US"/>
    </w:rPr>
  </w:style>
  <w:style w:type="table" w:customStyle="1" w:styleId="TableGrid31">
    <w:name w:val="Table Grid31"/>
    <w:basedOn w:val="TableNormal"/>
    <w:next w:val="TableGrid"/>
    <w:uiPriority w:val="39"/>
    <w:rsid w:val="0023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P06-Bodytext">
    <w:name w:val="AS-P06-Body text"/>
    <w:basedOn w:val="Normal"/>
    <w:uiPriority w:val="99"/>
    <w:qFormat/>
    <w:rsid w:val="007B5C0C"/>
    <w:pPr>
      <w:spacing w:after="240" w:line="240" w:lineRule="auto"/>
      <w:ind w:right="1701"/>
    </w:pPr>
    <w:rPr>
      <w:rFonts w:ascii="Arial" w:eastAsia="Times New Roman" w:hAnsi="Arial"/>
      <w:color w:val="1F497D" w:themeColor="text2"/>
      <w:sz w:val="24"/>
      <w:szCs w:val="20"/>
      <w:lang w:eastAsia="en-GB"/>
    </w:rPr>
  </w:style>
  <w:style w:type="paragraph" w:customStyle="1" w:styleId="AS-P03-Subhead1">
    <w:name w:val="AS-P03-Subhead 1"/>
    <w:basedOn w:val="AS-P06-Bodytext"/>
    <w:next w:val="Normal"/>
    <w:uiPriority w:val="99"/>
    <w:qFormat/>
    <w:rsid w:val="007B5C0C"/>
    <w:pPr>
      <w:keepNext/>
      <w:spacing w:before="240"/>
      <w:outlineLvl w:val="1"/>
    </w:pPr>
    <w:rPr>
      <w:b/>
      <w:color w:val="006B8D"/>
      <w:sz w:val="28"/>
    </w:rPr>
  </w:style>
  <w:style w:type="paragraph" w:customStyle="1" w:styleId="AS-P04-Subhead2">
    <w:name w:val="AS-P04-Subhead 2"/>
    <w:basedOn w:val="AS-P03-Subhead1"/>
    <w:next w:val="Normal"/>
    <w:qFormat/>
    <w:rsid w:val="007B5C0C"/>
    <w:pPr>
      <w:keepLines/>
      <w:spacing w:after="120"/>
      <w:outlineLvl w:val="2"/>
    </w:pPr>
    <w:rPr>
      <w:color w:val="1F497D" w:themeColor="text2"/>
      <w:sz w:val="26"/>
      <w:szCs w:val="26"/>
    </w:rPr>
  </w:style>
  <w:style w:type="paragraph" w:customStyle="1" w:styleId="AS-P08-Bullet1">
    <w:name w:val="AS-P08-Bullet 1"/>
    <w:basedOn w:val="AS-P06-Bodytext"/>
    <w:qFormat/>
    <w:rsid w:val="007B5C0C"/>
    <w:pPr>
      <w:numPr>
        <w:numId w:val="9"/>
      </w:numPr>
      <w:tabs>
        <w:tab w:val="left" w:pos="284"/>
        <w:tab w:val="left" w:pos="851"/>
      </w:tabs>
      <w:ind w:left="850" w:hanging="425"/>
    </w:pPr>
  </w:style>
  <w:style w:type="character" w:styleId="UnresolvedMention">
    <w:name w:val="Unresolved Mention"/>
    <w:basedOn w:val="DefaultParagraphFont"/>
    <w:uiPriority w:val="99"/>
    <w:semiHidden/>
    <w:unhideWhenUsed/>
    <w:rsid w:val="007E292D"/>
    <w:rPr>
      <w:color w:val="605E5C"/>
      <w:shd w:val="clear" w:color="auto" w:fill="E1DFDD"/>
    </w:rPr>
  </w:style>
  <w:style w:type="character" w:customStyle="1" w:styleId="wacimagecontainer">
    <w:name w:val="wacimagecontainer"/>
    <w:basedOn w:val="DefaultParagraphFont"/>
    <w:rsid w:val="004A724C"/>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qFormat/>
    <w:locked/>
    <w:rsid w:val="00FD088F"/>
    <w:rPr>
      <w:sz w:val="22"/>
      <w:szCs w:val="22"/>
      <w:lang w:eastAsia="en-US"/>
    </w:rPr>
  </w:style>
  <w:style w:type="paragraph" w:customStyle="1" w:styleId="paragraph">
    <w:name w:val="paragraph"/>
    <w:basedOn w:val="Normal"/>
    <w:rsid w:val="00B434B6"/>
    <w:pPr>
      <w:spacing w:before="100" w:beforeAutospacing="1" w:after="100" w:afterAutospacing="1" w:line="240" w:lineRule="auto"/>
    </w:pPr>
    <w:rPr>
      <w:rFonts w:ascii="Times New Roman" w:eastAsia="Times New Roman" w:hAnsi="Times New Roman"/>
      <w:sz w:val="24"/>
      <w:szCs w:val="24"/>
      <w:lang w:eastAsia="en-GB"/>
    </w:rPr>
  </w:style>
  <w:style w:type="character" w:styleId="Mention">
    <w:name w:val="Mention"/>
    <w:basedOn w:val="DefaultParagraphFont"/>
    <w:uiPriority w:val="99"/>
    <w:unhideWhenUsed/>
    <w:rsid w:val="00CC016A"/>
    <w:rPr>
      <w:color w:val="2B579A"/>
      <w:shd w:val="clear" w:color="auto" w:fill="E1DFDD"/>
    </w:rPr>
  </w:style>
  <w:style w:type="numbering" w:customStyle="1" w:styleId="CurrentList1">
    <w:name w:val="Current List1"/>
    <w:uiPriority w:val="99"/>
    <w:rsid w:val="003910AA"/>
    <w:pPr>
      <w:numPr>
        <w:numId w:val="10"/>
      </w:numPr>
    </w:pPr>
  </w:style>
  <w:style w:type="table" w:styleId="GridTable1Light">
    <w:name w:val="Grid Table 1 Light"/>
    <w:basedOn w:val="TableNormal"/>
    <w:uiPriority w:val="46"/>
    <w:rsid w:val="009562A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D7D0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D7D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CD7D0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CD7D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39"/>
    <w:rsid w:val="00995C3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C2B49"/>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631E7"/>
    <w:rPr>
      <w:rFonts w:ascii="Aptos" w:eastAsia="Aptos" w:hAnsi="Aptos"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883">
      <w:bodyDiv w:val="1"/>
      <w:marLeft w:val="0"/>
      <w:marRight w:val="0"/>
      <w:marTop w:val="0"/>
      <w:marBottom w:val="0"/>
      <w:divBdr>
        <w:top w:val="none" w:sz="0" w:space="0" w:color="auto"/>
        <w:left w:val="none" w:sz="0" w:space="0" w:color="auto"/>
        <w:bottom w:val="none" w:sz="0" w:space="0" w:color="auto"/>
        <w:right w:val="none" w:sz="0" w:space="0" w:color="auto"/>
      </w:divBdr>
    </w:div>
    <w:div w:id="4019460">
      <w:bodyDiv w:val="1"/>
      <w:marLeft w:val="0"/>
      <w:marRight w:val="0"/>
      <w:marTop w:val="0"/>
      <w:marBottom w:val="0"/>
      <w:divBdr>
        <w:top w:val="none" w:sz="0" w:space="0" w:color="auto"/>
        <w:left w:val="none" w:sz="0" w:space="0" w:color="auto"/>
        <w:bottom w:val="none" w:sz="0" w:space="0" w:color="auto"/>
        <w:right w:val="none" w:sz="0" w:space="0" w:color="auto"/>
      </w:divBdr>
    </w:div>
    <w:div w:id="24992042">
      <w:bodyDiv w:val="1"/>
      <w:marLeft w:val="0"/>
      <w:marRight w:val="0"/>
      <w:marTop w:val="0"/>
      <w:marBottom w:val="0"/>
      <w:divBdr>
        <w:top w:val="none" w:sz="0" w:space="0" w:color="auto"/>
        <w:left w:val="none" w:sz="0" w:space="0" w:color="auto"/>
        <w:bottom w:val="none" w:sz="0" w:space="0" w:color="auto"/>
        <w:right w:val="none" w:sz="0" w:space="0" w:color="auto"/>
      </w:divBdr>
    </w:div>
    <w:div w:id="27066693">
      <w:bodyDiv w:val="1"/>
      <w:marLeft w:val="0"/>
      <w:marRight w:val="0"/>
      <w:marTop w:val="0"/>
      <w:marBottom w:val="0"/>
      <w:divBdr>
        <w:top w:val="none" w:sz="0" w:space="0" w:color="auto"/>
        <w:left w:val="none" w:sz="0" w:space="0" w:color="auto"/>
        <w:bottom w:val="none" w:sz="0" w:space="0" w:color="auto"/>
        <w:right w:val="none" w:sz="0" w:space="0" w:color="auto"/>
      </w:divBdr>
      <w:divsChild>
        <w:div w:id="874851940">
          <w:marLeft w:val="0"/>
          <w:marRight w:val="0"/>
          <w:marTop w:val="0"/>
          <w:marBottom w:val="0"/>
          <w:divBdr>
            <w:top w:val="none" w:sz="0" w:space="0" w:color="auto"/>
            <w:left w:val="none" w:sz="0" w:space="0" w:color="auto"/>
            <w:bottom w:val="none" w:sz="0" w:space="0" w:color="auto"/>
            <w:right w:val="none" w:sz="0" w:space="0" w:color="auto"/>
          </w:divBdr>
        </w:div>
        <w:div w:id="1187673412">
          <w:marLeft w:val="0"/>
          <w:marRight w:val="0"/>
          <w:marTop w:val="0"/>
          <w:marBottom w:val="0"/>
          <w:divBdr>
            <w:top w:val="none" w:sz="0" w:space="0" w:color="auto"/>
            <w:left w:val="none" w:sz="0" w:space="0" w:color="auto"/>
            <w:bottom w:val="none" w:sz="0" w:space="0" w:color="auto"/>
            <w:right w:val="none" w:sz="0" w:space="0" w:color="auto"/>
          </w:divBdr>
        </w:div>
        <w:div w:id="1318875992">
          <w:marLeft w:val="0"/>
          <w:marRight w:val="0"/>
          <w:marTop w:val="0"/>
          <w:marBottom w:val="0"/>
          <w:divBdr>
            <w:top w:val="none" w:sz="0" w:space="0" w:color="auto"/>
            <w:left w:val="none" w:sz="0" w:space="0" w:color="auto"/>
            <w:bottom w:val="none" w:sz="0" w:space="0" w:color="auto"/>
            <w:right w:val="none" w:sz="0" w:space="0" w:color="auto"/>
          </w:divBdr>
        </w:div>
        <w:div w:id="1402406928">
          <w:marLeft w:val="0"/>
          <w:marRight w:val="0"/>
          <w:marTop w:val="0"/>
          <w:marBottom w:val="0"/>
          <w:divBdr>
            <w:top w:val="none" w:sz="0" w:space="0" w:color="auto"/>
            <w:left w:val="none" w:sz="0" w:space="0" w:color="auto"/>
            <w:bottom w:val="none" w:sz="0" w:space="0" w:color="auto"/>
            <w:right w:val="none" w:sz="0" w:space="0" w:color="auto"/>
          </w:divBdr>
        </w:div>
        <w:div w:id="1445266428">
          <w:marLeft w:val="0"/>
          <w:marRight w:val="0"/>
          <w:marTop w:val="0"/>
          <w:marBottom w:val="0"/>
          <w:divBdr>
            <w:top w:val="none" w:sz="0" w:space="0" w:color="auto"/>
            <w:left w:val="none" w:sz="0" w:space="0" w:color="auto"/>
            <w:bottom w:val="none" w:sz="0" w:space="0" w:color="auto"/>
            <w:right w:val="none" w:sz="0" w:space="0" w:color="auto"/>
          </w:divBdr>
        </w:div>
        <w:div w:id="1508446156">
          <w:marLeft w:val="0"/>
          <w:marRight w:val="0"/>
          <w:marTop w:val="0"/>
          <w:marBottom w:val="0"/>
          <w:divBdr>
            <w:top w:val="none" w:sz="0" w:space="0" w:color="auto"/>
            <w:left w:val="none" w:sz="0" w:space="0" w:color="auto"/>
            <w:bottom w:val="none" w:sz="0" w:space="0" w:color="auto"/>
            <w:right w:val="none" w:sz="0" w:space="0" w:color="auto"/>
          </w:divBdr>
        </w:div>
        <w:div w:id="1757362823">
          <w:marLeft w:val="0"/>
          <w:marRight w:val="0"/>
          <w:marTop w:val="0"/>
          <w:marBottom w:val="0"/>
          <w:divBdr>
            <w:top w:val="none" w:sz="0" w:space="0" w:color="auto"/>
            <w:left w:val="none" w:sz="0" w:space="0" w:color="auto"/>
            <w:bottom w:val="none" w:sz="0" w:space="0" w:color="auto"/>
            <w:right w:val="none" w:sz="0" w:space="0" w:color="auto"/>
          </w:divBdr>
        </w:div>
      </w:divsChild>
    </w:div>
    <w:div w:id="37895118">
      <w:bodyDiv w:val="1"/>
      <w:marLeft w:val="0"/>
      <w:marRight w:val="0"/>
      <w:marTop w:val="0"/>
      <w:marBottom w:val="0"/>
      <w:divBdr>
        <w:top w:val="none" w:sz="0" w:space="0" w:color="auto"/>
        <w:left w:val="none" w:sz="0" w:space="0" w:color="auto"/>
        <w:bottom w:val="none" w:sz="0" w:space="0" w:color="auto"/>
        <w:right w:val="none" w:sz="0" w:space="0" w:color="auto"/>
      </w:divBdr>
    </w:div>
    <w:div w:id="57362188">
      <w:bodyDiv w:val="1"/>
      <w:marLeft w:val="0"/>
      <w:marRight w:val="0"/>
      <w:marTop w:val="0"/>
      <w:marBottom w:val="0"/>
      <w:divBdr>
        <w:top w:val="none" w:sz="0" w:space="0" w:color="auto"/>
        <w:left w:val="none" w:sz="0" w:space="0" w:color="auto"/>
        <w:bottom w:val="none" w:sz="0" w:space="0" w:color="auto"/>
        <w:right w:val="none" w:sz="0" w:space="0" w:color="auto"/>
      </w:divBdr>
    </w:div>
    <w:div w:id="60177624">
      <w:bodyDiv w:val="1"/>
      <w:marLeft w:val="0"/>
      <w:marRight w:val="0"/>
      <w:marTop w:val="0"/>
      <w:marBottom w:val="0"/>
      <w:divBdr>
        <w:top w:val="none" w:sz="0" w:space="0" w:color="auto"/>
        <w:left w:val="none" w:sz="0" w:space="0" w:color="auto"/>
        <w:bottom w:val="none" w:sz="0" w:space="0" w:color="auto"/>
        <w:right w:val="none" w:sz="0" w:space="0" w:color="auto"/>
      </w:divBdr>
    </w:div>
    <w:div w:id="68113885">
      <w:bodyDiv w:val="1"/>
      <w:marLeft w:val="0"/>
      <w:marRight w:val="0"/>
      <w:marTop w:val="0"/>
      <w:marBottom w:val="0"/>
      <w:divBdr>
        <w:top w:val="none" w:sz="0" w:space="0" w:color="auto"/>
        <w:left w:val="none" w:sz="0" w:space="0" w:color="auto"/>
        <w:bottom w:val="none" w:sz="0" w:space="0" w:color="auto"/>
        <w:right w:val="none" w:sz="0" w:space="0" w:color="auto"/>
      </w:divBdr>
    </w:div>
    <w:div w:id="89401658">
      <w:bodyDiv w:val="1"/>
      <w:marLeft w:val="0"/>
      <w:marRight w:val="0"/>
      <w:marTop w:val="0"/>
      <w:marBottom w:val="0"/>
      <w:divBdr>
        <w:top w:val="none" w:sz="0" w:space="0" w:color="auto"/>
        <w:left w:val="none" w:sz="0" w:space="0" w:color="auto"/>
        <w:bottom w:val="none" w:sz="0" w:space="0" w:color="auto"/>
        <w:right w:val="none" w:sz="0" w:space="0" w:color="auto"/>
      </w:divBdr>
      <w:divsChild>
        <w:div w:id="21171248">
          <w:marLeft w:val="0"/>
          <w:marRight w:val="0"/>
          <w:marTop w:val="0"/>
          <w:marBottom w:val="0"/>
          <w:divBdr>
            <w:top w:val="none" w:sz="0" w:space="0" w:color="auto"/>
            <w:left w:val="none" w:sz="0" w:space="0" w:color="auto"/>
            <w:bottom w:val="none" w:sz="0" w:space="0" w:color="auto"/>
            <w:right w:val="none" w:sz="0" w:space="0" w:color="auto"/>
          </w:divBdr>
        </w:div>
        <w:div w:id="46614720">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186217802">
          <w:marLeft w:val="0"/>
          <w:marRight w:val="0"/>
          <w:marTop w:val="0"/>
          <w:marBottom w:val="0"/>
          <w:divBdr>
            <w:top w:val="none" w:sz="0" w:space="0" w:color="auto"/>
            <w:left w:val="none" w:sz="0" w:space="0" w:color="auto"/>
            <w:bottom w:val="none" w:sz="0" w:space="0" w:color="auto"/>
            <w:right w:val="none" w:sz="0" w:space="0" w:color="auto"/>
          </w:divBdr>
        </w:div>
        <w:div w:id="291249896">
          <w:marLeft w:val="0"/>
          <w:marRight w:val="0"/>
          <w:marTop w:val="0"/>
          <w:marBottom w:val="0"/>
          <w:divBdr>
            <w:top w:val="none" w:sz="0" w:space="0" w:color="auto"/>
            <w:left w:val="none" w:sz="0" w:space="0" w:color="auto"/>
            <w:bottom w:val="none" w:sz="0" w:space="0" w:color="auto"/>
            <w:right w:val="none" w:sz="0" w:space="0" w:color="auto"/>
          </w:divBdr>
        </w:div>
        <w:div w:id="370618444">
          <w:marLeft w:val="0"/>
          <w:marRight w:val="0"/>
          <w:marTop w:val="0"/>
          <w:marBottom w:val="0"/>
          <w:divBdr>
            <w:top w:val="none" w:sz="0" w:space="0" w:color="auto"/>
            <w:left w:val="none" w:sz="0" w:space="0" w:color="auto"/>
            <w:bottom w:val="none" w:sz="0" w:space="0" w:color="auto"/>
            <w:right w:val="none" w:sz="0" w:space="0" w:color="auto"/>
          </w:divBdr>
        </w:div>
        <w:div w:id="375197613">
          <w:marLeft w:val="0"/>
          <w:marRight w:val="0"/>
          <w:marTop w:val="0"/>
          <w:marBottom w:val="0"/>
          <w:divBdr>
            <w:top w:val="none" w:sz="0" w:space="0" w:color="auto"/>
            <w:left w:val="none" w:sz="0" w:space="0" w:color="auto"/>
            <w:bottom w:val="none" w:sz="0" w:space="0" w:color="auto"/>
            <w:right w:val="none" w:sz="0" w:space="0" w:color="auto"/>
          </w:divBdr>
        </w:div>
        <w:div w:id="454107626">
          <w:marLeft w:val="0"/>
          <w:marRight w:val="0"/>
          <w:marTop w:val="0"/>
          <w:marBottom w:val="0"/>
          <w:divBdr>
            <w:top w:val="none" w:sz="0" w:space="0" w:color="auto"/>
            <w:left w:val="none" w:sz="0" w:space="0" w:color="auto"/>
            <w:bottom w:val="none" w:sz="0" w:space="0" w:color="auto"/>
            <w:right w:val="none" w:sz="0" w:space="0" w:color="auto"/>
          </w:divBdr>
        </w:div>
        <w:div w:id="462694402">
          <w:marLeft w:val="0"/>
          <w:marRight w:val="0"/>
          <w:marTop w:val="0"/>
          <w:marBottom w:val="0"/>
          <w:divBdr>
            <w:top w:val="none" w:sz="0" w:space="0" w:color="auto"/>
            <w:left w:val="none" w:sz="0" w:space="0" w:color="auto"/>
            <w:bottom w:val="none" w:sz="0" w:space="0" w:color="auto"/>
            <w:right w:val="none" w:sz="0" w:space="0" w:color="auto"/>
          </w:divBdr>
        </w:div>
        <w:div w:id="693505518">
          <w:marLeft w:val="0"/>
          <w:marRight w:val="0"/>
          <w:marTop w:val="0"/>
          <w:marBottom w:val="0"/>
          <w:divBdr>
            <w:top w:val="none" w:sz="0" w:space="0" w:color="auto"/>
            <w:left w:val="none" w:sz="0" w:space="0" w:color="auto"/>
            <w:bottom w:val="none" w:sz="0" w:space="0" w:color="auto"/>
            <w:right w:val="none" w:sz="0" w:space="0" w:color="auto"/>
          </w:divBdr>
        </w:div>
        <w:div w:id="788813954">
          <w:marLeft w:val="0"/>
          <w:marRight w:val="0"/>
          <w:marTop w:val="0"/>
          <w:marBottom w:val="0"/>
          <w:divBdr>
            <w:top w:val="none" w:sz="0" w:space="0" w:color="auto"/>
            <w:left w:val="none" w:sz="0" w:space="0" w:color="auto"/>
            <w:bottom w:val="none" w:sz="0" w:space="0" w:color="auto"/>
            <w:right w:val="none" w:sz="0" w:space="0" w:color="auto"/>
          </w:divBdr>
        </w:div>
        <w:div w:id="812218751">
          <w:marLeft w:val="0"/>
          <w:marRight w:val="0"/>
          <w:marTop w:val="0"/>
          <w:marBottom w:val="0"/>
          <w:divBdr>
            <w:top w:val="none" w:sz="0" w:space="0" w:color="auto"/>
            <w:left w:val="none" w:sz="0" w:space="0" w:color="auto"/>
            <w:bottom w:val="none" w:sz="0" w:space="0" w:color="auto"/>
            <w:right w:val="none" w:sz="0" w:space="0" w:color="auto"/>
          </w:divBdr>
        </w:div>
        <w:div w:id="971524815">
          <w:marLeft w:val="0"/>
          <w:marRight w:val="0"/>
          <w:marTop w:val="0"/>
          <w:marBottom w:val="0"/>
          <w:divBdr>
            <w:top w:val="none" w:sz="0" w:space="0" w:color="auto"/>
            <w:left w:val="none" w:sz="0" w:space="0" w:color="auto"/>
            <w:bottom w:val="none" w:sz="0" w:space="0" w:color="auto"/>
            <w:right w:val="none" w:sz="0" w:space="0" w:color="auto"/>
          </w:divBdr>
        </w:div>
        <w:div w:id="1338313044">
          <w:marLeft w:val="0"/>
          <w:marRight w:val="0"/>
          <w:marTop w:val="0"/>
          <w:marBottom w:val="0"/>
          <w:divBdr>
            <w:top w:val="none" w:sz="0" w:space="0" w:color="auto"/>
            <w:left w:val="none" w:sz="0" w:space="0" w:color="auto"/>
            <w:bottom w:val="none" w:sz="0" w:space="0" w:color="auto"/>
            <w:right w:val="none" w:sz="0" w:space="0" w:color="auto"/>
          </w:divBdr>
        </w:div>
        <w:div w:id="1357996556">
          <w:marLeft w:val="0"/>
          <w:marRight w:val="0"/>
          <w:marTop w:val="0"/>
          <w:marBottom w:val="0"/>
          <w:divBdr>
            <w:top w:val="none" w:sz="0" w:space="0" w:color="auto"/>
            <w:left w:val="none" w:sz="0" w:space="0" w:color="auto"/>
            <w:bottom w:val="none" w:sz="0" w:space="0" w:color="auto"/>
            <w:right w:val="none" w:sz="0" w:space="0" w:color="auto"/>
          </w:divBdr>
        </w:div>
        <w:div w:id="1396125065">
          <w:marLeft w:val="0"/>
          <w:marRight w:val="0"/>
          <w:marTop w:val="0"/>
          <w:marBottom w:val="0"/>
          <w:divBdr>
            <w:top w:val="none" w:sz="0" w:space="0" w:color="auto"/>
            <w:left w:val="none" w:sz="0" w:space="0" w:color="auto"/>
            <w:bottom w:val="none" w:sz="0" w:space="0" w:color="auto"/>
            <w:right w:val="none" w:sz="0" w:space="0" w:color="auto"/>
          </w:divBdr>
        </w:div>
        <w:div w:id="1436560955">
          <w:marLeft w:val="0"/>
          <w:marRight w:val="0"/>
          <w:marTop w:val="0"/>
          <w:marBottom w:val="0"/>
          <w:divBdr>
            <w:top w:val="none" w:sz="0" w:space="0" w:color="auto"/>
            <w:left w:val="none" w:sz="0" w:space="0" w:color="auto"/>
            <w:bottom w:val="none" w:sz="0" w:space="0" w:color="auto"/>
            <w:right w:val="none" w:sz="0" w:space="0" w:color="auto"/>
          </w:divBdr>
        </w:div>
        <w:div w:id="1449662298">
          <w:marLeft w:val="0"/>
          <w:marRight w:val="0"/>
          <w:marTop w:val="0"/>
          <w:marBottom w:val="0"/>
          <w:divBdr>
            <w:top w:val="none" w:sz="0" w:space="0" w:color="auto"/>
            <w:left w:val="none" w:sz="0" w:space="0" w:color="auto"/>
            <w:bottom w:val="none" w:sz="0" w:space="0" w:color="auto"/>
            <w:right w:val="none" w:sz="0" w:space="0" w:color="auto"/>
          </w:divBdr>
        </w:div>
        <w:div w:id="1563634393">
          <w:marLeft w:val="0"/>
          <w:marRight w:val="0"/>
          <w:marTop w:val="0"/>
          <w:marBottom w:val="0"/>
          <w:divBdr>
            <w:top w:val="none" w:sz="0" w:space="0" w:color="auto"/>
            <w:left w:val="none" w:sz="0" w:space="0" w:color="auto"/>
            <w:bottom w:val="none" w:sz="0" w:space="0" w:color="auto"/>
            <w:right w:val="none" w:sz="0" w:space="0" w:color="auto"/>
          </w:divBdr>
        </w:div>
        <w:div w:id="1628008705">
          <w:marLeft w:val="0"/>
          <w:marRight w:val="0"/>
          <w:marTop w:val="0"/>
          <w:marBottom w:val="0"/>
          <w:divBdr>
            <w:top w:val="none" w:sz="0" w:space="0" w:color="auto"/>
            <w:left w:val="none" w:sz="0" w:space="0" w:color="auto"/>
            <w:bottom w:val="none" w:sz="0" w:space="0" w:color="auto"/>
            <w:right w:val="none" w:sz="0" w:space="0" w:color="auto"/>
          </w:divBdr>
        </w:div>
        <w:div w:id="1708288024">
          <w:marLeft w:val="0"/>
          <w:marRight w:val="0"/>
          <w:marTop w:val="0"/>
          <w:marBottom w:val="0"/>
          <w:divBdr>
            <w:top w:val="none" w:sz="0" w:space="0" w:color="auto"/>
            <w:left w:val="none" w:sz="0" w:space="0" w:color="auto"/>
            <w:bottom w:val="none" w:sz="0" w:space="0" w:color="auto"/>
            <w:right w:val="none" w:sz="0" w:space="0" w:color="auto"/>
          </w:divBdr>
        </w:div>
        <w:div w:id="1721981374">
          <w:marLeft w:val="0"/>
          <w:marRight w:val="0"/>
          <w:marTop w:val="0"/>
          <w:marBottom w:val="0"/>
          <w:divBdr>
            <w:top w:val="none" w:sz="0" w:space="0" w:color="auto"/>
            <w:left w:val="none" w:sz="0" w:space="0" w:color="auto"/>
            <w:bottom w:val="none" w:sz="0" w:space="0" w:color="auto"/>
            <w:right w:val="none" w:sz="0" w:space="0" w:color="auto"/>
          </w:divBdr>
        </w:div>
        <w:div w:id="1887448139">
          <w:marLeft w:val="0"/>
          <w:marRight w:val="0"/>
          <w:marTop w:val="0"/>
          <w:marBottom w:val="0"/>
          <w:divBdr>
            <w:top w:val="none" w:sz="0" w:space="0" w:color="auto"/>
            <w:left w:val="none" w:sz="0" w:space="0" w:color="auto"/>
            <w:bottom w:val="none" w:sz="0" w:space="0" w:color="auto"/>
            <w:right w:val="none" w:sz="0" w:space="0" w:color="auto"/>
          </w:divBdr>
        </w:div>
        <w:div w:id="1892228457">
          <w:marLeft w:val="0"/>
          <w:marRight w:val="0"/>
          <w:marTop w:val="0"/>
          <w:marBottom w:val="0"/>
          <w:divBdr>
            <w:top w:val="none" w:sz="0" w:space="0" w:color="auto"/>
            <w:left w:val="none" w:sz="0" w:space="0" w:color="auto"/>
            <w:bottom w:val="none" w:sz="0" w:space="0" w:color="auto"/>
            <w:right w:val="none" w:sz="0" w:space="0" w:color="auto"/>
          </w:divBdr>
        </w:div>
        <w:div w:id="2133132207">
          <w:marLeft w:val="0"/>
          <w:marRight w:val="0"/>
          <w:marTop w:val="0"/>
          <w:marBottom w:val="0"/>
          <w:divBdr>
            <w:top w:val="none" w:sz="0" w:space="0" w:color="auto"/>
            <w:left w:val="none" w:sz="0" w:space="0" w:color="auto"/>
            <w:bottom w:val="none" w:sz="0" w:space="0" w:color="auto"/>
            <w:right w:val="none" w:sz="0" w:space="0" w:color="auto"/>
          </w:divBdr>
        </w:div>
      </w:divsChild>
    </w:div>
    <w:div w:id="92871313">
      <w:bodyDiv w:val="1"/>
      <w:marLeft w:val="0"/>
      <w:marRight w:val="0"/>
      <w:marTop w:val="0"/>
      <w:marBottom w:val="0"/>
      <w:divBdr>
        <w:top w:val="none" w:sz="0" w:space="0" w:color="auto"/>
        <w:left w:val="none" w:sz="0" w:space="0" w:color="auto"/>
        <w:bottom w:val="none" w:sz="0" w:space="0" w:color="auto"/>
        <w:right w:val="none" w:sz="0" w:space="0" w:color="auto"/>
      </w:divBdr>
    </w:div>
    <w:div w:id="96605252">
      <w:bodyDiv w:val="1"/>
      <w:marLeft w:val="0"/>
      <w:marRight w:val="0"/>
      <w:marTop w:val="0"/>
      <w:marBottom w:val="0"/>
      <w:divBdr>
        <w:top w:val="none" w:sz="0" w:space="0" w:color="auto"/>
        <w:left w:val="none" w:sz="0" w:space="0" w:color="auto"/>
        <w:bottom w:val="none" w:sz="0" w:space="0" w:color="auto"/>
        <w:right w:val="none" w:sz="0" w:space="0" w:color="auto"/>
      </w:divBdr>
    </w:div>
    <w:div w:id="121272863">
      <w:bodyDiv w:val="1"/>
      <w:marLeft w:val="0"/>
      <w:marRight w:val="0"/>
      <w:marTop w:val="0"/>
      <w:marBottom w:val="0"/>
      <w:divBdr>
        <w:top w:val="none" w:sz="0" w:space="0" w:color="auto"/>
        <w:left w:val="none" w:sz="0" w:space="0" w:color="auto"/>
        <w:bottom w:val="none" w:sz="0" w:space="0" w:color="auto"/>
        <w:right w:val="none" w:sz="0" w:space="0" w:color="auto"/>
      </w:divBdr>
    </w:div>
    <w:div w:id="128132243">
      <w:bodyDiv w:val="1"/>
      <w:marLeft w:val="0"/>
      <w:marRight w:val="0"/>
      <w:marTop w:val="0"/>
      <w:marBottom w:val="0"/>
      <w:divBdr>
        <w:top w:val="none" w:sz="0" w:space="0" w:color="auto"/>
        <w:left w:val="none" w:sz="0" w:space="0" w:color="auto"/>
        <w:bottom w:val="none" w:sz="0" w:space="0" w:color="auto"/>
        <w:right w:val="none" w:sz="0" w:space="0" w:color="auto"/>
      </w:divBdr>
    </w:div>
    <w:div w:id="152912315">
      <w:bodyDiv w:val="1"/>
      <w:marLeft w:val="0"/>
      <w:marRight w:val="0"/>
      <w:marTop w:val="0"/>
      <w:marBottom w:val="0"/>
      <w:divBdr>
        <w:top w:val="none" w:sz="0" w:space="0" w:color="auto"/>
        <w:left w:val="none" w:sz="0" w:space="0" w:color="auto"/>
        <w:bottom w:val="none" w:sz="0" w:space="0" w:color="auto"/>
        <w:right w:val="none" w:sz="0" w:space="0" w:color="auto"/>
      </w:divBdr>
    </w:div>
    <w:div w:id="207962456">
      <w:bodyDiv w:val="1"/>
      <w:marLeft w:val="0"/>
      <w:marRight w:val="0"/>
      <w:marTop w:val="0"/>
      <w:marBottom w:val="0"/>
      <w:divBdr>
        <w:top w:val="none" w:sz="0" w:space="0" w:color="auto"/>
        <w:left w:val="none" w:sz="0" w:space="0" w:color="auto"/>
        <w:bottom w:val="none" w:sz="0" w:space="0" w:color="auto"/>
        <w:right w:val="none" w:sz="0" w:space="0" w:color="auto"/>
      </w:divBdr>
      <w:divsChild>
        <w:div w:id="83655184">
          <w:marLeft w:val="0"/>
          <w:marRight w:val="0"/>
          <w:marTop w:val="0"/>
          <w:marBottom w:val="0"/>
          <w:divBdr>
            <w:top w:val="none" w:sz="0" w:space="0" w:color="auto"/>
            <w:left w:val="none" w:sz="0" w:space="0" w:color="auto"/>
            <w:bottom w:val="none" w:sz="0" w:space="0" w:color="auto"/>
            <w:right w:val="none" w:sz="0" w:space="0" w:color="auto"/>
          </w:divBdr>
        </w:div>
        <w:div w:id="1466315031">
          <w:marLeft w:val="0"/>
          <w:marRight w:val="0"/>
          <w:marTop w:val="0"/>
          <w:marBottom w:val="0"/>
          <w:divBdr>
            <w:top w:val="none" w:sz="0" w:space="0" w:color="auto"/>
            <w:left w:val="none" w:sz="0" w:space="0" w:color="auto"/>
            <w:bottom w:val="none" w:sz="0" w:space="0" w:color="auto"/>
            <w:right w:val="none" w:sz="0" w:space="0" w:color="auto"/>
          </w:divBdr>
        </w:div>
        <w:div w:id="1667131002">
          <w:marLeft w:val="0"/>
          <w:marRight w:val="0"/>
          <w:marTop w:val="0"/>
          <w:marBottom w:val="0"/>
          <w:divBdr>
            <w:top w:val="none" w:sz="0" w:space="0" w:color="auto"/>
            <w:left w:val="none" w:sz="0" w:space="0" w:color="auto"/>
            <w:bottom w:val="none" w:sz="0" w:space="0" w:color="auto"/>
            <w:right w:val="none" w:sz="0" w:space="0" w:color="auto"/>
          </w:divBdr>
        </w:div>
        <w:div w:id="2064599082">
          <w:marLeft w:val="0"/>
          <w:marRight w:val="0"/>
          <w:marTop w:val="0"/>
          <w:marBottom w:val="0"/>
          <w:divBdr>
            <w:top w:val="none" w:sz="0" w:space="0" w:color="auto"/>
            <w:left w:val="none" w:sz="0" w:space="0" w:color="auto"/>
            <w:bottom w:val="none" w:sz="0" w:space="0" w:color="auto"/>
            <w:right w:val="none" w:sz="0" w:space="0" w:color="auto"/>
          </w:divBdr>
        </w:div>
      </w:divsChild>
    </w:div>
    <w:div w:id="271479811">
      <w:bodyDiv w:val="1"/>
      <w:marLeft w:val="0"/>
      <w:marRight w:val="0"/>
      <w:marTop w:val="0"/>
      <w:marBottom w:val="0"/>
      <w:divBdr>
        <w:top w:val="none" w:sz="0" w:space="0" w:color="auto"/>
        <w:left w:val="none" w:sz="0" w:space="0" w:color="auto"/>
        <w:bottom w:val="none" w:sz="0" w:space="0" w:color="auto"/>
        <w:right w:val="none" w:sz="0" w:space="0" w:color="auto"/>
      </w:divBdr>
    </w:div>
    <w:div w:id="276257547">
      <w:bodyDiv w:val="1"/>
      <w:marLeft w:val="0"/>
      <w:marRight w:val="0"/>
      <w:marTop w:val="0"/>
      <w:marBottom w:val="0"/>
      <w:divBdr>
        <w:top w:val="none" w:sz="0" w:space="0" w:color="auto"/>
        <w:left w:val="none" w:sz="0" w:space="0" w:color="auto"/>
        <w:bottom w:val="none" w:sz="0" w:space="0" w:color="auto"/>
        <w:right w:val="none" w:sz="0" w:space="0" w:color="auto"/>
      </w:divBdr>
    </w:div>
    <w:div w:id="282541836">
      <w:bodyDiv w:val="1"/>
      <w:marLeft w:val="0"/>
      <w:marRight w:val="0"/>
      <w:marTop w:val="0"/>
      <w:marBottom w:val="0"/>
      <w:divBdr>
        <w:top w:val="none" w:sz="0" w:space="0" w:color="auto"/>
        <w:left w:val="none" w:sz="0" w:space="0" w:color="auto"/>
        <w:bottom w:val="none" w:sz="0" w:space="0" w:color="auto"/>
        <w:right w:val="none" w:sz="0" w:space="0" w:color="auto"/>
      </w:divBdr>
    </w:div>
    <w:div w:id="292905103">
      <w:marLeft w:val="0"/>
      <w:marRight w:val="0"/>
      <w:marTop w:val="0"/>
      <w:marBottom w:val="0"/>
      <w:divBdr>
        <w:top w:val="none" w:sz="0" w:space="0" w:color="auto"/>
        <w:left w:val="none" w:sz="0" w:space="0" w:color="auto"/>
        <w:bottom w:val="none" w:sz="0" w:space="0" w:color="auto"/>
        <w:right w:val="none" w:sz="0" w:space="0" w:color="auto"/>
      </w:divBdr>
    </w:div>
    <w:div w:id="312879064">
      <w:bodyDiv w:val="1"/>
      <w:marLeft w:val="0"/>
      <w:marRight w:val="0"/>
      <w:marTop w:val="0"/>
      <w:marBottom w:val="0"/>
      <w:divBdr>
        <w:top w:val="none" w:sz="0" w:space="0" w:color="auto"/>
        <w:left w:val="none" w:sz="0" w:space="0" w:color="auto"/>
        <w:bottom w:val="none" w:sz="0" w:space="0" w:color="auto"/>
        <w:right w:val="none" w:sz="0" w:space="0" w:color="auto"/>
      </w:divBdr>
    </w:div>
    <w:div w:id="341250310">
      <w:bodyDiv w:val="1"/>
      <w:marLeft w:val="0"/>
      <w:marRight w:val="0"/>
      <w:marTop w:val="0"/>
      <w:marBottom w:val="0"/>
      <w:divBdr>
        <w:top w:val="none" w:sz="0" w:space="0" w:color="auto"/>
        <w:left w:val="none" w:sz="0" w:space="0" w:color="auto"/>
        <w:bottom w:val="none" w:sz="0" w:space="0" w:color="auto"/>
        <w:right w:val="none" w:sz="0" w:space="0" w:color="auto"/>
      </w:divBdr>
    </w:div>
    <w:div w:id="353657150">
      <w:bodyDiv w:val="1"/>
      <w:marLeft w:val="0"/>
      <w:marRight w:val="0"/>
      <w:marTop w:val="0"/>
      <w:marBottom w:val="0"/>
      <w:divBdr>
        <w:top w:val="none" w:sz="0" w:space="0" w:color="auto"/>
        <w:left w:val="none" w:sz="0" w:space="0" w:color="auto"/>
        <w:bottom w:val="none" w:sz="0" w:space="0" w:color="auto"/>
        <w:right w:val="none" w:sz="0" w:space="0" w:color="auto"/>
      </w:divBdr>
    </w:div>
    <w:div w:id="356858060">
      <w:bodyDiv w:val="1"/>
      <w:marLeft w:val="0"/>
      <w:marRight w:val="0"/>
      <w:marTop w:val="0"/>
      <w:marBottom w:val="0"/>
      <w:divBdr>
        <w:top w:val="none" w:sz="0" w:space="0" w:color="auto"/>
        <w:left w:val="none" w:sz="0" w:space="0" w:color="auto"/>
        <w:bottom w:val="none" w:sz="0" w:space="0" w:color="auto"/>
        <w:right w:val="none" w:sz="0" w:space="0" w:color="auto"/>
      </w:divBdr>
    </w:div>
    <w:div w:id="359084631">
      <w:bodyDiv w:val="1"/>
      <w:marLeft w:val="0"/>
      <w:marRight w:val="0"/>
      <w:marTop w:val="0"/>
      <w:marBottom w:val="0"/>
      <w:divBdr>
        <w:top w:val="none" w:sz="0" w:space="0" w:color="auto"/>
        <w:left w:val="none" w:sz="0" w:space="0" w:color="auto"/>
        <w:bottom w:val="none" w:sz="0" w:space="0" w:color="auto"/>
        <w:right w:val="none" w:sz="0" w:space="0" w:color="auto"/>
      </w:divBdr>
      <w:divsChild>
        <w:div w:id="670565015">
          <w:marLeft w:val="0"/>
          <w:marRight w:val="0"/>
          <w:marTop w:val="0"/>
          <w:marBottom w:val="0"/>
          <w:divBdr>
            <w:top w:val="none" w:sz="0" w:space="0" w:color="auto"/>
            <w:left w:val="none" w:sz="0" w:space="0" w:color="auto"/>
            <w:bottom w:val="none" w:sz="0" w:space="0" w:color="auto"/>
            <w:right w:val="none" w:sz="0" w:space="0" w:color="auto"/>
          </w:divBdr>
        </w:div>
        <w:div w:id="1656838341">
          <w:marLeft w:val="0"/>
          <w:marRight w:val="0"/>
          <w:marTop w:val="0"/>
          <w:marBottom w:val="0"/>
          <w:divBdr>
            <w:top w:val="none" w:sz="0" w:space="0" w:color="auto"/>
            <w:left w:val="none" w:sz="0" w:space="0" w:color="auto"/>
            <w:bottom w:val="none" w:sz="0" w:space="0" w:color="auto"/>
            <w:right w:val="none" w:sz="0" w:space="0" w:color="auto"/>
          </w:divBdr>
        </w:div>
      </w:divsChild>
    </w:div>
    <w:div w:id="377706408">
      <w:bodyDiv w:val="1"/>
      <w:marLeft w:val="0"/>
      <w:marRight w:val="0"/>
      <w:marTop w:val="0"/>
      <w:marBottom w:val="0"/>
      <w:divBdr>
        <w:top w:val="none" w:sz="0" w:space="0" w:color="auto"/>
        <w:left w:val="none" w:sz="0" w:space="0" w:color="auto"/>
        <w:bottom w:val="none" w:sz="0" w:space="0" w:color="auto"/>
        <w:right w:val="none" w:sz="0" w:space="0" w:color="auto"/>
      </w:divBdr>
      <w:divsChild>
        <w:div w:id="6829997">
          <w:marLeft w:val="0"/>
          <w:marRight w:val="0"/>
          <w:marTop w:val="0"/>
          <w:marBottom w:val="0"/>
          <w:divBdr>
            <w:top w:val="none" w:sz="0" w:space="0" w:color="auto"/>
            <w:left w:val="none" w:sz="0" w:space="0" w:color="auto"/>
            <w:bottom w:val="none" w:sz="0" w:space="0" w:color="auto"/>
            <w:right w:val="none" w:sz="0" w:space="0" w:color="auto"/>
          </w:divBdr>
          <w:divsChild>
            <w:div w:id="377706048">
              <w:marLeft w:val="0"/>
              <w:marRight w:val="0"/>
              <w:marTop w:val="0"/>
              <w:marBottom w:val="0"/>
              <w:divBdr>
                <w:top w:val="none" w:sz="0" w:space="0" w:color="auto"/>
                <w:left w:val="none" w:sz="0" w:space="0" w:color="auto"/>
                <w:bottom w:val="none" w:sz="0" w:space="0" w:color="auto"/>
                <w:right w:val="none" w:sz="0" w:space="0" w:color="auto"/>
              </w:divBdr>
            </w:div>
          </w:divsChild>
        </w:div>
        <w:div w:id="162278093">
          <w:marLeft w:val="0"/>
          <w:marRight w:val="0"/>
          <w:marTop w:val="0"/>
          <w:marBottom w:val="0"/>
          <w:divBdr>
            <w:top w:val="none" w:sz="0" w:space="0" w:color="auto"/>
            <w:left w:val="none" w:sz="0" w:space="0" w:color="auto"/>
            <w:bottom w:val="none" w:sz="0" w:space="0" w:color="auto"/>
            <w:right w:val="none" w:sz="0" w:space="0" w:color="auto"/>
          </w:divBdr>
          <w:divsChild>
            <w:div w:id="1838643065">
              <w:marLeft w:val="0"/>
              <w:marRight w:val="0"/>
              <w:marTop w:val="0"/>
              <w:marBottom w:val="0"/>
              <w:divBdr>
                <w:top w:val="none" w:sz="0" w:space="0" w:color="auto"/>
                <w:left w:val="none" w:sz="0" w:space="0" w:color="auto"/>
                <w:bottom w:val="none" w:sz="0" w:space="0" w:color="auto"/>
                <w:right w:val="none" w:sz="0" w:space="0" w:color="auto"/>
              </w:divBdr>
            </w:div>
          </w:divsChild>
        </w:div>
        <w:div w:id="163324974">
          <w:marLeft w:val="0"/>
          <w:marRight w:val="0"/>
          <w:marTop w:val="0"/>
          <w:marBottom w:val="0"/>
          <w:divBdr>
            <w:top w:val="none" w:sz="0" w:space="0" w:color="auto"/>
            <w:left w:val="none" w:sz="0" w:space="0" w:color="auto"/>
            <w:bottom w:val="none" w:sz="0" w:space="0" w:color="auto"/>
            <w:right w:val="none" w:sz="0" w:space="0" w:color="auto"/>
          </w:divBdr>
          <w:divsChild>
            <w:div w:id="1584997729">
              <w:marLeft w:val="0"/>
              <w:marRight w:val="0"/>
              <w:marTop w:val="0"/>
              <w:marBottom w:val="0"/>
              <w:divBdr>
                <w:top w:val="none" w:sz="0" w:space="0" w:color="auto"/>
                <w:left w:val="none" w:sz="0" w:space="0" w:color="auto"/>
                <w:bottom w:val="none" w:sz="0" w:space="0" w:color="auto"/>
                <w:right w:val="none" w:sz="0" w:space="0" w:color="auto"/>
              </w:divBdr>
            </w:div>
          </w:divsChild>
        </w:div>
        <w:div w:id="357388571">
          <w:marLeft w:val="0"/>
          <w:marRight w:val="0"/>
          <w:marTop w:val="0"/>
          <w:marBottom w:val="0"/>
          <w:divBdr>
            <w:top w:val="none" w:sz="0" w:space="0" w:color="auto"/>
            <w:left w:val="none" w:sz="0" w:space="0" w:color="auto"/>
            <w:bottom w:val="none" w:sz="0" w:space="0" w:color="auto"/>
            <w:right w:val="none" w:sz="0" w:space="0" w:color="auto"/>
          </w:divBdr>
          <w:divsChild>
            <w:div w:id="1550143404">
              <w:marLeft w:val="0"/>
              <w:marRight w:val="0"/>
              <w:marTop w:val="0"/>
              <w:marBottom w:val="0"/>
              <w:divBdr>
                <w:top w:val="none" w:sz="0" w:space="0" w:color="auto"/>
                <w:left w:val="none" w:sz="0" w:space="0" w:color="auto"/>
                <w:bottom w:val="none" w:sz="0" w:space="0" w:color="auto"/>
                <w:right w:val="none" w:sz="0" w:space="0" w:color="auto"/>
              </w:divBdr>
            </w:div>
          </w:divsChild>
        </w:div>
        <w:div w:id="466163075">
          <w:marLeft w:val="0"/>
          <w:marRight w:val="0"/>
          <w:marTop w:val="0"/>
          <w:marBottom w:val="0"/>
          <w:divBdr>
            <w:top w:val="none" w:sz="0" w:space="0" w:color="auto"/>
            <w:left w:val="none" w:sz="0" w:space="0" w:color="auto"/>
            <w:bottom w:val="none" w:sz="0" w:space="0" w:color="auto"/>
            <w:right w:val="none" w:sz="0" w:space="0" w:color="auto"/>
          </w:divBdr>
          <w:divsChild>
            <w:div w:id="728307054">
              <w:marLeft w:val="0"/>
              <w:marRight w:val="0"/>
              <w:marTop w:val="0"/>
              <w:marBottom w:val="0"/>
              <w:divBdr>
                <w:top w:val="none" w:sz="0" w:space="0" w:color="auto"/>
                <w:left w:val="none" w:sz="0" w:space="0" w:color="auto"/>
                <w:bottom w:val="none" w:sz="0" w:space="0" w:color="auto"/>
                <w:right w:val="none" w:sz="0" w:space="0" w:color="auto"/>
              </w:divBdr>
            </w:div>
          </w:divsChild>
        </w:div>
        <w:div w:id="642929679">
          <w:marLeft w:val="0"/>
          <w:marRight w:val="0"/>
          <w:marTop w:val="0"/>
          <w:marBottom w:val="0"/>
          <w:divBdr>
            <w:top w:val="none" w:sz="0" w:space="0" w:color="auto"/>
            <w:left w:val="none" w:sz="0" w:space="0" w:color="auto"/>
            <w:bottom w:val="none" w:sz="0" w:space="0" w:color="auto"/>
            <w:right w:val="none" w:sz="0" w:space="0" w:color="auto"/>
          </w:divBdr>
          <w:divsChild>
            <w:div w:id="2079478897">
              <w:marLeft w:val="0"/>
              <w:marRight w:val="0"/>
              <w:marTop w:val="0"/>
              <w:marBottom w:val="0"/>
              <w:divBdr>
                <w:top w:val="none" w:sz="0" w:space="0" w:color="auto"/>
                <w:left w:val="none" w:sz="0" w:space="0" w:color="auto"/>
                <w:bottom w:val="none" w:sz="0" w:space="0" w:color="auto"/>
                <w:right w:val="none" w:sz="0" w:space="0" w:color="auto"/>
              </w:divBdr>
            </w:div>
          </w:divsChild>
        </w:div>
        <w:div w:id="738475841">
          <w:marLeft w:val="0"/>
          <w:marRight w:val="0"/>
          <w:marTop w:val="0"/>
          <w:marBottom w:val="0"/>
          <w:divBdr>
            <w:top w:val="none" w:sz="0" w:space="0" w:color="auto"/>
            <w:left w:val="none" w:sz="0" w:space="0" w:color="auto"/>
            <w:bottom w:val="none" w:sz="0" w:space="0" w:color="auto"/>
            <w:right w:val="none" w:sz="0" w:space="0" w:color="auto"/>
          </w:divBdr>
          <w:divsChild>
            <w:div w:id="342054569">
              <w:marLeft w:val="0"/>
              <w:marRight w:val="0"/>
              <w:marTop w:val="0"/>
              <w:marBottom w:val="0"/>
              <w:divBdr>
                <w:top w:val="none" w:sz="0" w:space="0" w:color="auto"/>
                <w:left w:val="none" w:sz="0" w:space="0" w:color="auto"/>
                <w:bottom w:val="none" w:sz="0" w:space="0" w:color="auto"/>
                <w:right w:val="none" w:sz="0" w:space="0" w:color="auto"/>
              </w:divBdr>
            </w:div>
          </w:divsChild>
        </w:div>
        <w:div w:id="808403575">
          <w:marLeft w:val="0"/>
          <w:marRight w:val="0"/>
          <w:marTop w:val="0"/>
          <w:marBottom w:val="0"/>
          <w:divBdr>
            <w:top w:val="none" w:sz="0" w:space="0" w:color="auto"/>
            <w:left w:val="none" w:sz="0" w:space="0" w:color="auto"/>
            <w:bottom w:val="none" w:sz="0" w:space="0" w:color="auto"/>
            <w:right w:val="none" w:sz="0" w:space="0" w:color="auto"/>
          </w:divBdr>
          <w:divsChild>
            <w:div w:id="1764182509">
              <w:marLeft w:val="0"/>
              <w:marRight w:val="0"/>
              <w:marTop w:val="0"/>
              <w:marBottom w:val="0"/>
              <w:divBdr>
                <w:top w:val="none" w:sz="0" w:space="0" w:color="auto"/>
                <w:left w:val="none" w:sz="0" w:space="0" w:color="auto"/>
                <w:bottom w:val="none" w:sz="0" w:space="0" w:color="auto"/>
                <w:right w:val="none" w:sz="0" w:space="0" w:color="auto"/>
              </w:divBdr>
            </w:div>
          </w:divsChild>
        </w:div>
        <w:div w:id="901252878">
          <w:marLeft w:val="0"/>
          <w:marRight w:val="0"/>
          <w:marTop w:val="0"/>
          <w:marBottom w:val="0"/>
          <w:divBdr>
            <w:top w:val="none" w:sz="0" w:space="0" w:color="auto"/>
            <w:left w:val="none" w:sz="0" w:space="0" w:color="auto"/>
            <w:bottom w:val="none" w:sz="0" w:space="0" w:color="auto"/>
            <w:right w:val="none" w:sz="0" w:space="0" w:color="auto"/>
          </w:divBdr>
          <w:divsChild>
            <w:div w:id="1477334510">
              <w:marLeft w:val="0"/>
              <w:marRight w:val="0"/>
              <w:marTop w:val="0"/>
              <w:marBottom w:val="0"/>
              <w:divBdr>
                <w:top w:val="none" w:sz="0" w:space="0" w:color="auto"/>
                <w:left w:val="none" w:sz="0" w:space="0" w:color="auto"/>
                <w:bottom w:val="none" w:sz="0" w:space="0" w:color="auto"/>
                <w:right w:val="none" w:sz="0" w:space="0" w:color="auto"/>
              </w:divBdr>
            </w:div>
          </w:divsChild>
        </w:div>
        <w:div w:id="964235683">
          <w:marLeft w:val="0"/>
          <w:marRight w:val="0"/>
          <w:marTop w:val="0"/>
          <w:marBottom w:val="0"/>
          <w:divBdr>
            <w:top w:val="none" w:sz="0" w:space="0" w:color="auto"/>
            <w:left w:val="none" w:sz="0" w:space="0" w:color="auto"/>
            <w:bottom w:val="none" w:sz="0" w:space="0" w:color="auto"/>
            <w:right w:val="none" w:sz="0" w:space="0" w:color="auto"/>
          </w:divBdr>
          <w:divsChild>
            <w:div w:id="1993097455">
              <w:marLeft w:val="0"/>
              <w:marRight w:val="0"/>
              <w:marTop w:val="0"/>
              <w:marBottom w:val="0"/>
              <w:divBdr>
                <w:top w:val="none" w:sz="0" w:space="0" w:color="auto"/>
                <w:left w:val="none" w:sz="0" w:space="0" w:color="auto"/>
                <w:bottom w:val="none" w:sz="0" w:space="0" w:color="auto"/>
                <w:right w:val="none" w:sz="0" w:space="0" w:color="auto"/>
              </w:divBdr>
            </w:div>
          </w:divsChild>
        </w:div>
        <w:div w:id="1077946493">
          <w:marLeft w:val="0"/>
          <w:marRight w:val="0"/>
          <w:marTop w:val="0"/>
          <w:marBottom w:val="0"/>
          <w:divBdr>
            <w:top w:val="none" w:sz="0" w:space="0" w:color="auto"/>
            <w:left w:val="none" w:sz="0" w:space="0" w:color="auto"/>
            <w:bottom w:val="none" w:sz="0" w:space="0" w:color="auto"/>
            <w:right w:val="none" w:sz="0" w:space="0" w:color="auto"/>
          </w:divBdr>
          <w:divsChild>
            <w:div w:id="893735900">
              <w:marLeft w:val="0"/>
              <w:marRight w:val="0"/>
              <w:marTop w:val="0"/>
              <w:marBottom w:val="0"/>
              <w:divBdr>
                <w:top w:val="none" w:sz="0" w:space="0" w:color="auto"/>
                <w:left w:val="none" w:sz="0" w:space="0" w:color="auto"/>
                <w:bottom w:val="none" w:sz="0" w:space="0" w:color="auto"/>
                <w:right w:val="none" w:sz="0" w:space="0" w:color="auto"/>
              </w:divBdr>
            </w:div>
          </w:divsChild>
        </w:div>
        <w:div w:id="1118765946">
          <w:marLeft w:val="0"/>
          <w:marRight w:val="0"/>
          <w:marTop w:val="0"/>
          <w:marBottom w:val="0"/>
          <w:divBdr>
            <w:top w:val="none" w:sz="0" w:space="0" w:color="auto"/>
            <w:left w:val="none" w:sz="0" w:space="0" w:color="auto"/>
            <w:bottom w:val="none" w:sz="0" w:space="0" w:color="auto"/>
            <w:right w:val="none" w:sz="0" w:space="0" w:color="auto"/>
          </w:divBdr>
          <w:divsChild>
            <w:div w:id="2052071675">
              <w:marLeft w:val="0"/>
              <w:marRight w:val="0"/>
              <w:marTop w:val="0"/>
              <w:marBottom w:val="0"/>
              <w:divBdr>
                <w:top w:val="none" w:sz="0" w:space="0" w:color="auto"/>
                <w:left w:val="none" w:sz="0" w:space="0" w:color="auto"/>
                <w:bottom w:val="none" w:sz="0" w:space="0" w:color="auto"/>
                <w:right w:val="none" w:sz="0" w:space="0" w:color="auto"/>
              </w:divBdr>
            </w:div>
          </w:divsChild>
        </w:div>
        <w:div w:id="1148978606">
          <w:marLeft w:val="0"/>
          <w:marRight w:val="0"/>
          <w:marTop w:val="0"/>
          <w:marBottom w:val="0"/>
          <w:divBdr>
            <w:top w:val="none" w:sz="0" w:space="0" w:color="auto"/>
            <w:left w:val="none" w:sz="0" w:space="0" w:color="auto"/>
            <w:bottom w:val="none" w:sz="0" w:space="0" w:color="auto"/>
            <w:right w:val="none" w:sz="0" w:space="0" w:color="auto"/>
          </w:divBdr>
          <w:divsChild>
            <w:div w:id="439489836">
              <w:marLeft w:val="0"/>
              <w:marRight w:val="0"/>
              <w:marTop w:val="0"/>
              <w:marBottom w:val="0"/>
              <w:divBdr>
                <w:top w:val="none" w:sz="0" w:space="0" w:color="auto"/>
                <w:left w:val="none" w:sz="0" w:space="0" w:color="auto"/>
                <w:bottom w:val="none" w:sz="0" w:space="0" w:color="auto"/>
                <w:right w:val="none" w:sz="0" w:space="0" w:color="auto"/>
              </w:divBdr>
            </w:div>
          </w:divsChild>
        </w:div>
        <w:div w:id="1480464659">
          <w:marLeft w:val="0"/>
          <w:marRight w:val="0"/>
          <w:marTop w:val="0"/>
          <w:marBottom w:val="0"/>
          <w:divBdr>
            <w:top w:val="none" w:sz="0" w:space="0" w:color="auto"/>
            <w:left w:val="none" w:sz="0" w:space="0" w:color="auto"/>
            <w:bottom w:val="none" w:sz="0" w:space="0" w:color="auto"/>
            <w:right w:val="none" w:sz="0" w:space="0" w:color="auto"/>
          </w:divBdr>
          <w:divsChild>
            <w:div w:id="353924747">
              <w:marLeft w:val="0"/>
              <w:marRight w:val="0"/>
              <w:marTop w:val="0"/>
              <w:marBottom w:val="0"/>
              <w:divBdr>
                <w:top w:val="none" w:sz="0" w:space="0" w:color="auto"/>
                <w:left w:val="none" w:sz="0" w:space="0" w:color="auto"/>
                <w:bottom w:val="none" w:sz="0" w:space="0" w:color="auto"/>
                <w:right w:val="none" w:sz="0" w:space="0" w:color="auto"/>
              </w:divBdr>
            </w:div>
          </w:divsChild>
        </w:div>
        <w:div w:id="1485703743">
          <w:marLeft w:val="0"/>
          <w:marRight w:val="0"/>
          <w:marTop w:val="0"/>
          <w:marBottom w:val="0"/>
          <w:divBdr>
            <w:top w:val="none" w:sz="0" w:space="0" w:color="auto"/>
            <w:left w:val="none" w:sz="0" w:space="0" w:color="auto"/>
            <w:bottom w:val="none" w:sz="0" w:space="0" w:color="auto"/>
            <w:right w:val="none" w:sz="0" w:space="0" w:color="auto"/>
          </w:divBdr>
          <w:divsChild>
            <w:div w:id="684600452">
              <w:marLeft w:val="0"/>
              <w:marRight w:val="0"/>
              <w:marTop w:val="0"/>
              <w:marBottom w:val="0"/>
              <w:divBdr>
                <w:top w:val="none" w:sz="0" w:space="0" w:color="auto"/>
                <w:left w:val="none" w:sz="0" w:space="0" w:color="auto"/>
                <w:bottom w:val="none" w:sz="0" w:space="0" w:color="auto"/>
                <w:right w:val="none" w:sz="0" w:space="0" w:color="auto"/>
              </w:divBdr>
            </w:div>
          </w:divsChild>
        </w:div>
        <w:div w:id="1727878114">
          <w:marLeft w:val="0"/>
          <w:marRight w:val="0"/>
          <w:marTop w:val="0"/>
          <w:marBottom w:val="0"/>
          <w:divBdr>
            <w:top w:val="none" w:sz="0" w:space="0" w:color="auto"/>
            <w:left w:val="none" w:sz="0" w:space="0" w:color="auto"/>
            <w:bottom w:val="none" w:sz="0" w:space="0" w:color="auto"/>
            <w:right w:val="none" w:sz="0" w:space="0" w:color="auto"/>
          </w:divBdr>
          <w:divsChild>
            <w:div w:id="1334604817">
              <w:marLeft w:val="0"/>
              <w:marRight w:val="0"/>
              <w:marTop w:val="0"/>
              <w:marBottom w:val="0"/>
              <w:divBdr>
                <w:top w:val="none" w:sz="0" w:space="0" w:color="auto"/>
                <w:left w:val="none" w:sz="0" w:space="0" w:color="auto"/>
                <w:bottom w:val="none" w:sz="0" w:space="0" w:color="auto"/>
                <w:right w:val="none" w:sz="0" w:space="0" w:color="auto"/>
              </w:divBdr>
            </w:div>
          </w:divsChild>
        </w:div>
        <w:div w:id="1785079831">
          <w:marLeft w:val="0"/>
          <w:marRight w:val="0"/>
          <w:marTop w:val="0"/>
          <w:marBottom w:val="0"/>
          <w:divBdr>
            <w:top w:val="none" w:sz="0" w:space="0" w:color="auto"/>
            <w:left w:val="none" w:sz="0" w:space="0" w:color="auto"/>
            <w:bottom w:val="none" w:sz="0" w:space="0" w:color="auto"/>
            <w:right w:val="none" w:sz="0" w:space="0" w:color="auto"/>
          </w:divBdr>
          <w:divsChild>
            <w:div w:id="1712416371">
              <w:marLeft w:val="0"/>
              <w:marRight w:val="0"/>
              <w:marTop w:val="0"/>
              <w:marBottom w:val="0"/>
              <w:divBdr>
                <w:top w:val="none" w:sz="0" w:space="0" w:color="auto"/>
                <w:left w:val="none" w:sz="0" w:space="0" w:color="auto"/>
                <w:bottom w:val="none" w:sz="0" w:space="0" w:color="auto"/>
                <w:right w:val="none" w:sz="0" w:space="0" w:color="auto"/>
              </w:divBdr>
            </w:div>
          </w:divsChild>
        </w:div>
        <w:div w:id="1868060473">
          <w:marLeft w:val="0"/>
          <w:marRight w:val="0"/>
          <w:marTop w:val="0"/>
          <w:marBottom w:val="0"/>
          <w:divBdr>
            <w:top w:val="none" w:sz="0" w:space="0" w:color="auto"/>
            <w:left w:val="none" w:sz="0" w:space="0" w:color="auto"/>
            <w:bottom w:val="none" w:sz="0" w:space="0" w:color="auto"/>
            <w:right w:val="none" w:sz="0" w:space="0" w:color="auto"/>
          </w:divBdr>
          <w:divsChild>
            <w:div w:id="1119185907">
              <w:marLeft w:val="0"/>
              <w:marRight w:val="0"/>
              <w:marTop w:val="0"/>
              <w:marBottom w:val="0"/>
              <w:divBdr>
                <w:top w:val="none" w:sz="0" w:space="0" w:color="auto"/>
                <w:left w:val="none" w:sz="0" w:space="0" w:color="auto"/>
                <w:bottom w:val="none" w:sz="0" w:space="0" w:color="auto"/>
                <w:right w:val="none" w:sz="0" w:space="0" w:color="auto"/>
              </w:divBdr>
            </w:div>
          </w:divsChild>
        </w:div>
        <w:div w:id="1905599908">
          <w:marLeft w:val="0"/>
          <w:marRight w:val="0"/>
          <w:marTop w:val="0"/>
          <w:marBottom w:val="0"/>
          <w:divBdr>
            <w:top w:val="none" w:sz="0" w:space="0" w:color="auto"/>
            <w:left w:val="none" w:sz="0" w:space="0" w:color="auto"/>
            <w:bottom w:val="none" w:sz="0" w:space="0" w:color="auto"/>
            <w:right w:val="none" w:sz="0" w:space="0" w:color="auto"/>
          </w:divBdr>
          <w:divsChild>
            <w:div w:id="1077940648">
              <w:marLeft w:val="0"/>
              <w:marRight w:val="0"/>
              <w:marTop w:val="0"/>
              <w:marBottom w:val="0"/>
              <w:divBdr>
                <w:top w:val="none" w:sz="0" w:space="0" w:color="auto"/>
                <w:left w:val="none" w:sz="0" w:space="0" w:color="auto"/>
                <w:bottom w:val="none" w:sz="0" w:space="0" w:color="auto"/>
                <w:right w:val="none" w:sz="0" w:space="0" w:color="auto"/>
              </w:divBdr>
            </w:div>
          </w:divsChild>
        </w:div>
        <w:div w:id="1992638717">
          <w:marLeft w:val="0"/>
          <w:marRight w:val="0"/>
          <w:marTop w:val="0"/>
          <w:marBottom w:val="0"/>
          <w:divBdr>
            <w:top w:val="none" w:sz="0" w:space="0" w:color="auto"/>
            <w:left w:val="none" w:sz="0" w:space="0" w:color="auto"/>
            <w:bottom w:val="none" w:sz="0" w:space="0" w:color="auto"/>
            <w:right w:val="none" w:sz="0" w:space="0" w:color="auto"/>
          </w:divBdr>
          <w:divsChild>
            <w:div w:id="722101325">
              <w:marLeft w:val="0"/>
              <w:marRight w:val="0"/>
              <w:marTop w:val="0"/>
              <w:marBottom w:val="0"/>
              <w:divBdr>
                <w:top w:val="none" w:sz="0" w:space="0" w:color="auto"/>
                <w:left w:val="none" w:sz="0" w:space="0" w:color="auto"/>
                <w:bottom w:val="none" w:sz="0" w:space="0" w:color="auto"/>
                <w:right w:val="none" w:sz="0" w:space="0" w:color="auto"/>
              </w:divBdr>
            </w:div>
          </w:divsChild>
        </w:div>
        <w:div w:id="2016304507">
          <w:marLeft w:val="0"/>
          <w:marRight w:val="0"/>
          <w:marTop w:val="0"/>
          <w:marBottom w:val="0"/>
          <w:divBdr>
            <w:top w:val="none" w:sz="0" w:space="0" w:color="auto"/>
            <w:left w:val="none" w:sz="0" w:space="0" w:color="auto"/>
            <w:bottom w:val="none" w:sz="0" w:space="0" w:color="auto"/>
            <w:right w:val="none" w:sz="0" w:space="0" w:color="auto"/>
          </w:divBdr>
          <w:divsChild>
            <w:div w:id="3454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28403">
      <w:bodyDiv w:val="1"/>
      <w:marLeft w:val="0"/>
      <w:marRight w:val="0"/>
      <w:marTop w:val="0"/>
      <w:marBottom w:val="0"/>
      <w:divBdr>
        <w:top w:val="none" w:sz="0" w:space="0" w:color="auto"/>
        <w:left w:val="none" w:sz="0" w:space="0" w:color="auto"/>
        <w:bottom w:val="none" w:sz="0" w:space="0" w:color="auto"/>
        <w:right w:val="none" w:sz="0" w:space="0" w:color="auto"/>
      </w:divBdr>
    </w:div>
    <w:div w:id="382951665">
      <w:bodyDiv w:val="1"/>
      <w:marLeft w:val="0"/>
      <w:marRight w:val="0"/>
      <w:marTop w:val="0"/>
      <w:marBottom w:val="0"/>
      <w:divBdr>
        <w:top w:val="none" w:sz="0" w:space="0" w:color="auto"/>
        <w:left w:val="none" w:sz="0" w:space="0" w:color="auto"/>
        <w:bottom w:val="none" w:sz="0" w:space="0" w:color="auto"/>
        <w:right w:val="none" w:sz="0" w:space="0" w:color="auto"/>
      </w:divBdr>
      <w:divsChild>
        <w:div w:id="9186378">
          <w:marLeft w:val="0"/>
          <w:marRight w:val="0"/>
          <w:marTop w:val="0"/>
          <w:marBottom w:val="0"/>
          <w:divBdr>
            <w:top w:val="none" w:sz="0" w:space="0" w:color="auto"/>
            <w:left w:val="none" w:sz="0" w:space="0" w:color="auto"/>
            <w:bottom w:val="none" w:sz="0" w:space="0" w:color="auto"/>
            <w:right w:val="none" w:sz="0" w:space="0" w:color="auto"/>
          </w:divBdr>
          <w:divsChild>
            <w:div w:id="487329770">
              <w:marLeft w:val="0"/>
              <w:marRight w:val="0"/>
              <w:marTop w:val="0"/>
              <w:marBottom w:val="0"/>
              <w:divBdr>
                <w:top w:val="none" w:sz="0" w:space="0" w:color="auto"/>
                <w:left w:val="none" w:sz="0" w:space="0" w:color="auto"/>
                <w:bottom w:val="none" w:sz="0" w:space="0" w:color="auto"/>
                <w:right w:val="none" w:sz="0" w:space="0" w:color="auto"/>
              </w:divBdr>
            </w:div>
          </w:divsChild>
        </w:div>
        <w:div w:id="79304061">
          <w:marLeft w:val="0"/>
          <w:marRight w:val="0"/>
          <w:marTop w:val="0"/>
          <w:marBottom w:val="0"/>
          <w:divBdr>
            <w:top w:val="none" w:sz="0" w:space="0" w:color="auto"/>
            <w:left w:val="none" w:sz="0" w:space="0" w:color="auto"/>
            <w:bottom w:val="none" w:sz="0" w:space="0" w:color="auto"/>
            <w:right w:val="none" w:sz="0" w:space="0" w:color="auto"/>
          </w:divBdr>
          <w:divsChild>
            <w:div w:id="1747848456">
              <w:marLeft w:val="0"/>
              <w:marRight w:val="0"/>
              <w:marTop w:val="0"/>
              <w:marBottom w:val="0"/>
              <w:divBdr>
                <w:top w:val="none" w:sz="0" w:space="0" w:color="auto"/>
                <w:left w:val="none" w:sz="0" w:space="0" w:color="auto"/>
                <w:bottom w:val="none" w:sz="0" w:space="0" w:color="auto"/>
                <w:right w:val="none" w:sz="0" w:space="0" w:color="auto"/>
              </w:divBdr>
            </w:div>
          </w:divsChild>
        </w:div>
        <w:div w:id="258098861">
          <w:marLeft w:val="0"/>
          <w:marRight w:val="0"/>
          <w:marTop w:val="0"/>
          <w:marBottom w:val="0"/>
          <w:divBdr>
            <w:top w:val="none" w:sz="0" w:space="0" w:color="auto"/>
            <w:left w:val="none" w:sz="0" w:space="0" w:color="auto"/>
            <w:bottom w:val="none" w:sz="0" w:space="0" w:color="auto"/>
            <w:right w:val="none" w:sz="0" w:space="0" w:color="auto"/>
          </w:divBdr>
          <w:divsChild>
            <w:div w:id="85854576">
              <w:marLeft w:val="0"/>
              <w:marRight w:val="0"/>
              <w:marTop w:val="0"/>
              <w:marBottom w:val="0"/>
              <w:divBdr>
                <w:top w:val="none" w:sz="0" w:space="0" w:color="auto"/>
                <w:left w:val="none" w:sz="0" w:space="0" w:color="auto"/>
                <w:bottom w:val="none" w:sz="0" w:space="0" w:color="auto"/>
                <w:right w:val="none" w:sz="0" w:space="0" w:color="auto"/>
              </w:divBdr>
            </w:div>
          </w:divsChild>
        </w:div>
        <w:div w:id="618414557">
          <w:marLeft w:val="0"/>
          <w:marRight w:val="0"/>
          <w:marTop w:val="0"/>
          <w:marBottom w:val="0"/>
          <w:divBdr>
            <w:top w:val="none" w:sz="0" w:space="0" w:color="auto"/>
            <w:left w:val="none" w:sz="0" w:space="0" w:color="auto"/>
            <w:bottom w:val="none" w:sz="0" w:space="0" w:color="auto"/>
            <w:right w:val="none" w:sz="0" w:space="0" w:color="auto"/>
          </w:divBdr>
          <w:divsChild>
            <w:div w:id="447697530">
              <w:marLeft w:val="0"/>
              <w:marRight w:val="0"/>
              <w:marTop w:val="0"/>
              <w:marBottom w:val="0"/>
              <w:divBdr>
                <w:top w:val="none" w:sz="0" w:space="0" w:color="auto"/>
                <w:left w:val="none" w:sz="0" w:space="0" w:color="auto"/>
                <w:bottom w:val="none" w:sz="0" w:space="0" w:color="auto"/>
                <w:right w:val="none" w:sz="0" w:space="0" w:color="auto"/>
              </w:divBdr>
            </w:div>
          </w:divsChild>
        </w:div>
        <w:div w:id="765921880">
          <w:marLeft w:val="0"/>
          <w:marRight w:val="0"/>
          <w:marTop w:val="0"/>
          <w:marBottom w:val="0"/>
          <w:divBdr>
            <w:top w:val="none" w:sz="0" w:space="0" w:color="auto"/>
            <w:left w:val="none" w:sz="0" w:space="0" w:color="auto"/>
            <w:bottom w:val="none" w:sz="0" w:space="0" w:color="auto"/>
            <w:right w:val="none" w:sz="0" w:space="0" w:color="auto"/>
          </w:divBdr>
          <w:divsChild>
            <w:div w:id="995691535">
              <w:marLeft w:val="0"/>
              <w:marRight w:val="0"/>
              <w:marTop w:val="0"/>
              <w:marBottom w:val="0"/>
              <w:divBdr>
                <w:top w:val="none" w:sz="0" w:space="0" w:color="auto"/>
                <w:left w:val="none" w:sz="0" w:space="0" w:color="auto"/>
                <w:bottom w:val="none" w:sz="0" w:space="0" w:color="auto"/>
                <w:right w:val="none" w:sz="0" w:space="0" w:color="auto"/>
              </w:divBdr>
            </w:div>
          </w:divsChild>
        </w:div>
        <w:div w:id="860627075">
          <w:marLeft w:val="0"/>
          <w:marRight w:val="0"/>
          <w:marTop w:val="0"/>
          <w:marBottom w:val="0"/>
          <w:divBdr>
            <w:top w:val="none" w:sz="0" w:space="0" w:color="auto"/>
            <w:left w:val="none" w:sz="0" w:space="0" w:color="auto"/>
            <w:bottom w:val="none" w:sz="0" w:space="0" w:color="auto"/>
            <w:right w:val="none" w:sz="0" w:space="0" w:color="auto"/>
          </w:divBdr>
          <w:divsChild>
            <w:div w:id="1349870470">
              <w:marLeft w:val="0"/>
              <w:marRight w:val="0"/>
              <w:marTop w:val="0"/>
              <w:marBottom w:val="0"/>
              <w:divBdr>
                <w:top w:val="none" w:sz="0" w:space="0" w:color="auto"/>
                <w:left w:val="none" w:sz="0" w:space="0" w:color="auto"/>
                <w:bottom w:val="none" w:sz="0" w:space="0" w:color="auto"/>
                <w:right w:val="none" w:sz="0" w:space="0" w:color="auto"/>
              </w:divBdr>
            </w:div>
          </w:divsChild>
        </w:div>
        <w:div w:id="963269238">
          <w:marLeft w:val="0"/>
          <w:marRight w:val="0"/>
          <w:marTop w:val="0"/>
          <w:marBottom w:val="0"/>
          <w:divBdr>
            <w:top w:val="none" w:sz="0" w:space="0" w:color="auto"/>
            <w:left w:val="none" w:sz="0" w:space="0" w:color="auto"/>
            <w:bottom w:val="none" w:sz="0" w:space="0" w:color="auto"/>
            <w:right w:val="none" w:sz="0" w:space="0" w:color="auto"/>
          </w:divBdr>
          <w:divsChild>
            <w:div w:id="1287930643">
              <w:marLeft w:val="0"/>
              <w:marRight w:val="0"/>
              <w:marTop w:val="0"/>
              <w:marBottom w:val="0"/>
              <w:divBdr>
                <w:top w:val="none" w:sz="0" w:space="0" w:color="auto"/>
                <w:left w:val="none" w:sz="0" w:space="0" w:color="auto"/>
                <w:bottom w:val="none" w:sz="0" w:space="0" w:color="auto"/>
                <w:right w:val="none" w:sz="0" w:space="0" w:color="auto"/>
              </w:divBdr>
            </w:div>
          </w:divsChild>
        </w:div>
        <w:div w:id="990791588">
          <w:marLeft w:val="0"/>
          <w:marRight w:val="0"/>
          <w:marTop w:val="0"/>
          <w:marBottom w:val="0"/>
          <w:divBdr>
            <w:top w:val="none" w:sz="0" w:space="0" w:color="auto"/>
            <w:left w:val="none" w:sz="0" w:space="0" w:color="auto"/>
            <w:bottom w:val="none" w:sz="0" w:space="0" w:color="auto"/>
            <w:right w:val="none" w:sz="0" w:space="0" w:color="auto"/>
          </w:divBdr>
          <w:divsChild>
            <w:div w:id="1552226754">
              <w:marLeft w:val="0"/>
              <w:marRight w:val="0"/>
              <w:marTop w:val="0"/>
              <w:marBottom w:val="0"/>
              <w:divBdr>
                <w:top w:val="none" w:sz="0" w:space="0" w:color="auto"/>
                <w:left w:val="none" w:sz="0" w:space="0" w:color="auto"/>
                <w:bottom w:val="none" w:sz="0" w:space="0" w:color="auto"/>
                <w:right w:val="none" w:sz="0" w:space="0" w:color="auto"/>
              </w:divBdr>
            </w:div>
          </w:divsChild>
        </w:div>
        <w:div w:id="1033191108">
          <w:marLeft w:val="0"/>
          <w:marRight w:val="0"/>
          <w:marTop w:val="0"/>
          <w:marBottom w:val="0"/>
          <w:divBdr>
            <w:top w:val="none" w:sz="0" w:space="0" w:color="auto"/>
            <w:left w:val="none" w:sz="0" w:space="0" w:color="auto"/>
            <w:bottom w:val="none" w:sz="0" w:space="0" w:color="auto"/>
            <w:right w:val="none" w:sz="0" w:space="0" w:color="auto"/>
          </w:divBdr>
          <w:divsChild>
            <w:div w:id="674964367">
              <w:marLeft w:val="0"/>
              <w:marRight w:val="0"/>
              <w:marTop w:val="0"/>
              <w:marBottom w:val="0"/>
              <w:divBdr>
                <w:top w:val="none" w:sz="0" w:space="0" w:color="auto"/>
                <w:left w:val="none" w:sz="0" w:space="0" w:color="auto"/>
                <w:bottom w:val="none" w:sz="0" w:space="0" w:color="auto"/>
                <w:right w:val="none" w:sz="0" w:space="0" w:color="auto"/>
              </w:divBdr>
            </w:div>
          </w:divsChild>
        </w:div>
        <w:div w:id="1039666007">
          <w:marLeft w:val="0"/>
          <w:marRight w:val="0"/>
          <w:marTop w:val="0"/>
          <w:marBottom w:val="0"/>
          <w:divBdr>
            <w:top w:val="none" w:sz="0" w:space="0" w:color="auto"/>
            <w:left w:val="none" w:sz="0" w:space="0" w:color="auto"/>
            <w:bottom w:val="none" w:sz="0" w:space="0" w:color="auto"/>
            <w:right w:val="none" w:sz="0" w:space="0" w:color="auto"/>
          </w:divBdr>
          <w:divsChild>
            <w:div w:id="1612938087">
              <w:marLeft w:val="0"/>
              <w:marRight w:val="0"/>
              <w:marTop w:val="0"/>
              <w:marBottom w:val="0"/>
              <w:divBdr>
                <w:top w:val="none" w:sz="0" w:space="0" w:color="auto"/>
                <w:left w:val="none" w:sz="0" w:space="0" w:color="auto"/>
                <w:bottom w:val="none" w:sz="0" w:space="0" w:color="auto"/>
                <w:right w:val="none" w:sz="0" w:space="0" w:color="auto"/>
              </w:divBdr>
            </w:div>
          </w:divsChild>
        </w:div>
        <w:div w:id="1065180868">
          <w:marLeft w:val="0"/>
          <w:marRight w:val="0"/>
          <w:marTop w:val="0"/>
          <w:marBottom w:val="0"/>
          <w:divBdr>
            <w:top w:val="none" w:sz="0" w:space="0" w:color="auto"/>
            <w:left w:val="none" w:sz="0" w:space="0" w:color="auto"/>
            <w:bottom w:val="none" w:sz="0" w:space="0" w:color="auto"/>
            <w:right w:val="none" w:sz="0" w:space="0" w:color="auto"/>
          </w:divBdr>
          <w:divsChild>
            <w:div w:id="1475636070">
              <w:marLeft w:val="0"/>
              <w:marRight w:val="0"/>
              <w:marTop w:val="0"/>
              <w:marBottom w:val="0"/>
              <w:divBdr>
                <w:top w:val="none" w:sz="0" w:space="0" w:color="auto"/>
                <w:left w:val="none" w:sz="0" w:space="0" w:color="auto"/>
                <w:bottom w:val="none" w:sz="0" w:space="0" w:color="auto"/>
                <w:right w:val="none" w:sz="0" w:space="0" w:color="auto"/>
              </w:divBdr>
            </w:div>
          </w:divsChild>
        </w:div>
        <w:div w:id="1202474155">
          <w:marLeft w:val="0"/>
          <w:marRight w:val="0"/>
          <w:marTop w:val="0"/>
          <w:marBottom w:val="0"/>
          <w:divBdr>
            <w:top w:val="none" w:sz="0" w:space="0" w:color="auto"/>
            <w:left w:val="none" w:sz="0" w:space="0" w:color="auto"/>
            <w:bottom w:val="none" w:sz="0" w:space="0" w:color="auto"/>
            <w:right w:val="none" w:sz="0" w:space="0" w:color="auto"/>
          </w:divBdr>
          <w:divsChild>
            <w:div w:id="348024815">
              <w:marLeft w:val="0"/>
              <w:marRight w:val="0"/>
              <w:marTop w:val="0"/>
              <w:marBottom w:val="0"/>
              <w:divBdr>
                <w:top w:val="none" w:sz="0" w:space="0" w:color="auto"/>
                <w:left w:val="none" w:sz="0" w:space="0" w:color="auto"/>
                <w:bottom w:val="none" w:sz="0" w:space="0" w:color="auto"/>
                <w:right w:val="none" w:sz="0" w:space="0" w:color="auto"/>
              </w:divBdr>
            </w:div>
          </w:divsChild>
        </w:div>
        <w:div w:id="1219393630">
          <w:marLeft w:val="0"/>
          <w:marRight w:val="0"/>
          <w:marTop w:val="0"/>
          <w:marBottom w:val="0"/>
          <w:divBdr>
            <w:top w:val="none" w:sz="0" w:space="0" w:color="auto"/>
            <w:left w:val="none" w:sz="0" w:space="0" w:color="auto"/>
            <w:bottom w:val="none" w:sz="0" w:space="0" w:color="auto"/>
            <w:right w:val="none" w:sz="0" w:space="0" w:color="auto"/>
          </w:divBdr>
          <w:divsChild>
            <w:div w:id="1944681579">
              <w:marLeft w:val="0"/>
              <w:marRight w:val="0"/>
              <w:marTop w:val="0"/>
              <w:marBottom w:val="0"/>
              <w:divBdr>
                <w:top w:val="none" w:sz="0" w:space="0" w:color="auto"/>
                <w:left w:val="none" w:sz="0" w:space="0" w:color="auto"/>
                <w:bottom w:val="none" w:sz="0" w:space="0" w:color="auto"/>
                <w:right w:val="none" w:sz="0" w:space="0" w:color="auto"/>
              </w:divBdr>
            </w:div>
          </w:divsChild>
        </w:div>
        <w:div w:id="1258098796">
          <w:marLeft w:val="0"/>
          <w:marRight w:val="0"/>
          <w:marTop w:val="0"/>
          <w:marBottom w:val="0"/>
          <w:divBdr>
            <w:top w:val="none" w:sz="0" w:space="0" w:color="auto"/>
            <w:left w:val="none" w:sz="0" w:space="0" w:color="auto"/>
            <w:bottom w:val="none" w:sz="0" w:space="0" w:color="auto"/>
            <w:right w:val="none" w:sz="0" w:space="0" w:color="auto"/>
          </w:divBdr>
          <w:divsChild>
            <w:div w:id="1649213458">
              <w:marLeft w:val="0"/>
              <w:marRight w:val="0"/>
              <w:marTop w:val="0"/>
              <w:marBottom w:val="0"/>
              <w:divBdr>
                <w:top w:val="none" w:sz="0" w:space="0" w:color="auto"/>
                <w:left w:val="none" w:sz="0" w:space="0" w:color="auto"/>
                <w:bottom w:val="none" w:sz="0" w:space="0" w:color="auto"/>
                <w:right w:val="none" w:sz="0" w:space="0" w:color="auto"/>
              </w:divBdr>
            </w:div>
          </w:divsChild>
        </w:div>
        <w:div w:id="1293973321">
          <w:marLeft w:val="0"/>
          <w:marRight w:val="0"/>
          <w:marTop w:val="0"/>
          <w:marBottom w:val="0"/>
          <w:divBdr>
            <w:top w:val="none" w:sz="0" w:space="0" w:color="auto"/>
            <w:left w:val="none" w:sz="0" w:space="0" w:color="auto"/>
            <w:bottom w:val="none" w:sz="0" w:space="0" w:color="auto"/>
            <w:right w:val="none" w:sz="0" w:space="0" w:color="auto"/>
          </w:divBdr>
          <w:divsChild>
            <w:div w:id="1691640390">
              <w:marLeft w:val="0"/>
              <w:marRight w:val="0"/>
              <w:marTop w:val="0"/>
              <w:marBottom w:val="0"/>
              <w:divBdr>
                <w:top w:val="none" w:sz="0" w:space="0" w:color="auto"/>
                <w:left w:val="none" w:sz="0" w:space="0" w:color="auto"/>
                <w:bottom w:val="none" w:sz="0" w:space="0" w:color="auto"/>
                <w:right w:val="none" w:sz="0" w:space="0" w:color="auto"/>
              </w:divBdr>
            </w:div>
          </w:divsChild>
        </w:div>
        <w:div w:id="1994603420">
          <w:marLeft w:val="0"/>
          <w:marRight w:val="0"/>
          <w:marTop w:val="0"/>
          <w:marBottom w:val="0"/>
          <w:divBdr>
            <w:top w:val="none" w:sz="0" w:space="0" w:color="auto"/>
            <w:left w:val="none" w:sz="0" w:space="0" w:color="auto"/>
            <w:bottom w:val="none" w:sz="0" w:space="0" w:color="auto"/>
            <w:right w:val="none" w:sz="0" w:space="0" w:color="auto"/>
          </w:divBdr>
          <w:divsChild>
            <w:div w:id="1841500384">
              <w:marLeft w:val="0"/>
              <w:marRight w:val="0"/>
              <w:marTop w:val="0"/>
              <w:marBottom w:val="0"/>
              <w:divBdr>
                <w:top w:val="none" w:sz="0" w:space="0" w:color="auto"/>
                <w:left w:val="none" w:sz="0" w:space="0" w:color="auto"/>
                <w:bottom w:val="none" w:sz="0" w:space="0" w:color="auto"/>
                <w:right w:val="none" w:sz="0" w:space="0" w:color="auto"/>
              </w:divBdr>
            </w:div>
          </w:divsChild>
        </w:div>
        <w:div w:id="2026907662">
          <w:marLeft w:val="0"/>
          <w:marRight w:val="0"/>
          <w:marTop w:val="0"/>
          <w:marBottom w:val="0"/>
          <w:divBdr>
            <w:top w:val="none" w:sz="0" w:space="0" w:color="auto"/>
            <w:left w:val="none" w:sz="0" w:space="0" w:color="auto"/>
            <w:bottom w:val="none" w:sz="0" w:space="0" w:color="auto"/>
            <w:right w:val="none" w:sz="0" w:space="0" w:color="auto"/>
          </w:divBdr>
          <w:divsChild>
            <w:div w:id="1366757473">
              <w:marLeft w:val="0"/>
              <w:marRight w:val="0"/>
              <w:marTop w:val="0"/>
              <w:marBottom w:val="0"/>
              <w:divBdr>
                <w:top w:val="none" w:sz="0" w:space="0" w:color="auto"/>
                <w:left w:val="none" w:sz="0" w:space="0" w:color="auto"/>
                <w:bottom w:val="none" w:sz="0" w:space="0" w:color="auto"/>
                <w:right w:val="none" w:sz="0" w:space="0" w:color="auto"/>
              </w:divBdr>
            </w:div>
          </w:divsChild>
        </w:div>
        <w:div w:id="2070951996">
          <w:marLeft w:val="0"/>
          <w:marRight w:val="0"/>
          <w:marTop w:val="0"/>
          <w:marBottom w:val="0"/>
          <w:divBdr>
            <w:top w:val="none" w:sz="0" w:space="0" w:color="auto"/>
            <w:left w:val="none" w:sz="0" w:space="0" w:color="auto"/>
            <w:bottom w:val="none" w:sz="0" w:space="0" w:color="auto"/>
            <w:right w:val="none" w:sz="0" w:space="0" w:color="auto"/>
          </w:divBdr>
          <w:divsChild>
            <w:div w:id="10583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9343">
      <w:bodyDiv w:val="1"/>
      <w:marLeft w:val="0"/>
      <w:marRight w:val="0"/>
      <w:marTop w:val="0"/>
      <w:marBottom w:val="0"/>
      <w:divBdr>
        <w:top w:val="none" w:sz="0" w:space="0" w:color="auto"/>
        <w:left w:val="none" w:sz="0" w:space="0" w:color="auto"/>
        <w:bottom w:val="none" w:sz="0" w:space="0" w:color="auto"/>
        <w:right w:val="none" w:sz="0" w:space="0" w:color="auto"/>
      </w:divBdr>
    </w:div>
    <w:div w:id="396325722">
      <w:bodyDiv w:val="1"/>
      <w:marLeft w:val="0"/>
      <w:marRight w:val="0"/>
      <w:marTop w:val="0"/>
      <w:marBottom w:val="0"/>
      <w:divBdr>
        <w:top w:val="none" w:sz="0" w:space="0" w:color="auto"/>
        <w:left w:val="none" w:sz="0" w:space="0" w:color="auto"/>
        <w:bottom w:val="none" w:sz="0" w:space="0" w:color="auto"/>
        <w:right w:val="none" w:sz="0" w:space="0" w:color="auto"/>
      </w:divBdr>
    </w:div>
    <w:div w:id="411199268">
      <w:bodyDiv w:val="1"/>
      <w:marLeft w:val="0"/>
      <w:marRight w:val="0"/>
      <w:marTop w:val="0"/>
      <w:marBottom w:val="0"/>
      <w:divBdr>
        <w:top w:val="none" w:sz="0" w:space="0" w:color="auto"/>
        <w:left w:val="none" w:sz="0" w:space="0" w:color="auto"/>
        <w:bottom w:val="none" w:sz="0" w:space="0" w:color="auto"/>
        <w:right w:val="none" w:sz="0" w:space="0" w:color="auto"/>
      </w:divBdr>
    </w:div>
    <w:div w:id="446003382">
      <w:bodyDiv w:val="1"/>
      <w:marLeft w:val="0"/>
      <w:marRight w:val="0"/>
      <w:marTop w:val="0"/>
      <w:marBottom w:val="0"/>
      <w:divBdr>
        <w:top w:val="none" w:sz="0" w:space="0" w:color="auto"/>
        <w:left w:val="none" w:sz="0" w:space="0" w:color="auto"/>
        <w:bottom w:val="none" w:sz="0" w:space="0" w:color="auto"/>
        <w:right w:val="none" w:sz="0" w:space="0" w:color="auto"/>
      </w:divBdr>
    </w:div>
    <w:div w:id="463616968">
      <w:bodyDiv w:val="1"/>
      <w:marLeft w:val="0"/>
      <w:marRight w:val="0"/>
      <w:marTop w:val="0"/>
      <w:marBottom w:val="0"/>
      <w:divBdr>
        <w:top w:val="none" w:sz="0" w:space="0" w:color="auto"/>
        <w:left w:val="none" w:sz="0" w:space="0" w:color="auto"/>
        <w:bottom w:val="none" w:sz="0" w:space="0" w:color="auto"/>
        <w:right w:val="none" w:sz="0" w:space="0" w:color="auto"/>
      </w:divBdr>
      <w:divsChild>
        <w:div w:id="134421992">
          <w:marLeft w:val="0"/>
          <w:marRight w:val="0"/>
          <w:marTop w:val="0"/>
          <w:marBottom w:val="0"/>
          <w:divBdr>
            <w:top w:val="none" w:sz="0" w:space="0" w:color="auto"/>
            <w:left w:val="none" w:sz="0" w:space="0" w:color="auto"/>
            <w:bottom w:val="none" w:sz="0" w:space="0" w:color="auto"/>
            <w:right w:val="none" w:sz="0" w:space="0" w:color="auto"/>
          </w:divBdr>
          <w:divsChild>
            <w:div w:id="1427460776">
              <w:marLeft w:val="0"/>
              <w:marRight w:val="0"/>
              <w:marTop w:val="0"/>
              <w:marBottom w:val="0"/>
              <w:divBdr>
                <w:top w:val="none" w:sz="0" w:space="0" w:color="auto"/>
                <w:left w:val="none" w:sz="0" w:space="0" w:color="auto"/>
                <w:bottom w:val="none" w:sz="0" w:space="0" w:color="auto"/>
                <w:right w:val="none" w:sz="0" w:space="0" w:color="auto"/>
              </w:divBdr>
            </w:div>
          </w:divsChild>
        </w:div>
        <w:div w:id="429621219">
          <w:marLeft w:val="0"/>
          <w:marRight w:val="0"/>
          <w:marTop w:val="0"/>
          <w:marBottom w:val="0"/>
          <w:divBdr>
            <w:top w:val="none" w:sz="0" w:space="0" w:color="auto"/>
            <w:left w:val="none" w:sz="0" w:space="0" w:color="auto"/>
            <w:bottom w:val="none" w:sz="0" w:space="0" w:color="auto"/>
            <w:right w:val="none" w:sz="0" w:space="0" w:color="auto"/>
          </w:divBdr>
          <w:divsChild>
            <w:div w:id="1470243473">
              <w:marLeft w:val="0"/>
              <w:marRight w:val="0"/>
              <w:marTop w:val="0"/>
              <w:marBottom w:val="0"/>
              <w:divBdr>
                <w:top w:val="none" w:sz="0" w:space="0" w:color="auto"/>
                <w:left w:val="none" w:sz="0" w:space="0" w:color="auto"/>
                <w:bottom w:val="none" w:sz="0" w:space="0" w:color="auto"/>
                <w:right w:val="none" w:sz="0" w:space="0" w:color="auto"/>
              </w:divBdr>
            </w:div>
          </w:divsChild>
        </w:div>
        <w:div w:id="617833843">
          <w:marLeft w:val="0"/>
          <w:marRight w:val="0"/>
          <w:marTop w:val="0"/>
          <w:marBottom w:val="0"/>
          <w:divBdr>
            <w:top w:val="none" w:sz="0" w:space="0" w:color="auto"/>
            <w:left w:val="none" w:sz="0" w:space="0" w:color="auto"/>
            <w:bottom w:val="none" w:sz="0" w:space="0" w:color="auto"/>
            <w:right w:val="none" w:sz="0" w:space="0" w:color="auto"/>
          </w:divBdr>
          <w:divsChild>
            <w:div w:id="729769759">
              <w:marLeft w:val="0"/>
              <w:marRight w:val="0"/>
              <w:marTop w:val="0"/>
              <w:marBottom w:val="0"/>
              <w:divBdr>
                <w:top w:val="none" w:sz="0" w:space="0" w:color="auto"/>
                <w:left w:val="none" w:sz="0" w:space="0" w:color="auto"/>
                <w:bottom w:val="none" w:sz="0" w:space="0" w:color="auto"/>
                <w:right w:val="none" w:sz="0" w:space="0" w:color="auto"/>
              </w:divBdr>
            </w:div>
          </w:divsChild>
        </w:div>
        <w:div w:id="723603667">
          <w:marLeft w:val="0"/>
          <w:marRight w:val="0"/>
          <w:marTop w:val="0"/>
          <w:marBottom w:val="0"/>
          <w:divBdr>
            <w:top w:val="none" w:sz="0" w:space="0" w:color="auto"/>
            <w:left w:val="none" w:sz="0" w:space="0" w:color="auto"/>
            <w:bottom w:val="none" w:sz="0" w:space="0" w:color="auto"/>
            <w:right w:val="none" w:sz="0" w:space="0" w:color="auto"/>
          </w:divBdr>
          <w:divsChild>
            <w:div w:id="321468488">
              <w:marLeft w:val="0"/>
              <w:marRight w:val="0"/>
              <w:marTop w:val="0"/>
              <w:marBottom w:val="0"/>
              <w:divBdr>
                <w:top w:val="none" w:sz="0" w:space="0" w:color="auto"/>
                <w:left w:val="none" w:sz="0" w:space="0" w:color="auto"/>
                <w:bottom w:val="none" w:sz="0" w:space="0" w:color="auto"/>
                <w:right w:val="none" w:sz="0" w:space="0" w:color="auto"/>
              </w:divBdr>
            </w:div>
          </w:divsChild>
        </w:div>
        <w:div w:id="763260053">
          <w:marLeft w:val="0"/>
          <w:marRight w:val="0"/>
          <w:marTop w:val="0"/>
          <w:marBottom w:val="0"/>
          <w:divBdr>
            <w:top w:val="none" w:sz="0" w:space="0" w:color="auto"/>
            <w:left w:val="none" w:sz="0" w:space="0" w:color="auto"/>
            <w:bottom w:val="none" w:sz="0" w:space="0" w:color="auto"/>
            <w:right w:val="none" w:sz="0" w:space="0" w:color="auto"/>
          </w:divBdr>
          <w:divsChild>
            <w:div w:id="1489636904">
              <w:marLeft w:val="0"/>
              <w:marRight w:val="0"/>
              <w:marTop w:val="0"/>
              <w:marBottom w:val="0"/>
              <w:divBdr>
                <w:top w:val="none" w:sz="0" w:space="0" w:color="auto"/>
                <w:left w:val="none" w:sz="0" w:space="0" w:color="auto"/>
                <w:bottom w:val="none" w:sz="0" w:space="0" w:color="auto"/>
                <w:right w:val="none" w:sz="0" w:space="0" w:color="auto"/>
              </w:divBdr>
            </w:div>
          </w:divsChild>
        </w:div>
        <w:div w:id="794955741">
          <w:marLeft w:val="0"/>
          <w:marRight w:val="0"/>
          <w:marTop w:val="0"/>
          <w:marBottom w:val="0"/>
          <w:divBdr>
            <w:top w:val="none" w:sz="0" w:space="0" w:color="auto"/>
            <w:left w:val="none" w:sz="0" w:space="0" w:color="auto"/>
            <w:bottom w:val="none" w:sz="0" w:space="0" w:color="auto"/>
            <w:right w:val="none" w:sz="0" w:space="0" w:color="auto"/>
          </w:divBdr>
          <w:divsChild>
            <w:div w:id="318465462">
              <w:marLeft w:val="0"/>
              <w:marRight w:val="0"/>
              <w:marTop w:val="0"/>
              <w:marBottom w:val="0"/>
              <w:divBdr>
                <w:top w:val="none" w:sz="0" w:space="0" w:color="auto"/>
                <w:left w:val="none" w:sz="0" w:space="0" w:color="auto"/>
                <w:bottom w:val="none" w:sz="0" w:space="0" w:color="auto"/>
                <w:right w:val="none" w:sz="0" w:space="0" w:color="auto"/>
              </w:divBdr>
            </w:div>
          </w:divsChild>
        </w:div>
        <w:div w:id="934675421">
          <w:marLeft w:val="0"/>
          <w:marRight w:val="0"/>
          <w:marTop w:val="0"/>
          <w:marBottom w:val="0"/>
          <w:divBdr>
            <w:top w:val="none" w:sz="0" w:space="0" w:color="auto"/>
            <w:left w:val="none" w:sz="0" w:space="0" w:color="auto"/>
            <w:bottom w:val="none" w:sz="0" w:space="0" w:color="auto"/>
            <w:right w:val="none" w:sz="0" w:space="0" w:color="auto"/>
          </w:divBdr>
          <w:divsChild>
            <w:div w:id="333841977">
              <w:marLeft w:val="0"/>
              <w:marRight w:val="0"/>
              <w:marTop w:val="0"/>
              <w:marBottom w:val="0"/>
              <w:divBdr>
                <w:top w:val="none" w:sz="0" w:space="0" w:color="auto"/>
                <w:left w:val="none" w:sz="0" w:space="0" w:color="auto"/>
                <w:bottom w:val="none" w:sz="0" w:space="0" w:color="auto"/>
                <w:right w:val="none" w:sz="0" w:space="0" w:color="auto"/>
              </w:divBdr>
            </w:div>
          </w:divsChild>
        </w:div>
        <w:div w:id="1032344616">
          <w:marLeft w:val="0"/>
          <w:marRight w:val="0"/>
          <w:marTop w:val="0"/>
          <w:marBottom w:val="0"/>
          <w:divBdr>
            <w:top w:val="none" w:sz="0" w:space="0" w:color="auto"/>
            <w:left w:val="none" w:sz="0" w:space="0" w:color="auto"/>
            <w:bottom w:val="none" w:sz="0" w:space="0" w:color="auto"/>
            <w:right w:val="none" w:sz="0" w:space="0" w:color="auto"/>
          </w:divBdr>
          <w:divsChild>
            <w:div w:id="1169716387">
              <w:marLeft w:val="0"/>
              <w:marRight w:val="0"/>
              <w:marTop w:val="0"/>
              <w:marBottom w:val="0"/>
              <w:divBdr>
                <w:top w:val="none" w:sz="0" w:space="0" w:color="auto"/>
                <w:left w:val="none" w:sz="0" w:space="0" w:color="auto"/>
                <w:bottom w:val="none" w:sz="0" w:space="0" w:color="auto"/>
                <w:right w:val="none" w:sz="0" w:space="0" w:color="auto"/>
              </w:divBdr>
            </w:div>
          </w:divsChild>
        </w:div>
        <w:div w:id="1069041552">
          <w:marLeft w:val="0"/>
          <w:marRight w:val="0"/>
          <w:marTop w:val="0"/>
          <w:marBottom w:val="0"/>
          <w:divBdr>
            <w:top w:val="none" w:sz="0" w:space="0" w:color="auto"/>
            <w:left w:val="none" w:sz="0" w:space="0" w:color="auto"/>
            <w:bottom w:val="none" w:sz="0" w:space="0" w:color="auto"/>
            <w:right w:val="none" w:sz="0" w:space="0" w:color="auto"/>
          </w:divBdr>
          <w:divsChild>
            <w:div w:id="1229536762">
              <w:marLeft w:val="0"/>
              <w:marRight w:val="0"/>
              <w:marTop w:val="0"/>
              <w:marBottom w:val="0"/>
              <w:divBdr>
                <w:top w:val="none" w:sz="0" w:space="0" w:color="auto"/>
                <w:left w:val="none" w:sz="0" w:space="0" w:color="auto"/>
                <w:bottom w:val="none" w:sz="0" w:space="0" w:color="auto"/>
                <w:right w:val="none" w:sz="0" w:space="0" w:color="auto"/>
              </w:divBdr>
            </w:div>
          </w:divsChild>
        </w:div>
        <w:div w:id="1152408981">
          <w:marLeft w:val="0"/>
          <w:marRight w:val="0"/>
          <w:marTop w:val="0"/>
          <w:marBottom w:val="0"/>
          <w:divBdr>
            <w:top w:val="none" w:sz="0" w:space="0" w:color="auto"/>
            <w:left w:val="none" w:sz="0" w:space="0" w:color="auto"/>
            <w:bottom w:val="none" w:sz="0" w:space="0" w:color="auto"/>
            <w:right w:val="none" w:sz="0" w:space="0" w:color="auto"/>
          </w:divBdr>
          <w:divsChild>
            <w:div w:id="197279580">
              <w:marLeft w:val="0"/>
              <w:marRight w:val="0"/>
              <w:marTop w:val="0"/>
              <w:marBottom w:val="0"/>
              <w:divBdr>
                <w:top w:val="none" w:sz="0" w:space="0" w:color="auto"/>
                <w:left w:val="none" w:sz="0" w:space="0" w:color="auto"/>
                <w:bottom w:val="none" w:sz="0" w:space="0" w:color="auto"/>
                <w:right w:val="none" w:sz="0" w:space="0" w:color="auto"/>
              </w:divBdr>
            </w:div>
          </w:divsChild>
        </w:div>
        <w:div w:id="1160342498">
          <w:marLeft w:val="0"/>
          <w:marRight w:val="0"/>
          <w:marTop w:val="0"/>
          <w:marBottom w:val="0"/>
          <w:divBdr>
            <w:top w:val="none" w:sz="0" w:space="0" w:color="auto"/>
            <w:left w:val="none" w:sz="0" w:space="0" w:color="auto"/>
            <w:bottom w:val="none" w:sz="0" w:space="0" w:color="auto"/>
            <w:right w:val="none" w:sz="0" w:space="0" w:color="auto"/>
          </w:divBdr>
          <w:divsChild>
            <w:div w:id="309142729">
              <w:marLeft w:val="0"/>
              <w:marRight w:val="0"/>
              <w:marTop w:val="0"/>
              <w:marBottom w:val="0"/>
              <w:divBdr>
                <w:top w:val="none" w:sz="0" w:space="0" w:color="auto"/>
                <w:left w:val="none" w:sz="0" w:space="0" w:color="auto"/>
                <w:bottom w:val="none" w:sz="0" w:space="0" w:color="auto"/>
                <w:right w:val="none" w:sz="0" w:space="0" w:color="auto"/>
              </w:divBdr>
            </w:div>
          </w:divsChild>
        </w:div>
        <w:div w:id="1303075803">
          <w:marLeft w:val="0"/>
          <w:marRight w:val="0"/>
          <w:marTop w:val="0"/>
          <w:marBottom w:val="0"/>
          <w:divBdr>
            <w:top w:val="none" w:sz="0" w:space="0" w:color="auto"/>
            <w:left w:val="none" w:sz="0" w:space="0" w:color="auto"/>
            <w:bottom w:val="none" w:sz="0" w:space="0" w:color="auto"/>
            <w:right w:val="none" w:sz="0" w:space="0" w:color="auto"/>
          </w:divBdr>
          <w:divsChild>
            <w:div w:id="802580052">
              <w:marLeft w:val="0"/>
              <w:marRight w:val="0"/>
              <w:marTop w:val="0"/>
              <w:marBottom w:val="0"/>
              <w:divBdr>
                <w:top w:val="none" w:sz="0" w:space="0" w:color="auto"/>
                <w:left w:val="none" w:sz="0" w:space="0" w:color="auto"/>
                <w:bottom w:val="none" w:sz="0" w:space="0" w:color="auto"/>
                <w:right w:val="none" w:sz="0" w:space="0" w:color="auto"/>
              </w:divBdr>
            </w:div>
          </w:divsChild>
        </w:div>
        <w:div w:id="1362707803">
          <w:marLeft w:val="0"/>
          <w:marRight w:val="0"/>
          <w:marTop w:val="0"/>
          <w:marBottom w:val="0"/>
          <w:divBdr>
            <w:top w:val="none" w:sz="0" w:space="0" w:color="auto"/>
            <w:left w:val="none" w:sz="0" w:space="0" w:color="auto"/>
            <w:bottom w:val="none" w:sz="0" w:space="0" w:color="auto"/>
            <w:right w:val="none" w:sz="0" w:space="0" w:color="auto"/>
          </w:divBdr>
          <w:divsChild>
            <w:div w:id="1120296031">
              <w:marLeft w:val="0"/>
              <w:marRight w:val="0"/>
              <w:marTop w:val="0"/>
              <w:marBottom w:val="0"/>
              <w:divBdr>
                <w:top w:val="none" w:sz="0" w:space="0" w:color="auto"/>
                <w:left w:val="none" w:sz="0" w:space="0" w:color="auto"/>
                <w:bottom w:val="none" w:sz="0" w:space="0" w:color="auto"/>
                <w:right w:val="none" w:sz="0" w:space="0" w:color="auto"/>
              </w:divBdr>
            </w:div>
          </w:divsChild>
        </w:div>
        <w:div w:id="1364404828">
          <w:marLeft w:val="0"/>
          <w:marRight w:val="0"/>
          <w:marTop w:val="0"/>
          <w:marBottom w:val="0"/>
          <w:divBdr>
            <w:top w:val="none" w:sz="0" w:space="0" w:color="auto"/>
            <w:left w:val="none" w:sz="0" w:space="0" w:color="auto"/>
            <w:bottom w:val="none" w:sz="0" w:space="0" w:color="auto"/>
            <w:right w:val="none" w:sz="0" w:space="0" w:color="auto"/>
          </w:divBdr>
          <w:divsChild>
            <w:div w:id="589310584">
              <w:marLeft w:val="0"/>
              <w:marRight w:val="0"/>
              <w:marTop w:val="0"/>
              <w:marBottom w:val="0"/>
              <w:divBdr>
                <w:top w:val="none" w:sz="0" w:space="0" w:color="auto"/>
                <w:left w:val="none" w:sz="0" w:space="0" w:color="auto"/>
                <w:bottom w:val="none" w:sz="0" w:space="0" w:color="auto"/>
                <w:right w:val="none" w:sz="0" w:space="0" w:color="auto"/>
              </w:divBdr>
            </w:div>
          </w:divsChild>
        </w:div>
        <w:div w:id="1382243622">
          <w:marLeft w:val="0"/>
          <w:marRight w:val="0"/>
          <w:marTop w:val="0"/>
          <w:marBottom w:val="0"/>
          <w:divBdr>
            <w:top w:val="none" w:sz="0" w:space="0" w:color="auto"/>
            <w:left w:val="none" w:sz="0" w:space="0" w:color="auto"/>
            <w:bottom w:val="none" w:sz="0" w:space="0" w:color="auto"/>
            <w:right w:val="none" w:sz="0" w:space="0" w:color="auto"/>
          </w:divBdr>
          <w:divsChild>
            <w:div w:id="1787579476">
              <w:marLeft w:val="0"/>
              <w:marRight w:val="0"/>
              <w:marTop w:val="0"/>
              <w:marBottom w:val="0"/>
              <w:divBdr>
                <w:top w:val="none" w:sz="0" w:space="0" w:color="auto"/>
                <w:left w:val="none" w:sz="0" w:space="0" w:color="auto"/>
                <w:bottom w:val="none" w:sz="0" w:space="0" w:color="auto"/>
                <w:right w:val="none" w:sz="0" w:space="0" w:color="auto"/>
              </w:divBdr>
            </w:div>
          </w:divsChild>
        </w:div>
        <w:div w:id="1805611300">
          <w:marLeft w:val="0"/>
          <w:marRight w:val="0"/>
          <w:marTop w:val="0"/>
          <w:marBottom w:val="0"/>
          <w:divBdr>
            <w:top w:val="none" w:sz="0" w:space="0" w:color="auto"/>
            <w:left w:val="none" w:sz="0" w:space="0" w:color="auto"/>
            <w:bottom w:val="none" w:sz="0" w:space="0" w:color="auto"/>
            <w:right w:val="none" w:sz="0" w:space="0" w:color="auto"/>
          </w:divBdr>
          <w:divsChild>
            <w:div w:id="1935820364">
              <w:marLeft w:val="0"/>
              <w:marRight w:val="0"/>
              <w:marTop w:val="0"/>
              <w:marBottom w:val="0"/>
              <w:divBdr>
                <w:top w:val="none" w:sz="0" w:space="0" w:color="auto"/>
                <w:left w:val="none" w:sz="0" w:space="0" w:color="auto"/>
                <w:bottom w:val="none" w:sz="0" w:space="0" w:color="auto"/>
                <w:right w:val="none" w:sz="0" w:space="0" w:color="auto"/>
              </w:divBdr>
            </w:div>
          </w:divsChild>
        </w:div>
        <w:div w:id="1838418782">
          <w:marLeft w:val="0"/>
          <w:marRight w:val="0"/>
          <w:marTop w:val="0"/>
          <w:marBottom w:val="0"/>
          <w:divBdr>
            <w:top w:val="none" w:sz="0" w:space="0" w:color="auto"/>
            <w:left w:val="none" w:sz="0" w:space="0" w:color="auto"/>
            <w:bottom w:val="none" w:sz="0" w:space="0" w:color="auto"/>
            <w:right w:val="none" w:sz="0" w:space="0" w:color="auto"/>
          </w:divBdr>
          <w:divsChild>
            <w:div w:id="1492596703">
              <w:marLeft w:val="0"/>
              <w:marRight w:val="0"/>
              <w:marTop w:val="0"/>
              <w:marBottom w:val="0"/>
              <w:divBdr>
                <w:top w:val="none" w:sz="0" w:space="0" w:color="auto"/>
                <w:left w:val="none" w:sz="0" w:space="0" w:color="auto"/>
                <w:bottom w:val="none" w:sz="0" w:space="0" w:color="auto"/>
                <w:right w:val="none" w:sz="0" w:space="0" w:color="auto"/>
              </w:divBdr>
            </w:div>
          </w:divsChild>
        </w:div>
        <w:div w:id="1915116983">
          <w:marLeft w:val="0"/>
          <w:marRight w:val="0"/>
          <w:marTop w:val="0"/>
          <w:marBottom w:val="0"/>
          <w:divBdr>
            <w:top w:val="none" w:sz="0" w:space="0" w:color="auto"/>
            <w:left w:val="none" w:sz="0" w:space="0" w:color="auto"/>
            <w:bottom w:val="none" w:sz="0" w:space="0" w:color="auto"/>
            <w:right w:val="none" w:sz="0" w:space="0" w:color="auto"/>
          </w:divBdr>
          <w:divsChild>
            <w:div w:id="2507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5224">
      <w:bodyDiv w:val="1"/>
      <w:marLeft w:val="0"/>
      <w:marRight w:val="0"/>
      <w:marTop w:val="0"/>
      <w:marBottom w:val="0"/>
      <w:divBdr>
        <w:top w:val="none" w:sz="0" w:space="0" w:color="auto"/>
        <w:left w:val="none" w:sz="0" w:space="0" w:color="auto"/>
        <w:bottom w:val="none" w:sz="0" w:space="0" w:color="auto"/>
        <w:right w:val="none" w:sz="0" w:space="0" w:color="auto"/>
      </w:divBdr>
    </w:div>
    <w:div w:id="489367936">
      <w:bodyDiv w:val="1"/>
      <w:marLeft w:val="0"/>
      <w:marRight w:val="0"/>
      <w:marTop w:val="0"/>
      <w:marBottom w:val="0"/>
      <w:divBdr>
        <w:top w:val="none" w:sz="0" w:space="0" w:color="auto"/>
        <w:left w:val="none" w:sz="0" w:space="0" w:color="auto"/>
        <w:bottom w:val="none" w:sz="0" w:space="0" w:color="auto"/>
        <w:right w:val="none" w:sz="0" w:space="0" w:color="auto"/>
      </w:divBdr>
    </w:div>
    <w:div w:id="491020160">
      <w:bodyDiv w:val="1"/>
      <w:marLeft w:val="0"/>
      <w:marRight w:val="0"/>
      <w:marTop w:val="0"/>
      <w:marBottom w:val="0"/>
      <w:divBdr>
        <w:top w:val="none" w:sz="0" w:space="0" w:color="auto"/>
        <w:left w:val="none" w:sz="0" w:space="0" w:color="auto"/>
        <w:bottom w:val="none" w:sz="0" w:space="0" w:color="auto"/>
        <w:right w:val="none" w:sz="0" w:space="0" w:color="auto"/>
      </w:divBdr>
    </w:div>
    <w:div w:id="494033874">
      <w:bodyDiv w:val="1"/>
      <w:marLeft w:val="0"/>
      <w:marRight w:val="0"/>
      <w:marTop w:val="0"/>
      <w:marBottom w:val="0"/>
      <w:divBdr>
        <w:top w:val="none" w:sz="0" w:space="0" w:color="auto"/>
        <w:left w:val="none" w:sz="0" w:space="0" w:color="auto"/>
        <w:bottom w:val="none" w:sz="0" w:space="0" w:color="auto"/>
        <w:right w:val="none" w:sz="0" w:space="0" w:color="auto"/>
      </w:divBdr>
    </w:div>
    <w:div w:id="505021518">
      <w:bodyDiv w:val="1"/>
      <w:marLeft w:val="0"/>
      <w:marRight w:val="0"/>
      <w:marTop w:val="0"/>
      <w:marBottom w:val="0"/>
      <w:divBdr>
        <w:top w:val="none" w:sz="0" w:space="0" w:color="auto"/>
        <w:left w:val="none" w:sz="0" w:space="0" w:color="auto"/>
        <w:bottom w:val="none" w:sz="0" w:space="0" w:color="auto"/>
        <w:right w:val="none" w:sz="0" w:space="0" w:color="auto"/>
      </w:divBdr>
    </w:div>
    <w:div w:id="518934184">
      <w:bodyDiv w:val="1"/>
      <w:marLeft w:val="0"/>
      <w:marRight w:val="0"/>
      <w:marTop w:val="0"/>
      <w:marBottom w:val="0"/>
      <w:divBdr>
        <w:top w:val="none" w:sz="0" w:space="0" w:color="auto"/>
        <w:left w:val="none" w:sz="0" w:space="0" w:color="auto"/>
        <w:bottom w:val="none" w:sz="0" w:space="0" w:color="auto"/>
        <w:right w:val="none" w:sz="0" w:space="0" w:color="auto"/>
      </w:divBdr>
    </w:div>
    <w:div w:id="536502486">
      <w:bodyDiv w:val="1"/>
      <w:marLeft w:val="0"/>
      <w:marRight w:val="0"/>
      <w:marTop w:val="0"/>
      <w:marBottom w:val="0"/>
      <w:divBdr>
        <w:top w:val="none" w:sz="0" w:space="0" w:color="auto"/>
        <w:left w:val="none" w:sz="0" w:space="0" w:color="auto"/>
        <w:bottom w:val="none" w:sz="0" w:space="0" w:color="auto"/>
        <w:right w:val="none" w:sz="0" w:space="0" w:color="auto"/>
      </w:divBdr>
    </w:div>
    <w:div w:id="545291656">
      <w:bodyDiv w:val="1"/>
      <w:marLeft w:val="0"/>
      <w:marRight w:val="0"/>
      <w:marTop w:val="0"/>
      <w:marBottom w:val="0"/>
      <w:divBdr>
        <w:top w:val="none" w:sz="0" w:space="0" w:color="auto"/>
        <w:left w:val="none" w:sz="0" w:space="0" w:color="auto"/>
        <w:bottom w:val="none" w:sz="0" w:space="0" w:color="auto"/>
        <w:right w:val="none" w:sz="0" w:space="0" w:color="auto"/>
      </w:divBdr>
      <w:divsChild>
        <w:div w:id="64575535">
          <w:marLeft w:val="0"/>
          <w:marRight w:val="0"/>
          <w:marTop w:val="0"/>
          <w:marBottom w:val="0"/>
          <w:divBdr>
            <w:top w:val="none" w:sz="0" w:space="0" w:color="auto"/>
            <w:left w:val="none" w:sz="0" w:space="0" w:color="auto"/>
            <w:bottom w:val="none" w:sz="0" w:space="0" w:color="auto"/>
            <w:right w:val="none" w:sz="0" w:space="0" w:color="auto"/>
          </w:divBdr>
        </w:div>
        <w:div w:id="67966475">
          <w:marLeft w:val="0"/>
          <w:marRight w:val="0"/>
          <w:marTop w:val="0"/>
          <w:marBottom w:val="0"/>
          <w:divBdr>
            <w:top w:val="none" w:sz="0" w:space="0" w:color="auto"/>
            <w:left w:val="none" w:sz="0" w:space="0" w:color="auto"/>
            <w:bottom w:val="none" w:sz="0" w:space="0" w:color="auto"/>
            <w:right w:val="none" w:sz="0" w:space="0" w:color="auto"/>
          </w:divBdr>
          <w:divsChild>
            <w:div w:id="616106448">
              <w:marLeft w:val="-75"/>
              <w:marRight w:val="0"/>
              <w:marTop w:val="30"/>
              <w:marBottom w:val="30"/>
              <w:divBdr>
                <w:top w:val="none" w:sz="0" w:space="0" w:color="auto"/>
                <w:left w:val="none" w:sz="0" w:space="0" w:color="auto"/>
                <w:bottom w:val="none" w:sz="0" w:space="0" w:color="auto"/>
                <w:right w:val="none" w:sz="0" w:space="0" w:color="auto"/>
              </w:divBdr>
              <w:divsChild>
                <w:div w:id="7410698">
                  <w:marLeft w:val="0"/>
                  <w:marRight w:val="0"/>
                  <w:marTop w:val="0"/>
                  <w:marBottom w:val="0"/>
                  <w:divBdr>
                    <w:top w:val="none" w:sz="0" w:space="0" w:color="auto"/>
                    <w:left w:val="none" w:sz="0" w:space="0" w:color="auto"/>
                    <w:bottom w:val="none" w:sz="0" w:space="0" w:color="auto"/>
                    <w:right w:val="none" w:sz="0" w:space="0" w:color="auto"/>
                  </w:divBdr>
                  <w:divsChild>
                    <w:div w:id="459612332">
                      <w:marLeft w:val="0"/>
                      <w:marRight w:val="0"/>
                      <w:marTop w:val="0"/>
                      <w:marBottom w:val="0"/>
                      <w:divBdr>
                        <w:top w:val="none" w:sz="0" w:space="0" w:color="auto"/>
                        <w:left w:val="none" w:sz="0" w:space="0" w:color="auto"/>
                        <w:bottom w:val="none" w:sz="0" w:space="0" w:color="auto"/>
                        <w:right w:val="none" w:sz="0" w:space="0" w:color="auto"/>
                      </w:divBdr>
                    </w:div>
                  </w:divsChild>
                </w:div>
                <w:div w:id="41949268">
                  <w:marLeft w:val="0"/>
                  <w:marRight w:val="0"/>
                  <w:marTop w:val="0"/>
                  <w:marBottom w:val="0"/>
                  <w:divBdr>
                    <w:top w:val="none" w:sz="0" w:space="0" w:color="auto"/>
                    <w:left w:val="none" w:sz="0" w:space="0" w:color="auto"/>
                    <w:bottom w:val="none" w:sz="0" w:space="0" w:color="auto"/>
                    <w:right w:val="none" w:sz="0" w:space="0" w:color="auto"/>
                  </w:divBdr>
                  <w:divsChild>
                    <w:div w:id="380373800">
                      <w:marLeft w:val="0"/>
                      <w:marRight w:val="0"/>
                      <w:marTop w:val="0"/>
                      <w:marBottom w:val="0"/>
                      <w:divBdr>
                        <w:top w:val="none" w:sz="0" w:space="0" w:color="auto"/>
                        <w:left w:val="none" w:sz="0" w:space="0" w:color="auto"/>
                        <w:bottom w:val="none" w:sz="0" w:space="0" w:color="auto"/>
                        <w:right w:val="none" w:sz="0" w:space="0" w:color="auto"/>
                      </w:divBdr>
                    </w:div>
                  </w:divsChild>
                </w:div>
                <w:div w:id="72438025">
                  <w:marLeft w:val="0"/>
                  <w:marRight w:val="0"/>
                  <w:marTop w:val="0"/>
                  <w:marBottom w:val="0"/>
                  <w:divBdr>
                    <w:top w:val="none" w:sz="0" w:space="0" w:color="auto"/>
                    <w:left w:val="none" w:sz="0" w:space="0" w:color="auto"/>
                    <w:bottom w:val="none" w:sz="0" w:space="0" w:color="auto"/>
                    <w:right w:val="none" w:sz="0" w:space="0" w:color="auto"/>
                  </w:divBdr>
                  <w:divsChild>
                    <w:div w:id="558588111">
                      <w:marLeft w:val="0"/>
                      <w:marRight w:val="0"/>
                      <w:marTop w:val="0"/>
                      <w:marBottom w:val="0"/>
                      <w:divBdr>
                        <w:top w:val="none" w:sz="0" w:space="0" w:color="auto"/>
                        <w:left w:val="none" w:sz="0" w:space="0" w:color="auto"/>
                        <w:bottom w:val="none" w:sz="0" w:space="0" w:color="auto"/>
                        <w:right w:val="none" w:sz="0" w:space="0" w:color="auto"/>
                      </w:divBdr>
                    </w:div>
                  </w:divsChild>
                </w:div>
                <w:div w:id="185413943">
                  <w:marLeft w:val="0"/>
                  <w:marRight w:val="0"/>
                  <w:marTop w:val="0"/>
                  <w:marBottom w:val="0"/>
                  <w:divBdr>
                    <w:top w:val="none" w:sz="0" w:space="0" w:color="auto"/>
                    <w:left w:val="none" w:sz="0" w:space="0" w:color="auto"/>
                    <w:bottom w:val="none" w:sz="0" w:space="0" w:color="auto"/>
                    <w:right w:val="none" w:sz="0" w:space="0" w:color="auto"/>
                  </w:divBdr>
                  <w:divsChild>
                    <w:div w:id="537165086">
                      <w:marLeft w:val="0"/>
                      <w:marRight w:val="0"/>
                      <w:marTop w:val="0"/>
                      <w:marBottom w:val="0"/>
                      <w:divBdr>
                        <w:top w:val="none" w:sz="0" w:space="0" w:color="auto"/>
                        <w:left w:val="none" w:sz="0" w:space="0" w:color="auto"/>
                        <w:bottom w:val="none" w:sz="0" w:space="0" w:color="auto"/>
                        <w:right w:val="none" w:sz="0" w:space="0" w:color="auto"/>
                      </w:divBdr>
                    </w:div>
                  </w:divsChild>
                </w:div>
                <w:div w:id="265506594">
                  <w:marLeft w:val="0"/>
                  <w:marRight w:val="0"/>
                  <w:marTop w:val="0"/>
                  <w:marBottom w:val="0"/>
                  <w:divBdr>
                    <w:top w:val="none" w:sz="0" w:space="0" w:color="auto"/>
                    <w:left w:val="none" w:sz="0" w:space="0" w:color="auto"/>
                    <w:bottom w:val="none" w:sz="0" w:space="0" w:color="auto"/>
                    <w:right w:val="none" w:sz="0" w:space="0" w:color="auto"/>
                  </w:divBdr>
                  <w:divsChild>
                    <w:div w:id="1070083629">
                      <w:marLeft w:val="0"/>
                      <w:marRight w:val="0"/>
                      <w:marTop w:val="0"/>
                      <w:marBottom w:val="0"/>
                      <w:divBdr>
                        <w:top w:val="none" w:sz="0" w:space="0" w:color="auto"/>
                        <w:left w:val="none" w:sz="0" w:space="0" w:color="auto"/>
                        <w:bottom w:val="none" w:sz="0" w:space="0" w:color="auto"/>
                        <w:right w:val="none" w:sz="0" w:space="0" w:color="auto"/>
                      </w:divBdr>
                    </w:div>
                  </w:divsChild>
                </w:div>
                <w:div w:id="309210181">
                  <w:marLeft w:val="0"/>
                  <w:marRight w:val="0"/>
                  <w:marTop w:val="0"/>
                  <w:marBottom w:val="0"/>
                  <w:divBdr>
                    <w:top w:val="none" w:sz="0" w:space="0" w:color="auto"/>
                    <w:left w:val="none" w:sz="0" w:space="0" w:color="auto"/>
                    <w:bottom w:val="none" w:sz="0" w:space="0" w:color="auto"/>
                    <w:right w:val="none" w:sz="0" w:space="0" w:color="auto"/>
                  </w:divBdr>
                  <w:divsChild>
                    <w:div w:id="645815903">
                      <w:marLeft w:val="0"/>
                      <w:marRight w:val="0"/>
                      <w:marTop w:val="0"/>
                      <w:marBottom w:val="0"/>
                      <w:divBdr>
                        <w:top w:val="none" w:sz="0" w:space="0" w:color="auto"/>
                        <w:left w:val="none" w:sz="0" w:space="0" w:color="auto"/>
                        <w:bottom w:val="none" w:sz="0" w:space="0" w:color="auto"/>
                        <w:right w:val="none" w:sz="0" w:space="0" w:color="auto"/>
                      </w:divBdr>
                    </w:div>
                  </w:divsChild>
                </w:div>
                <w:div w:id="325864816">
                  <w:marLeft w:val="0"/>
                  <w:marRight w:val="0"/>
                  <w:marTop w:val="0"/>
                  <w:marBottom w:val="0"/>
                  <w:divBdr>
                    <w:top w:val="none" w:sz="0" w:space="0" w:color="auto"/>
                    <w:left w:val="none" w:sz="0" w:space="0" w:color="auto"/>
                    <w:bottom w:val="none" w:sz="0" w:space="0" w:color="auto"/>
                    <w:right w:val="none" w:sz="0" w:space="0" w:color="auto"/>
                  </w:divBdr>
                  <w:divsChild>
                    <w:div w:id="1824470027">
                      <w:marLeft w:val="0"/>
                      <w:marRight w:val="0"/>
                      <w:marTop w:val="0"/>
                      <w:marBottom w:val="0"/>
                      <w:divBdr>
                        <w:top w:val="none" w:sz="0" w:space="0" w:color="auto"/>
                        <w:left w:val="none" w:sz="0" w:space="0" w:color="auto"/>
                        <w:bottom w:val="none" w:sz="0" w:space="0" w:color="auto"/>
                        <w:right w:val="none" w:sz="0" w:space="0" w:color="auto"/>
                      </w:divBdr>
                    </w:div>
                  </w:divsChild>
                </w:div>
                <w:div w:id="327635785">
                  <w:marLeft w:val="0"/>
                  <w:marRight w:val="0"/>
                  <w:marTop w:val="0"/>
                  <w:marBottom w:val="0"/>
                  <w:divBdr>
                    <w:top w:val="none" w:sz="0" w:space="0" w:color="auto"/>
                    <w:left w:val="none" w:sz="0" w:space="0" w:color="auto"/>
                    <w:bottom w:val="none" w:sz="0" w:space="0" w:color="auto"/>
                    <w:right w:val="none" w:sz="0" w:space="0" w:color="auto"/>
                  </w:divBdr>
                  <w:divsChild>
                    <w:div w:id="1982614474">
                      <w:marLeft w:val="0"/>
                      <w:marRight w:val="0"/>
                      <w:marTop w:val="0"/>
                      <w:marBottom w:val="0"/>
                      <w:divBdr>
                        <w:top w:val="none" w:sz="0" w:space="0" w:color="auto"/>
                        <w:left w:val="none" w:sz="0" w:space="0" w:color="auto"/>
                        <w:bottom w:val="none" w:sz="0" w:space="0" w:color="auto"/>
                        <w:right w:val="none" w:sz="0" w:space="0" w:color="auto"/>
                      </w:divBdr>
                    </w:div>
                  </w:divsChild>
                </w:div>
                <w:div w:id="366954794">
                  <w:marLeft w:val="0"/>
                  <w:marRight w:val="0"/>
                  <w:marTop w:val="0"/>
                  <w:marBottom w:val="0"/>
                  <w:divBdr>
                    <w:top w:val="none" w:sz="0" w:space="0" w:color="auto"/>
                    <w:left w:val="none" w:sz="0" w:space="0" w:color="auto"/>
                    <w:bottom w:val="none" w:sz="0" w:space="0" w:color="auto"/>
                    <w:right w:val="none" w:sz="0" w:space="0" w:color="auto"/>
                  </w:divBdr>
                  <w:divsChild>
                    <w:div w:id="1454324454">
                      <w:marLeft w:val="0"/>
                      <w:marRight w:val="0"/>
                      <w:marTop w:val="0"/>
                      <w:marBottom w:val="0"/>
                      <w:divBdr>
                        <w:top w:val="none" w:sz="0" w:space="0" w:color="auto"/>
                        <w:left w:val="none" w:sz="0" w:space="0" w:color="auto"/>
                        <w:bottom w:val="none" w:sz="0" w:space="0" w:color="auto"/>
                        <w:right w:val="none" w:sz="0" w:space="0" w:color="auto"/>
                      </w:divBdr>
                    </w:div>
                  </w:divsChild>
                </w:div>
                <w:div w:id="421528470">
                  <w:marLeft w:val="0"/>
                  <w:marRight w:val="0"/>
                  <w:marTop w:val="0"/>
                  <w:marBottom w:val="0"/>
                  <w:divBdr>
                    <w:top w:val="none" w:sz="0" w:space="0" w:color="auto"/>
                    <w:left w:val="none" w:sz="0" w:space="0" w:color="auto"/>
                    <w:bottom w:val="none" w:sz="0" w:space="0" w:color="auto"/>
                    <w:right w:val="none" w:sz="0" w:space="0" w:color="auto"/>
                  </w:divBdr>
                  <w:divsChild>
                    <w:div w:id="1712920685">
                      <w:marLeft w:val="0"/>
                      <w:marRight w:val="0"/>
                      <w:marTop w:val="0"/>
                      <w:marBottom w:val="0"/>
                      <w:divBdr>
                        <w:top w:val="none" w:sz="0" w:space="0" w:color="auto"/>
                        <w:left w:val="none" w:sz="0" w:space="0" w:color="auto"/>
                        <w:bottom w:val="none" w:sz="0" w:space="0" w:color="auto"/>
                        <w:right w:val="none" w:sz="0" w:space="0" w:color="auto"/>
                      </w:divBdr>
                    </w:div>
                  </w:divsChild>
                </w:div>
                <w:div w:id="447437530">
                  <w:marLeft w:val="0"/>
                  <w:marRight w:val="0"/>
                  <w:marTop w:val="0"/>
                  <w:marBottom w:val="0"/>
                  <w:divBdr>
                    <w:top w:val="none" w:sz="0" w:space="0" w:color="auto"/>
                    <w:left w:val="none" w:sz="0" w:space="0" w:color="auto"/>
                    <w:bottom w:val="none" w:sz="0" w:space="0" w:color="auto"/>
                    <w:right w:val="none" w:sz="0" w:space="0" w:color="auto"/>
                  </w:divBdr>
                  <w:divsChild>
                    <w:div w:id="1229535920">
                      <w:marLeft w:val="0"/>
                      <w:marRight w:val="0"/>
                      <w:marTop w:val="0"/>
                      <w:marBottom w:val="0"/>
                      <w:divBdr>
                        <w:top w:val="none" w:sz="0" w:space="0" w:color="auto"/>
                        <w:left w:val="none" w:sz="0" w:space="0" w:color="auto"/>
                        <w:bottom w:val="none" w:sz="0" w:space="0" w:color="auto"/>
                        <w:right w:val="none" w:sz="0" w:space="0" w:color="auto"/>
                      </w:divBdr>
                    </w:div>
                  </w:divsChild>
                </w:div>
                <w:div w:id="511190710">
                  <w:marLeft w:val="0"/>
                  <w:marRight w:val="0"/>
                  <w:marTop w:val="0"/>
                  <w:marBottom w:val="0"/>
                  <w:divBdr>
                    <w:top w:val="none" w:sz="0" w:space="0" w:color="auto"/>
                    <w:left w:val="none" w:sz="0" w:space="0" w:color="auto"/>
                    <w:bottom w:val="none" w:sz="0" w:space="0" w:color="auto"/>
                    <w:right w:val="none" w:sz="0" w:space="0" w:color="auto"/>
                  </w:divBdr>
                  <w:divsChild>
                    <w:div w:id="740560828">
                      <w:marLeft w:val="0"/>
                      <w:marRight w:val="0"/>
                      <w:marTop w:val="0"/>
                      <w:marBottom w:val="0"/>
                      <w:divBdr>
                        <w:top w:val="none" w:sz="0" w:space="0" w:color="auto"/>
                        <w:left w:val="none" w:sz="0" w:space="0" w:color="auto"/>
                        <w:bottom w:val="none" w:sz="0" w:space="0" w:color="auto"/>
                        <w:right w:val="none" w:sz="0" w:space="0" w:color="auto"/>
                      </w:divBdr>
                    </w:div>
                  </w:divsChild>
                </w:div>
                <w:div w:id="659503199">
                  <w:marLeft w:val="0"/>
                  <w:marRight w:val="0"/>
                  <w:marTop w:val="0"/>
                  <w:marBottom w:val="0"/>
                  <w:divBdr>
                    <w:top w:val="none" w:sz="0" w:space="0" w:color="auto"/>
                    <w:left w:val="none" w:sz="0" w:space="0" w:color="auto"/>
                    <w:bottom w:val="none" w:sz="0" w:space="0" w:color="auto"/>
                    <w:right w:val="none" w:sz="0" w:space="0" w:color="auto"/>
                  </w:divBdr>
                  <w:divsChild>
                    <w:div w:id="1939629901">
                      <w:marLeft w:val="0"/>
                      <w:marRight w:val="0"/>
                      <w:marTop w:val="0"/>
                      <w:marBottom w:val="0"/>
                      <w:divBdr>
                        <w:top w:val="none" w:sz="0" w:space="0" w:color="auto"/>
                        <w:left w:val="none" w:sz="0" w:space="0" w:color="auto"/>
                        <w:bottom w:val="none" w:sz="0" w:space="0" w:color="auto"/>
                        <w:right w:val="none" w:sz="0" w:space="0" w:color="auto"/>
                      </w:divBdr>
                    </w:div>
                  </w:divsChild>
                </w:div>
                <w:div w:id="670717930">
                  <w:marLeft w:val="0"/>
                  <w:marRight w:val="0"/>
                  <w:marTop w:val="0"/>
                  <w:marBottom w:val="0"/>
                  <w:divBdr>
                    <w:top w:val="none" w:sz="0" w:space="0" w:color="auto"/>
                    <w:left w:val="none" w:sz="0" w:space="0" w:color="auto"/>
                    <w:bottom w:val="none" w:sz="0" w:space="0" w:color="auto"/>
                    <w:right w:val="none" w:sz="0" w:space="0" w:color="auto"/>
                  </w:divBdr>
                  <w:divsChild>
                    <w:div w:id="449056093">
                      <w:marLeft w:val="0"/>
                      <w:marRight w:val="0"/>
                      <w:marTop w:val="0"/>
                      <w:marBottom w:val="0"/>
                      <w:divBdr>
                        <w:top w:val="none" w:sz="0" w:space="0" w:color="auto"/>
                        <w:left w:val="none" w:sz="0" w:space="0" w:color="auto"/>
                        <w:bottom w:val="none" w:sz="0" w:space="0" w:color="auto"/>
                        <w:right w:val="none" w:sz="0" w:space="0" w:color="auto"/>
                      </w:divBdr>
                    </w:div>
                  </w:divsChild>
                </w:div>
                <w:div w:id="712848077">
                  <w:marLeft w:val="0"/>
                  <w:marRight w:val="0"/>
                  <w:marTop w:val="0"/>
                  <w:marBottom w:val="0"/>
                  <w:divBdr>
                    <w:top w:val="none" w:sz="0" w:space="0" w:color="auto"/>
                    <w:left w:val="none" w:sz="0" w:space="0" w:color="auto"/>
                    <w:bottom w:val="none" w:sz="0" w:space="0" w:color="auto"/>
                    <w:right w:val="none" w:sz="0" w:space="0" w:color="auto"/>
                  </w:divBdr>
                  <w:divsChild>
                    <w:div w:id="2053190590">
                      <w:marLeft w:val="0"/>
                      <w:marRight w:val="0"/>
                      <w:marTop w:val="0"/>
                      <w:marBottom w:val="0"/>
                      <w:divBdr>
                        <w:top w:val="none" w:sz="0" w:space="0" w:color="auto"/>
                        <w:left w:val="none" w:sz="0" w:space="0" w:color="auto"/>
                        <w:bottom w:val="none" w:sz="0" w:space="0" w:color="auto"/>
                        <w:right w:val="none" w:sz="0" w:space="0" w:color="auto"/>
                      </w:divBdr>
                    </w:div>
                  </w:divsChild>
                </w:div>
                <w:div w:id="750354352">
                  <w:marLeft w:val="0"/>
                  <w:marRight w:val="0"/>
                  <w:marTop w:val="0"/>
                  <w:marBottom w:val="0"/>
                  <w:divBdr>
                    <w:top w:val="none" w:sz="0" w:space="0" w:color="auto"/>
                    <w:left w:val="none" w:sz="0" w:space="0" w:color="auto"/>
                    <w:bottom w:val="none" w:sz="0" w:space="0" w:color="auto"/>
                    <w:right w:val="none" w:sz="0" w:space="0" w:color="auto"/>
                  </w:divBdr>
                  <w:divsChild>
                    <w:div w:id="934437803">
                      <w:marLeft w:val="0"/>
                      <w:marRight w:val="0"/>
                      <w:marTop w:val="0"/>
                      <w:marBottom w:val="0"/>
                      <w:divBdr>
                        <w:top w:val="none" w:sz="0" w:space="0" w:color="auto"/>
                        <w:left w:val="none" w:sz="0" w:space="0" w:color="auto"/>
                        <w:bottom w:val="none" w:sz="0" w:space="0" w:color="auto"/>
                        <w:right w:val="none" w:sz="0" w:space="0" w:color="auto"/>
                      </w:divBdr>
                    </w:div>
                  </w:divsChild>
                </w:div>
                <w:div w:id="750616558">
                  <w:marLeft w:val="0"/>
                  <w:marRight w:val="0"/>
                  <w:marTop w:val="0"/>
                  <w:marBottom w:val="0"/>
                  <w:divBdr>
                    <w:top w:val="none" w:sz="0" w:space="0" w:color="auto"/>
                    <w:left w:val="none" w:sz="0" w:space="0" w:color="auto"/>
                    <w:bottom w:val="none" w:sz="0" w:space="0" w:color="auto"/>
                    <w:right w:val="none" w:sz="0" w:space="0" w:color="auto"/>
                  </w:divBdr>
                  <w:divsChild>
                    <w:div w:id="515121996">
                      <w:marLeft w:val="0"/>
                      <w:marRight w:val="0"/>
                      <w:marTop w:val="0"/>
                      <w:marBottom w:val="0"/>
                      <w:divBdr>
                        <w:top w:val="none" w:sz="0" w:space="0" w:color="auto"/>
                        <w:left w:val="none" w:sz="0" w:space="0" w:color="auto"/>
                        <w:bottom w:val="none" w:sz="0" w:space="0" w:color="auto"/>
                        <w:right w:val="none" w:sz="0" w:space="0" w:color="auto"/>
                      </w:divBdr>
                    </w:div>
                  </w:divsChild>
                </w:div>
                <w:div w:id="762798065">
                  <w:marLeft w:val="0"/>
                  <w:marRight w:val="0"/>
                  <w:marTop w:val="0"/>
                  <w:marBottom w:val="0"/>
                  <w:divBdr>
                    <w:top w:val="none" w:sz="0" w:space="0" w:color="auto"/>
                    <w:left w:val="none" w:sz="0" w:space="0" w:color="auto"/>
                    <w:bottom w:val="none" w:sz="0" w:space="0" w:color="auto"/>
                    <w:right w:val="none" w:sz="0" w:space="0" w:color="auto"/>
                  </w:divBdr>
                  <w:divsChild>
                    <w:div w:id="1136799271">
                      <w:marLeft w:val="0"/>
                      <w:marRight w:val="0"/>
                      <w:marTop w:val="0"/>
                      <w:marBottom w:val="0"/>
                      <w:divBdr>
                        <w:top w:val="none" w:sz="0" w:space="0" w:color="auto"/>
                        <w:left w:val="none" w:sz="0" w:space="0" w:color="auto"/>
                        <w:bottom w:val="none" w:sz="0" w:space="0" w:color="auto"/>
                        <w:right w:val="none" w:sz="0" w:space="0" w:color="auto"/>
                      </w:divBdr>
                    </w:div>
                  </w:divsChild>
                </w:div>
                <w:div w:id="810053165">
                  <w:marLeft w:val="0"/>
                  <w:marRight w:val="0"/>
                  <w:marTop w:val="0"/>
                  <w:marBottom w:val="0"/>
                  <w:divBdr>
                    <w:top w:val="none" w:sz="0" w:space="0" w:color="auto"/>
                    <w:left w:val="none" w:sz="0" w:space="0" w:color="auto"/>
                    <w:bottom w:val="none" w:sz="0" w:space="0" w:color="auto"/>
                    <w:right w:val="none" w:sz="0" w:space="0" w:color="auto"/>
                  </w:divBdr>
                  <w:divsChild>
                    <w:div w:id="1901479742">
                      <w:marLeft w:val="0"/>
                      <w:marRight w:val="0"/>
                      <w:marTop w:val="0"/>
                      <w:marBottom w:val="0"/>
                      <w:divBdr>
                        <w:top w:val="none" w:sz="0" w:space="0" w:color="auto"/>
                        <w:left w:val="none" w:sz="0" w:space="0" w:color="auto"/>
                        <w:bottom w:val="none" w:sz="0" w:space="0" w:color="auto"/>
                        <w:right w:val="none" w:sz="0" w:space="0" w:color="auto"/>
                      </w:divBdr>
                    </w:div>
                  </w:divsChild>
                </w:div>
                <w:div w:id="922492247">
                  <w:marLeft w:val="0"/>
                  <w:marRight w:val="0"/>
                  <w:marTop w:val="0"/>
                  <w:marBottom w:val="0"/>
                  <w:divBdr>
                    <w:top w:val="none" w:sz="0" w:space="0" w:color="auto"/>
                    <w:left w:val="none" w:sz="0" w:space="0" w:color="auto"/>
                    <w:bottom w:val="none" w:sz="0" w:space="0" w:color="auto"/>
                    <w:right w:val="none" w:sz="0" w:space="0" w:color="auto"/>
                  </w:divBdr>
                  <w:divsChild>
                    <w:div w:id="991560739">
                      <w:marLeft w:val="0"/>
                      <w:marRight w:val="0"/>
                      <w:marTop w:val="0"/>
                      <w:marBottom w:val="0"/>
                      <w:divBdr>
                        <w:top w:val="none" w:sz="0" w:space="0" w:color="auto"/>
                        <w:left w:val="none" w:sz="0" w:space="0" w:color="auto"/>
                        <w:bottom w:val="none" w:sz="0" w:space="0" w:color="auto"/>
                        <w:right w:val="none" w:sz="0" w:space="0" w:color="auto"/>
                      </w:divBdr>
                    </w:div>
                  </w:divsChild>
                </w:div>
                <w:div w:id="999120571">
                  <w:marLeft w:val="0"/>
                  <w:marRight w:val="0"/>
                  <w:marTop w:val="0"/>
                  <w:marBottom w:val="0"/>
                  <w:divBdr>
                    <w:top w:val="none" w:sz="0" w:space="0" w:color="auto"/>
                    <w:left w:val="none" w:sz="0" w:space="0" w:color="auto"/>
                    <w:bottom w:val="none" w:sz="0" w:space="0" w:color="auto"/>
                    <w:right w:val="none" w:sz="0" w:space="0" w:color="auto"/>
                  </w:divBdr>
                  <w:divsChild>
                    <w:div w:id="2041785675">
                      <w:marLeft w:val="0"/>
                      <w:marRight w:val="0"/>
                      <w:marTop w:val="0"/>
                      <w:marBottom w:val="0"/>
                      <w:divBdr>
                        <w:top w:val="none" w:sz="0" w:space="0" w:color="auto"/>
                        <w:left w:val="none" w:sz="0" w:space="0" w:color="auto"/>
                        <w:bottom w:val="none" w:sz="0" w:space="0" w:color="auto"/>
                        <w:right w:val="none" w:sz="0" w:space="0" w:color="auto"/>
                      </w:divBdr>
                    </w:div>
                  </w:divsChild>
                </w:div>
                <w:div w:id="1034426703">
                  <w:marLeft w:val="0"/>
                  <w:marRight w:val="0"/>
                  <w:marTop w:val="0"/>
                  <w:marBottom w:val="0"/>
                  <w:divBdr>
                    <w:top w:val="none" w:sz="0" w:space="0" w:color="auto"/>
                    <w:left w:val="none" w:sz="0" w:space="0" w:color="auto"/>
                    <w:bottom w:val="none" w:sz="0" w:space="0" w:color="auto"/>
                    <w:right w:val="none" w:sz="0" w:space="0" w:color="auto"/>
                  </w:divBdr>
                  <w:divsChild>
                    <w:div w:id="210850506">
                      <w:marLeft w:val="0"/>
                      <w:marRight w:val="0"/>
                      <w:marTop w:val="0"/>
                      <w:marBottom w:val="0"/>
                      <w:divBdr>
                        <w:top w:val="none" w:sz="0" w:space="0" w:color="auto"/>
                        <w:left w:val="none" w:sz="0" w:space="0" w:color="auto"/>
                        <w:bottom w:val="none" w:sz="0" w:space="0" w:color="auto"/>
                        <w:right w:val="none" w:sz="0" w:space="0" w:color="auto"/>
                      </w:divBdr>
                    </w:div>
                  </w:divsChild>
                </w:div>
                <w:div w:id="1040517525">
                  <w:marLeft w:val="0"/>
                  <w:marRight w:val="0"/>
                  <w:marTop w:val="0"/>
                  <w:marBottom w:val="0"/>
                  <w:divBdr>
                    <w:top w:val="none" w:sz="0" w:space="0" w:color="auto"/>
                    <w:left w:val="none" w:sz="0" w:space="0" w:color="auto"/>
                    <w:bottom w:val="none" w:sz="0" w:space="0" w:color="auto"/>
                    <w:right w:val="none" w:sz="0" w:space="0" w:color="auto"/>
                  </w:divBdr>
                  <w:divsChild>
                    <w:div w:id="2012684071">
                      <w:marLeft w:val="0"/>
                      <w:marRight w:val="0"/>
                      <w:marTop w:val="0"/>
                      <w:marBottom w:val="0"/>
                      <w:divBdr>
                        <w:top w:val="none" w:sz="0" w:space="0" w:color="auto"/>
                        <w:left w:val="none" w:sz="0" w:space="0" w:color="auto"/>
                        <w:bottom w:val="none" w:sz="0" w:space="0" w:color="auto"/>
                        <w:right w:val="none" w:sz="0" w:space="0" w:color="auto"/>
                      </w:divBdr>
                    </w:div>
                  </w:divsChild>
                </w:div>
                <w:div w:id="1057708321">
                  <w:marLeft w:val="0"/>
                  <w:marRight w:val="0"/>
                  <w:marTop w:val="0"/>
                  <w:marBottom w:val="0"/>
                  <w:divBdr>
                    <w:top w:val="none" w:sz="0" w:space="0" w:color="auto"/>
                    <w:left w:val="none" w:sz="0" w:space="0" w:color="auto"/>
                    <w:bottom w:val="none" w:sz="0" w:space="0" w:color="auto"/>
                    <w:right w:val="none" w:sz="0" w:space="0" w:color="auto"/>
                  </w:divBdr>
                  <w:divsChild>
                    <w:div w:id="191574351">
                      <w:marLeft w:val="0"/>
                      <w:marRight w:val="0"/>
                      <w:marTop w:val="0"/>
                      <w:marBottom w:val="0"/>
                      <w:divBdr>
                        <w:top w:val="none" w:sz="0" w:space="0" w:color="auto"/>
                        <w:left w:val="none" w:sz="0" w:space="0" w:color="auto"/>
                        <w:bottom w:val="none" w:sz="0" w:space="0" w:color="auto"/>
                        <w:right w:val="none" w:sz="0" w:space="0" w:color="auto"/>
                      </w:divBdr>
                    </w:div>
                  </w:divsChild>
                </w:div>
                <w:div w:id="1143235995">
                  <w:marLeft w:val="0"/>
                  <w:marRight w:val="0"/>
                  <w:marTop w:val="0"/>
                  <w:marBottom w:val="0"/>
                  <w:divBdr>
                    <w:top w:val="none" w:sz="0" w:space="0" w:color="auto"/>
                    <w:left w:val="none" w:sz="0" w:space="0" w:color="auto"/>
                    <w:bottom w:val="none" w:sz="0" w:space="0" w:color="auto"/>
                    <w:right w:val="none" w:sz="0" w:space="0" w:color="auto"/>
                  </w:divBdr>
                  <w:divsChild>
                    <w:div w:id="1982346098">
                      <w:marLeft w:val="0"/>
                      <w:marRight w:val="0"/>
                      <w:marTop w:val="0"/>
                      <w:marBottom w:val="0"/>
                      <w:divBdr>
                        <w:top w:val="none" w:sz="0" w:space="0" w:color="auto"/>
                        <w:left w:val="none" w:sz="0" w:space="0" w:color="auto"/>
                        <w:bottom w:val="none" w:sz="0" w:space="0" w:color="auto"/>
                        <w:right w:val="none" w:sz="0" w:space="0" w:color="auto"/>
                      </w:divBdr>
                    </w:div>
                  </w:divsChild>
                </w:div>
                <w:div w:id="1185241332">
                  <w:marLeft w:val="0"/>
                  <w:marRight w:val="0"/>
                  <w:marTop w:val="0"/>
                  <w:marBottom w:val="0"/>
                  <w:divBdr>
                    <w:top w:val="none" w:sz="0" w:space="0" w:color="auto"/>
                    <w:left w:val="none" w:sz="0" w:space="0" w:color="auto"/>
                    <w:bottom w:val="none" w:sz="0" w:space="0" w:color="auto"/>
                    <w:right w:val="none" w:sz="0" w:space="0" w:color="auto"/>
                  </w:divBdr>
                  <w:divsChild>
                    <w:div w:id="1852721766">
                      <w:marLeft w:val="0"/>
                      <w:marRight w:val="0"/>
                      <w:marTop w:val="0"/>
                      <w:marBottom w:val="0"/>
                      <w:divBdr>
                        <w:top w:val="none" w:sz="0" w:space="0" w:color="auto"/>
                        <w:left w:val="none" w:sz="0" w:space="0" w:color="auto"/>
                        <w:bottom w:val="none" w:sz="0" w:space="0" w:color="auto"/>
                        <w:right w:val="none" w:sz="0" w:space="0" w:color="auto"/>
                      </w:divBdr>
                    </w:div>
                  </w:divsChild>
                </w:div>
                <w:div w:id="1188567671">
                  <w:marLeft w:val="0"/>
                  <w:marRight w:val="0"/>
                  <w:marTop w:val="0"/>
                  <w:marBottom w:val="0"/>
                  <w:divBdr>
                    <w:top w:val="none" w:sz="0" w:space="0" w:color="auto"/>
                    <w:left w:val="none" w:sz="0" w:space="0" w:color="auto"/>
                    <w:bottom w:val="none" w:sz="0" w:space="0" w:color="auto"/>
                    <w:right w:val="none" w:sz="0" w:space="0" w:color="auto"/>
                  </w:divBdr>
                  <w:divsChild>
                    <w:div w:id="995692130">
                      <w:marLeft w:val="0"/>
                      <w:marRight w:val="0"/>
                      <w:marTop w:val="0"/>
                      <w:marBottom w:val="0"/>
                      <w:divBdr>
                        <w:top w:val="none" w:sz="0" w:space="0" w:color="auto"/>
                        <w:left w:val="none" w:sz="0" w:space="0" w:color="auto"/>
                        <w:bottom w:val="none" w:sz="0" w:space="0" w:color="auto"/>
                        <w:right w:val="none" w:sz="0" w:space="0" w:color="auto"/>
                      </w:divBdr>
                    </w:div>
                  </w:divsChild>
                </w:div>
                <w:div w:id="1252663015">
                  <w:marLeft w:val="0"/>
                  <w:marRight w:val="0"/>
                  <w:marTop w:val="0"/>
                  <w:marBottom w:val="0"/>
                  <w:divBdr>
                    <w:top w:val="none" w:sz="0" w:space="0" w:color="auto"/>
                    <w:left w:val="none" w:sz="0" w:space="0" w:color="auto"/>
                    <w:bottom w:val="none" w:sz="0" w:space="0" w:color="auto"/>
                    <w:right w:val="none" w:sz="0" w:space="0" w:color="auto"/>
                  </w:divBdr>
                  <w:divsChild>
                    <w:div w:id="1757937742">
                      <w:marLeft w:val="0"/>
                      <w:marRight w:val="0"/>
                      <w:marTop w:val="0"/>
                      <w:marBottom w:val="0"/>
                      <w:divBdr>
                        <w:top w:val="none" w:sz="0" w:space="0" w:color="auto"/>
                        <w:left w:val="none" w:sz="0" w:space="0" w:color="auto"/>
                        <w:bottom w:val="none" w:sz="0" w:space="0" w:color="auto"/>
                        <w:right w:val="none" w:sz="0" w:space="0" w:color="auto"/>
                      </w:divBdr>
                    </w:div>
                  </w:divsChild>
                </w:div>
                <w:div w:id="1271624337">
                  <w:marLeft w:val="0"/>
                  <w:marRight w:val="0"/>
                  <w:marTop w:val="0"/>
                  <w:marBottom w:val="0"/>
                  <w:divBdr>
                    <w:top w:val="none" w:sz="0" w:space="0" w:color="auto"/>
                    <w:left w:val="none" w:sz="0" w:space="0" w:color="auto"/>
                    <w:bottom w:val="none" w:sz="0" w:space="0" w:color="auto"/>
                    <w:right w:val="none" w:sz="0" w:space="0" w:color="auto"/>
                  </w:divBdr>
                  <w:divsChild>
                    <w:div w:id="2065133508">
                      <w:marLeft w:val="0"/>
                      <w:marRight w:val="0"/>
                      <w:marTop w:val="0"/>
                      <w:marBottom w:val="0"/>
                      <w:divBdr>
                        <w:top w:val="none" w:sz="0" w:space="0" w:color="auto"/>
                        <w:left w:val="none" w:sz="0" w:space="0" w:color="auto"/>
                        <w:bottom w:val="none" w:sz="0" w:space="0" w:color="auto"/>
                        <w:right w:val="none" w:sz="0" w:space="0" w:color="auto"/>
                      </w:divBdr>
                    </w:div>
                  </w:divsChild>
                </w:div>
                <w:div w:id="1288897741">
                  <w:marLeft w:val="0"/>
                  <w:marRight w:val="0"/>
                  <w:marTop w:val="0"/>
                  <w:marBottom w:val="0"/>
                  <w:divBdr>
                    <w:top w:val="none" w:sz="0" w:space="0" w:color="auto"/>
                    <w:left w:val="none" w:sz="0" w:space="0" w:color="auto"/>
                    <w:bottom w:val="none" w:sz="0" w:space="0" w:color="auto"/>
                    <w:right w:val="none" w:sz="0" w:space="0" w:color="auto"/>
                  </w:divBdr>
                  <w:divsChild>
                    <w:div w:id="2095930019">
                      <w:marLeft w:val="0"/>
                      <w:marRight w:val="0"/>
                      <w:marTop w:val="0"/>
                      <w:marBottom w:val="0"/>
                      <w:divBdr>
                        <w:top w:val="none" w:sz="0" w:space="0" w:color="auto"/>
                        <w:left w:val="none" w:sz="0" w:space="0" w:color="auto"/>
                        <w:bottom w:val="none" w:sz="0" w:space="0" w:color="auto"/>
                        <w:right w:val="none" w:sz="0" w:space="0" w:color="auto"/>
                      </w:divBdr>
                    </w:div>
                  </w:divsChild>
                </w:div>
                <w:div w:id="1311010609">
                  <w:marLeft w:val="0"/>
                  <w:marRight w:val="0"/>
                  <w:marTop w:val="0"/>
                  <w:marBottom w:val="0"/>
                  <w:divBdr>
                    <w:top w:val="none" w:sz="0" w:space="0" w:color="auto"/>
                    <w:left w:val="none" w:sz="0" w:space="0" w:color="auto"/>
                    <w:bottom w:val="none" w:sz="0" w:space="0" w:color="auto"/>
                    <w:right w:val="none" w:sz="0" w:space="0" w:color="auto"/>
                  </w:divBdr>
                  <w:divsChild>
                    <w:div w:id="1292900305">
                      <w:marLeft w:val="0"/>
                      <w:marRight w:val="0"/>
                      <w:marTop w:val="0"/>
                      <w:marBottom w:val="0"/>
                      <w:divBdr>
                        <w:top w:val="none" w:sz="0" w:space="0" w:color="auto"/>
                        <w:left w:val="none" w:sz="0" w:space="0" w:color="auto"/>
                        <w:bottom w:val="none" w:sz="0" w:space="0" w:color="auto"/>
                        <w:right w:val="none" w:sz="0" w:space="0" w:color="auto"/>
                      </w:divBdr>
                    </w:div>
                  </w:divsChild>
                </w:div>
                <w:div w:id="1330713683">
                  <w:marLeft w:val="0"/>
                  <w:marRight w:val="0"/>
                  <w:marTop w:val="0"/>
                  <w:marBottom w:val="0"/>
                  <w:divBdr>
                    <w:top w:val="none" w:sz="0" w:space="0" w:color="auto"/>
                    <w:left w:val="none" w:sz="0" w:space="0" w:color="auto"/>
                    <w:bottom w:val="none" w:sz="0" w:space="0" w:color="auto"/>
                    <w:right w:val="none" w:sz="0" w:space="0" w:color="auto"/>
                  </w:divBdr>
                  <w:divsChild>
                    <w:div w:id="1064910264">
                      <w:marLeft w:val="0"/>
                      <w:marRight w:val="0"/>
                      <w:marTop w:val="0"/>
                      <w:marBottom w:val="0"/>
                      <w:divBdr>
                        <w:top w:val="none" w:sz="0" w:space="0" w:color="auto"/>
                        <w:left w:val="none" w:sz="0" w:space="0" w:color="auto"/>
                        <w:bottom w:val="none" w:sz="0" w:space="0" w:color="auto"/>
                        <w:right w:val="none" w:sz="0" w:space="0" w:color="auto"/>
                      </w:divBdr>
                    </w:div>
                  </w:divsChild>
                </w:div>
                <w:div w:id="1387101289">
                  <w:marLeft w:val="0"/>
                  <w:marRight w:val="0"/>
                  <w:marTop w:val="0"/>
                  <w:marBottom w:val="0"/>
                  <w:divBdr>
                    <w:top w:val="none" w:sz="0" w:space="0" w:color="auto"/>
                    <w:left w:val="none" w:sz="0" w:space="0" w:color="auto"/>
                    <w:bottom w:val="none" w:sz="0" w:space="0" w:color="auto"/>
                    <w:right w:val="none" w:sz="0" w:space="0" w:color="auto"/>
                  </w:divBdr>
                  <w:divsChild>
                    <w:div w:id="658731115">
                      <w:marLeft w:val="0"/>
                      <w:marRight w:val="0"/>
                      <w:marTop w:val="0"/>
                      <w:marBottom w:val="0"/>
                      <w:divBdr>
                        <w:top w:val="none" w:sz="0" w:space="0" w:color="auto"/>
                        <w:left w:val="none" w:sz="0" w:space="0" w:color="auto"/>
                        <w:bottom w:val="none" w:sz="0" w:space="0" w:color="auto"/>
                        <w:right w:val="none" w:sz="0" w:space="0" w:color="auto"/>
                      </w:divBdr>
                    </w:div>
                  </w:divsChild>
                </w:div>
                <w:div w:id="1398278938">
                  <w:marLeft w:val="0"/>
                  <w:marRight w:val="0"/>
                  <w:marTop w:val="0"/>
                  <w:marBottom w:val="0"/>
                  <w:divBdr>
                    <w:top w:val="none" w:sz="0" w:space="0" w:color="auto"/>
                    <w:left w:val="none" w:sz="0" w:space="0" w:color="auto"/>
                    <w:bottom w:val="none" w:sz="0" w:space="0" w:color="auto"/>
                    <w:right w:val="none" w:sz="0" w:space="0" w:color="auto"/>
                  </w:divBdr>
                  <w:divsChild>
                    <w:div w:id="372464585">
                      <w:marLeft w:val="0"/>
                      <w:marRight w:val="0"/>
                      <w:marTop w:val="0"/>
                      <w:marBottom w:val="0"/>
                      <w:divBdr>
                        <w:top w:val="none" w:sz="0" w:space="0" w:color="auto"/>
                        <w:left w:val="none" w:sz="0" w:space="0" w:color="auto"/>
                        <w:bottom w:val="none" w:sz="0" w:space="0" w:color="auto"/>
                        <w:right w:val="none" w:sz="0" w:space="0" w:color="auto"/>
                      </w:divBdr>
                    </w:div>
                  </w:divsChild>
                </w:div>
                <w:div w:id="1418818744">
                  <w:marLeft w:val="0"/>
                  <w:marRight w:val="0"/>
                  <w:marTop w:val="0"/>
                  <w:marBottom w:val="0"/>
                  <w:divBdr>
                    <w:top w:val="none" w:sz="0" w:space="0" w:color="auto"/>
                    <w:left w:val="none" w:sz="0" w:space="0" w:color="auto"/>
                    <w:bottom w:val="none" w:sz="0" w:space="0" w:color="auto"/>
                    <w:right w:val="none" w:sz="0" w:space="0" w:color="auto"/>
                  </w:divBdr>
                  <w:divsChild>
                    <w:div w:id="1647856948">
                      <w:marLeft w:val="0"/>
                      <w:marRight w:val="0"/>
                      <w:marTop w:val="0"/>
                      <w:marBottom w:val="0"/>
                      <w:divBdr>
                        <w:top w:val="none" w:sz="0" w:space="0" w:color="auto"/>
                        <w:left w:val="none" w:sz="0" w:space="0" w:color="auto"/>
                        <w:bottom w:val="none" w:sz="0" w:space="0" w:color="auto"/>
                        <w:right w:val="none" w:sz="0" w:space="0" w:color="auto"/>
                      </w:divBdr>
                    </w:div>
                  </w:divsChild>
                </w:div>
                <w:div w:id="1432775147">
                  <w:marLeft w:val="0"/>
                  <w:marRight w:val="0"/>
                  <w:marTop w:val="0"/>
                  <w:marBottom w:val="0"/>
                  <w:divBdr>
                    <w:top w:val="none" w:sz="0" w:space="0" w:color="auto"/>
                    <w:left w:val="none" w:sz="0" w:space="0" w:color="auto"/>
                    <w:bottom w:val="none" w:sz="0" w:space="0" w:color="auto"/>
                    <w:right w:val="none" w:sz="0" w:space="0" w:color="auto"/>
                  </w:divBdr>
                  <w:divsChild>
                    <w:div w:id="1893956726">
                      <w:marLeft w:val="0"/>
                      <w:marRight w:val="0"/>
                      <w:marTop w:val="0"/>
                      <w:marBottom w:val="0"/>
                      <w:divBdr>
                        <w:top w:val="none" w:sz="0" w:space="0" w:color="auto"/>
                        <w:left w:val="none" w:sz="0" w:space="0" w:color="auto"/>
                        <w:bottom w:val="none" w:sz="0" w:space="0" w:color="auto"/>
                        <w:right w:val="none" w:sz="0" w:space="0" w:color="auto"/>
                      </w:divBdr>
                    </w:div>
                  </w:divsChild>
                </w:div>
                <w:div w:id="1453205996">
                  <w:marLeft w:val="0"/>
                  <w:marRight w:val="0"/>
                  <w:marTop w:val="0"/>
                  <w:marBottom w:val="0"/>
                  <w:divBdr>
                    <w:top w:val="none" w:sz="0" w:space="0" w:color="auto"/>
                    <w:left w:val="none" w:sz="0" w:space="0" w:color="auto"/>
                    <w:bottom w:val="none" w:sz="0" w:space="0" w:color="auto"/>
                    <w:right w:val="none" w:sz="0" w:space="0" w:color="auto"/>
                  </w:divBdr>
                  <w:divsChild>
                    <w:div w:id="1443114800">
                      <w:marLeft w:val="0"/>
                      <w:marRight w:val="0"/>
                      <w:marTop w:val="0"/>
                      <w:marBottom w:val="0"/>
                      <w:divBdr>
                        <w:top w:val="none" w:sz="0" w:space="0" w:color="auto"/>
                        <w:left w:val="none" w:sz="0" w:space="0" w:color="auto"/>
                        <w:bottom w:val="none" w:sz="0" w:space="0" w:color="auto"/>
                        <w:right w:val="none" w:sz="0" w:space="0" w:color="auto"/>
                      </w:divBdr>
                    </w:div>
                  </w:divsChild>
                </w:div>
                <w:div w:id="1462382975">
                  <w:marLeft w:val="0"/>
                  <w:marRight w:val="0"/>
                  <w:marTop w:val="0"/>
                  <w:marBottom w:val="0"/>
                  <w:divBdr>
                    <w:top w:val="none" w:sz="0" w:space="0" w:color="auto"/>
                    <w:left w:val="none" w:sz="0" w:space="0" w:color="auto"/>
                    <w:bottom w:val="none" w:sz="0" w:space="0" w:color="auto"/>
                    <w:right w:val="none" w:sz="0" w:space="0" w:color="auto"/>
                  </w:divBdr>
                  <w:divsChild>
                    <w:div w:id="1147092054">
                      <w:marLeft w:val="0"/>
                      <w:marRight w:val="0"/>
                      <w:marTop w:val="0"/>
                      <w:marBottom w:val="0"/>
                      <w:divBdr>
                        <w:top w:val="none" w:sz="0" w:space="0" w:color="auto"/>
                        <w:left w:val="none" w:sz="0" w:space="0" w:color="auto"/>
                        <w:bottom w:val="none" w:sz="0" w:space="0" w:color="auto"/>
                        <w:right w:val="none" w:sz="0" w:space="0" w:color="auto"/>
                      </w:divBdr>
                    </w:div>
                  </w:divsChild>
                </w:div>
                <w:div w:id="1604222000">
                  <w:marLeft w:val="0"/>
                  <w:marRight w:val="0"/>
                  <w:marTop w:val="0"/>
                  <w:marBottom w:val="0"/>
                  <w:divBdr>
                    <w:top w:val="none" w:sz="0" w:space="0" w:color="auto"/>
                    <w:left w:val="none" w:sz="0" w:space="0" w:color="auto"/>
                    <w:bottom w:val="none" w:sz="0" w:space="0" w:color="auto"/>
                    <w:right w:val="none" w:sz="0" w:space="0" w:color="auto"/>
                  </w:divBdr>
                  <w:divsChild>
                    <w:div w:id="95563638">
                      <w:marLeft w:val="0"/>
                      <w:marRight w:val="0"/>
                      <w:marTop w:val="0"/>
                      <w:marBottom w:val="0"/>
                      <w:divBdr>
                        <w:top w:val="none" w:sz="0" w:space="0" w:color="auto"/>
                        <w:left w:val="none" w:sz="0" w:space="0" w:color="auto"/>
                        <w:bottom w:val="none" w:sz="0" w:space="0" w:color="auto"/>
                        <w:right w:val="none" w:sz="0" w:space="0" w:color="auto"/>
                      </w:divBdr>
                    </w:div>
                  </w:divsChild>
                </w:div>
                <w:div w:id="1659647567">
                  <w:marLeft w:val="0"/>
                  <w:marRight w:val="0"/>
                  <w:marTop w:val="0"/>
                  <w:marBottom w:val="0"/>
                  <w:divBdr>
                    <w:top w:val="none" w:sz="0" w:space="0" w:color="auto"/>
                    <w:left w:val="none" w:sz="0" w:space="0" w:color="auto"/>
                    <w:bottom w:val="none" w:sz="0" w:space="0" w:color="auto"/>
                    <w:right w:val="none" w:sz="0" w:space="0" w:color="auto"/>
                  </w:divBdr>
                  <w:divsChild>
                    <w:div w:id="4526624">
                      <w:marLeft w:val="0"/>
                      <w:marRight w:val="0"/>
                      <w:marTop w:val="0"/>
                      <w:marBottom w:val="0"/>
                      <w:divBdr>
                        <w:top w:val="none" w:sz="0" w:space="0" w:color="auto"/>
                        <w:left w:val="none" w:sz="0" w:space="0" w:color="auto"/>
                        <w:bottom w:val="none" w:sz="0" w:space="0" w:color="auto"/>
                        <w:right w:val="none" w:sz="0" w:space="0" w:color="auto"/>
                      </w:divBdr>
                    </w:div>
                  </w:divsChild>
                </w:div>
                <w:div w:id="1672874018">
                  <w:marLeft w:val="0"/>
                  <w:marRight w:val="0"/>
                  <w:marTop w:val="0"/>
                  <w:marBottom w:val="0"/>
                  <w:divBdr>
                    <w:top w:val="none" w:sz="0" w:space="0" w:color="auto"/>
                    <w:left w:val="none" w:sz="0" w:space="0" w:color="auto"/>
                    <w:bottom w:val="none" w:sz="0" w:space="0" w:color="auto"/>
                    <w:right w:val="none" w:sz="0" w:space="0" w:color="auto"/>
                  </w:divBdr>
                  <w:divsChild>
                    <w:div w:id="1592736061">
                      <w:marLeft w:val="0"/>
                      <w:marRight w:val="0"/>
                      <w:marTop w:val="0"/>
                      <w:marBottom w:val="0"/>
                      <w:divBdr>
                        <w:top w:val="none" w:sz="0" w:space="0" w:color="auto"/>
                        <w:left w:val="none" w:sz="0" w:space="0" w:color="auto"/>
                        <w:bottom w:val="none" w:sz="0" w:space="0" w:color="auto"/>
                        <w:right w:val="none" w:sz="0" w:space="0" w:color="auto"/>
                      </w:divBdr>
                    </w:div>
                  </w:divsChild>
                </w:div>
                <w:div w:id="1722509373">
                  <w:marLeft w:val="0"/>
                  <w:marRight w:val="0"/>
                  <w:marTop w:val="0"/>
                  <w:marBottom w:val="0"/>
                  <w:divBdr>
                    <w:top w:val="none" w:sz="0" w:space="0" w:color="auto"/>
                    <w:left w:val="none" w:sz="0" w:space="0" w:color="auto"/>
                    <w:bottom w:val="none" w:sz="0" w:space="0" w:color="auto"/>
                    <w:right w:val="none" w:sz="0" w:space="0" w:color="auto"/>
                  </w:divBdr>
                  <w:divsChild>
                    <w:div w:id="117114720">
                      <w:marLeft w:val="0"/>
                      <w:marRight w:val="0"/>
                      <w:marTop w:val="0"/>
                      <w:marBottom w:val="0"/>
                      <w:divBdr>
                        <w:top w:val="none" w:sz="0" w:space="0" w:color="auto"/>
                        <w:left w:val="none" w:sz="0" w:space="0" w:color="auto"/>
                        <w:bottom w:val="none" w:sz="0" w:space="0" w:color="auto"/>
                        <w:right w:val="none" w:sz="0" w:space="0" w:color="auto"/>
                      </w:divBdr>
                    </w:div>
                  </w:divsChild>
                </w:div>
                <w:div w:id="1735543098">
                  <w:marLeft w:val="0"/>
                  <w:marRight w:val="0"/>
                  <w:marTop w:val="0"/>
                  <w:marBottom w:val="0"/>
                  <w:divBdr>
                    <w:top w:val="none" w:sz="0" w:space="0" w:color="auto"/>
                    <w:left w:val="none" w:sz="0" w:space="0" w:color="auto"/>
                    <w:bottom w:val="none" w:sz="0" w:space="0" w:color="auto"/>
                    <w:right w:val="none" w:sz="0" w:space="0" w:color="auto"/>
                  </w:divBdr>
                  <w:divsChild>
                    <w:div w:id="958998703">
                      <w:marLeft w:val="0"/>
                      <w:marRight w:val="0"/>
                      <w:marTop w:val="0"/>
                      <w:marBottom w:val="0"/>
                      <w:divBdr>
                        <w:top w:val="none" w:sz="0" w:space="0" w:color="auto"/>
                        <w:left w:val="none" w:sz="0" w:space="0" w:color="auto"/>
                        <w:bottom w:val="none" w:sz="0" w:space="0" w:color="auto"/>
                        <w:right w:val="none" w:sz="0" w:space="0" w:color="auto"/>
                      </w:divBdr>
                    </w:div>
                  </w:divsChild>
                </w:div>
                <w:div w:id="1739791288">
                  <w:marLeft w:val="0"/>
                  <w:marRight w:val="0"/>
                  <w:marTop w:val="0"/>
                  <w:marBottom w:val="0"/>
                  <w:divBdr>
                    <w:top w:val="none" w:sz="0" w:space="0" w:color="auto"/>
                    <w:left w:val="none" w:sz="0" w:space="0" w:color="auto"/>
                    <w:bottom w:val="none" w:sz="0" w:space="0" w:color="auto"/>
                    <w:right w:val="none" w:sz="0" w:space="0" w:color="auto"/>
                  </w:divBdr>
                  <w:divsChild>
                    <w:div w:id="1867517462">
                      <w:marLeft w:val="0"/>
                      <w:marRight w:val="0"/>
                      <w:marTop w:val="0"/>
                      <w:marBottom w:val="0"/>
                      <w:divBdr>
                        <w:top w:val="none" w:sz="0" w:space="0" w:color="auto"/>
                        <w:left w:val="none" w:sz="0" w:space="0" w:color="auto"/>
                        <w:bottom w:val="none" w:sz="0" w:space="0" w:color="auto"/>
                        <w:right w:val="none" w:sz="0" w:space="0" w:color="auto"/>
                      </w:divBdr>
                    </w:div>
                  </w:divsChild>
                </w:div>
                <w:div w:id="1814058394">
                  <w:marLeft w:val="0"/>
                  <w:marRight w:val="0"/>
                  <w:marTop w:val="0"/>
                  <w:marBottom w:val="0"/>
                  <w:divBdr>
                    <w:top w:val="none" w:sz="0" w:space="0" w:color="auto"/>
                    <w:left w:val="none" w:sz="0" w:space="0" w:color="auto"/>
                    <w:bottom w:val="none" w:sz="0" w:space="0" w:color="auto"/>
                    <w:right w:val="none" w:sz="0" w:space="0" w:color="auto"/>
                  </w:divBdr>
                  <w:divsChild>
                    <w:div w:id="1891454654">
                      <w:marLeft w:val="0"/>
                      <w:marRight w:val="0"/>
                      <w:marTop w:val="0"/>
                      <w:marBottom w:val="0"/>
                      <w:divBdr>
                        <w:top w:val="none" w:sz="0" w:space="0" w:color="auto"/>
                        <w:left w:val="none" w:sz="0" w:space="0" w:color="auto"/>
                        <w:bottom w:val="none" w:sz="0" w:space="0" w:color="auto"/>
                        <w:right w:val="none" w:sz="0" w:space="0" w:color="auto"/>
                      </w:divBdr>
                    </w:div>
                  </w:divsChild>
                </w:div>
                <w:div w:id="1822038258">
                  <w:marLeft w:val="0"/>
                  <w:marRight w:val="0"/>
                  <w:marTop w:val="0"/>
                  <w:marBottom w:val="0"/>
                  <w:divBdr>
                    <w:top w:val="none" w:sz="0" w:space="0" w:color="auto"/>
                    <w:left w:val="none" w:sz="0" w:space="0" w:color="auto"/>
                    <w:bottom w:val="none" w:sz="0" w:space="0" w:color="auto"/>
                    <w:right w:val="none" w:sz="0" w:space="0" w:color="auto"/>
                  </w:divBdr>
                  <w:divsChild>
                    <w:div w:id="1630739814">
                      <w:marLeft w:val="0"/>
                      <w:marRight w:val="0"/>
                      <w:marTop w:val="0"/>
                      <w:marBottom w:val="0"/>
                      <w:divBdr>
                        <w:top w:val="none" w:sz="0" w:space="0" w:color="auto"/>
                        <w:left w:val="none" w:sz="0" w:space="0" w:color="auto"/>
                        <w:bottom w:val="none" w:sz="0" w:space="0" w:color="auto"/>
                        <w:right w:val="none" w:sz="0" w:space="0" w:color="auto"/>
                      </w:divBdr>
                    </w:div>
                  </w:divsChild>
                </w:div>
                <w:div w:id="1843079111">
                  <w:marLeft w:val="0"/>
                  <w:marRight w:val="0"/>
                  <w:marTop w:val="0"/>
                  <w:marBottom w:val="0"/>
                  <w:divBdr>
                    <w:top w:val="none" w:sz="0" w:space="0" w:color="auto"/>
                    <w:left w:val="none" w:sz="0" w:space="0" w:color="auto"/>
                    <w:bottom w:val="none" w:sz="0" w:space="0" w:color="auto"/>
                    <w:right w:val="none" w:sz="0" w:space="0" w:color="auto"/>
                  </w:divBdr>
                  <w:divsChild>
                    <w:div w:id="804930988">
                      <w:marLeft w:val="0"/>
                      <w:marRight w:val="0"/>
                      <w:marTop w:val="0"/>
                      <w:marBottom w:val="0"/>
                      <w:divBdr>
                        <w:top w:val="none" w:sz="0" w:space="0" w:color="auto"/>
                        <w:left w:val="none" w:sz="0" w:space="0" w:color="auto"/>
                        <w:bottom w:val="none" w:sz="0" w:space="0" w:color="auto"/>
                        <w:right w:val="none" w:sz="0" w:space="0" w:color="auto"/>
                      </w:divBdr>
                    </w:div>
                  </w:divsChild>
                </w:div>
                <w:div w:id="1861316539">
                  <w:marLeft w:val="0"/>
                  <w:marRight w:val="0"/>
                  <w:marTop w:val="0"/>
                  <w:marBottom w:val="0"/>
                  <w:divBdr>
                    <w:top w:val="none" w:sz="0" w:space="0" w:color="auto"/>
                    <w:left w:val="none" w:sz="0" w:space="0" w:color="auto"/>
                    <w:bottom w:val="none" w:sz="0" w:space="0" w:color="auto"/>
                    <w:right w:val="none" w:sz="0" w:space="0" w:color="auto"/>
                  </w:divBdr>
                  <w:divsChild>
                    <w:div w:id="1827628656">
                      <w:marLeft w:val="0"/>
                      <w:marRight w:val="0"/>
                      <w:marTop w:val="0"/>
                      <w:marBottom w:val="0"/>
                      <w:divBdr>
                        <w:top w:val="none" w:sz="0" w:space="0" w:color="auto"/>
                        <w:left w:val="none" w:sz="0" w:space="0" w:color="auto"/>
                        <w:bottom w:val="none" w:sz="0" w:space="0" w:color="auto"/>
                        <w:right w:val="none" w:sz="0" w:space="0" w:color="auto"/>
                      </w:divBdr>
                    </w:div>
                  </w:divsChild>
                </w:div>
                <w:div w:id="2010477177">
                  <w:marLeft w:val="0"/>
                  <w:marRight w:val="0"/>
                  <w:marTop w:val="0"/>
                  <w:marBottom w:val="0"/>
                  <w:divBdr>
                    <w:top w:val="none" w:sz="0" w:space="0" w:color="auto"/>
                    <w:left w:val="none" w:sz="0" w:space="0" w:color="auto"/>
                    <w:bottom w:val="none" w:sz="0" w:space="0" w:color="auto"/>
                    <w:right w:val="none" w:sz="0" w:space="0" w:color="auto"/>
                  </w:divBdr>
                  <w:divsChild>
                    <w:div w:id="659117225">
                      <w:marLeft w:val="0"/>
                      <w:marRight w:val="0"/>
                      <w:marTop w:val="0"/>
                      <w:marBottom w:val="0"/>
                      <w:divBdr>
                        <w:top w:val="none" w:sz="0" w:space="0" w:color="auto"/>
                        <w:left w:val="none" w:sz="0" w:space="0" w:color="auto"/>
                        <w:bottom w:val="none" w:sz="0" w:space="0" w:color="auto"/>
                        <w:right w:val="none" w:sz="0" w:space="0" w:color="auto"/>
                      </w:divBdr>
                    </w:div>
                  </w:divsChild>
                </w:div>
                <w:div w:id="2098207871">
                  <w:marLeft w:val="0"/>
                  <w:marRight w:val="0"/>
                  <w:marTop w:val="0"/>
                  <w:marBottom w:val="0"/>
                  <w:divBdr>
                    <w:top w:val="none" w:sz="0" w:space="0" w:color="auto"/>
                    <w:left w:val="none" w:sz="0" w:space="0" w:color="auto"/>
                    <w:bottom w:val="none" w:sz="0" w:space="0" w:color="auto"/>
                    <w:right w:val="none" w:sz="0" w:space="0" w:color="auto"/>
                  </w:divBdr>
                  <w:divsChild>
                    <w:div w:id="1857306395">
                      <w:marLeft w:val="0"/>
                      <w:marRight w:val="0"/>
                      <w:marTop w:val="0"/>
                      <w:marBottom w:val="0"/>
                      <w:divBdr>
                        <w:top w:val="none" w:sz="0" w:space="0" w:color="auto"/>
                        <w:left w:val="none" w:sz="0" w:space="0" w:color="auto"/>
                        <w:bottom w:val="none" w:sz="0" w:space="0" w:color="auto"/>
                        <w:right w:val="none" w:sz="0" w:space="0" w:color="auto"/>
                      </w:divBdr>
                    </w:div>
                  </w:divsChild>
                </w:div>
                <w:div w:id="2121608936">
                  <w:marLeft w:val="0"/>
                  <w:marRight w:val="0"/>
                  <w:marTop w:val="0"/>
                  <w:marBottom w:val="0"/>
                  <w:divBdr>
                    <w:top w:val="none" w:sz="0" w:space="0" w:color="auto"/>
                    <w:left w:val="none" w:sz="0" w:space="0" w:color="auto"/>
                    <w:bottom w:val="none" w:sz="0" w:space="0" w:color="auto"/>
                    <w:right w:val="none" w:sz="0" w:space="0" w:color="auto"/>
                  </w:divBdr>
                  <w:divsChild>
                    <w:div w:id="13335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97515">
          <w:marLeft w:val="0"/>
          <w:marRight w:val="0"/>
          <w:marTop w:val="0"/>
          <w:marBottom w:val="0"/>
          <w:divBdr>
            <w:top w:val="none" w:sz="0" w:space="0" w:color="auto"/>
            <w:left w:val="none" w:sz="0" w:space="0" w:color="auto"/>
            <w:bottom w:val="none" w:sz="0" w:space="0" w:color="auto"/>
            <w:right w:val="none" w:sz="0" w:space="0" w:color="auto"/>
          </w:divBdr>
        </w:div>
        <w:div w:id="560865949">
          <w:marLeft w:val="0"/>
          <w:marRight w:val="0"/>
          <w:marTop w:val="0"/>
          <w:marBottom w:val="0"/>
          <w:divBdr>
            <w:top w:val="none" w:sz="0" w:space="0" w:color="auto"/>
            <w:left w:val="none" w:sz="0" w:space="0" w:color="auto"/>
            <w:bottom w:val="none" w:sz="0" w:space="0" w:color="auto"/>
            <w:right w:val="none" w:sz="0" w:space="0" w:color="auto"/>
          </w:divBdr>
        </w:div>
        <w:div w:id="1056927185">
          <w:marLeft w:val="0"/>
          <w:marRight w:val="0"/>
          <w:marTop w:val="0"/>
          <w:marBottom w:val="0"/>
          <w:divBdr>
            <w:top w:val="none" w:sz="0" w:space="0" w:color="auto"/>
            <w:left w:val="none" w:sz="0" w:space="0" w:color="auto"/>
            <w:bottom w:val="none" w:sz="0" w:space="0" w:color="auto"/>
            <w:right w:val="none" w:sz="0" w:space="0" w:color="auto"/>
          </w:divBdr>
        </w:div>
      </w:divsChild>
    </w:div>
    <w:div w:id="580483334">
      <w:bodyDiv w:val="1"/>
      <w:marLeft w:val="0"/>
      <w:marRight w:val="0"/>
      <w:marTop w:val="0"/>
      <w:marBottom w:val="0"/>
      <w:divBdr>
        <w:top w:val="none" w:sz="0" w:space="0" w:color="auto"/>
        <w:left w:val="none" w:sz="0" w:space="0" w:color="auto"/>
        <w:bottom w:val="none" w:sz="0" w:space="0" w:color="auto"/>
        <w:right w:val="none" w:sz="0" w:space="0" w:color="auto"/>
      </w:divBdr>
    </w:div>
    <w:div w:id="596716699">
      <w:bodyDiv w:val="1"/>
      <w:marLeft w:val="0"/>
      <w:marRight w:val="0"/>
      <w:marTop w:val="0"/>
      <w:marBottom w:val="0"/>
      <w:divBdr>
        <w:top w:val="none" w:sz="0" w:space="0" w:color="auto"/>
        <w:left w:val="none" w:sz="0" w:space="0" w:color="auto"/>
        <w:bottom w:val="none" w:sz="0" w:space="0" w:color="auto"/>
        <w:right w:val="none" w:sz="0" w:space="0" w:color="auto"/>
      </w:divBdr>
    </w:div>
    <w:div w:id="632947895">
      <w:bodyDiv w:val="1"/>
      <w:marLeft w:val="0"/>
      <w:marRight w:val="0"/>
      <w:marTop w:val="0"/>
      <w:marBottom w:val="0"/>
      <w:divBdr>
        <w:top w:val="none" w:sz="0" w:space="0" w:color="auto"/>
        <w:left w:val="none" w:sz="0" w:space="0" w:color="auto"/>
        <w:bottom w:val="none" w:sz="0" w:space="0" w:color="auto"/>
        <w:right w:val="none" w:sz="0" w:space="0" w:color="auto"/>
      </w:divBdr>
      <w:divsChild>
        <w:div w:id="192964229">
          <w:marLeft w:val="0"/>
          <w:marRight w:val="0"/>
          <w:marTop w:val="0"/>
          <w:marBottom w:val="0"/>
          <w:divBdr>
            <w:top w:val="none" w:sz="0" w:space="0" w:color="auto"/>
            <w:left w:val="none" w:sz="0" w:space="0" w:color="auto"/>
            <w:bottom w:val="none" w:sz="0" w:space="0" w:color="auto"/>
            <w:right w:val="none" w:sz="0" w:space="0" w:color="auto"/>
          </w:divBdr>
          <w:divsChild>
            <w:div w:id="65344820">
              <w:marLeft w:val="0"/>
              <w:marRight w:val="0"/>
              <w:marTop w:val="0"/>
              <w:marBottom w:val="0"/>
              <w:divBdr>
                <w:top w:val="none" w:sz="0" w:space="0" w:color="auto"/>
                <w:left w:val="none" w:sz="0" w:space="0" w:color="auto"/>
                <w:bottom w:val="none" w:sz="0" w:space="0" w:color="auto"/>
                <w:right w:val="none" w:sz="0" w:space="0" w:color="auto"/>
              </w:divBdr>
            </w:div>
            <w:div w:id="545718352">
              <w:marLeft w:val="0"/>
              <w:marRight w:val="0"/>
              <w:marTop w:val="0"/>
              <w:marBottom w:val="0"/>
              <w:divBdr>
                <w:top w:val="none" w:sz="0" w:space="0" w:color="auto"/>
                <w:left w:val="none" w:sz="0" w:space="0" w:color="auto"/>
                <w:bottom w:val="none" w:sz="0" w:space="0" w:color="auto"/>
                <w:right w:val="none" w:sz="0" w:space="0" w:color="auto"/>
              </w:divBdr>
            </w:div>
            <w:div w:id="559368318">
              <w:marLeft w:val="0"/>
              <w:marRight w:val="0"/>
              <w:marTop w:val="0"/>
              <w:marBottom w:val="0"/>
              <w:divBdr>
                <w:top w:val="none" w:sz="0" w:space="0" w:color="auto"/>
                <w:left w:val="none" w:sz="0" w:space="0" w:color="auto"/>
                <w:bottom w:val="none" w:sz="0" w:space="0" w:color="auto"/>
                <w:right w:val="none" w:sz="0" w:space="0" w:color="auto"/>
              </w:divBdr>
            </w:div>
            <w:div w:id="1022589506">
              <w:marLeft w:val="0"/>
              <w:marRight w:val="0"/>
              <w:marTop w:val="0"/>
              <w:marBottom w:val="0"/>
              <w:divBdr>
                <w:top w:val="none" w:sz="0" w:space="0" w:color="auto"/>
                <w:left w:val="none" w:sz="0" w:space="0" w:color="auto"/>
                <w:bottom w:val="none" w:sz="0" w:space="0" w:color="auto"/>
                <w:right w:val="none" w:sz="0" w:space="0" w:color="auto"/>
              </w:divBdr>
            </w:div>
            <w:div w:id="1517958876">
              <w:marLeft w:val="0"/>
              <w:marRight w:val="0"/>
              <w:marTop w:val="0"/>
              <w:marBottom w:val="0"/>
              <w:divBdr>
                <w:top w:val="none" w:sz="0" w:space="0" w:color="auto"/>
                <w:left w:val="none" w:sz="0" w:space="0" w:color="auto"/>
                <w:bottom w:val="none" w:sz="0" w:space="0" w:color="auto"/>
                <w:right w:val="none" w:sz="0" w:space="0" w:color="auto"/>
              </w:divBdr>
            </w:div>
            <w:div w:id="1542596248">
              <w:marLeft w:val="0"/>
              <w:marRight w:val="0"/>
              <w:marTop w:val="0"/>
              <w:marBottom w:val="0"/>
              <w:divBdr>
                <w:top w:val="none" w:sz="0" w:space="0" w:color="auto"/>
                <w:left w:val="none" w:sz="0" w:space="0" w:color="auto"/>
                <w:bottom w:val="none" w:sz="0" w:space="0" w:color="auto"/>
                <w:right w:val="none" w:sz="0" w:space="0" w:color="auto"/>
              </w:divBdr>
            </w:div>
            <w:div w:id="1710497180">
              <w:marLeft w:val="0"/>
              <w:marRight w:val="0"/>
              <w:marTop w:val="0"/>
              <w:marBottom w:val="0"/>
              <w:divBdr>
                <w:top w:val="none" w:sz="0" w:space="0" w:color="auto"/>
                <w:left w:val="none" w:sz="0" w:space="0" w:color="auto"/>
                <w:bottom w:val="none" w:sz="0" w:space="0" w:color="auto"/>
                <w:right w:val="none" w:sz="0" w:space="0" w:color="auto"/>
              </w:divBdr>
            </w:div>
            <w:div w:id="1815414624">
              <w:marLeft w:val="0"/>
              <w:marRight w:val="0"/>
              <w:marTop w:val="0"/>
              <w:marBottom w:val="0"/>
              <w:divBdr>
                <w:top w:val="none" w:sz="0" w:space="0" w:color="auto"/>
                <w:left w:val="none" w:sz="0" w:space="0" w:color="auto"/>
                <w:bottom w:val="none" w:sz="0" w:space="0" w:color="auto"/>
                <w:right w:val="none" w:sz="0" w:space="0" w:color="auto"/>
              </w:divBdr>
            </w:div>
          </w:divsChild>
        </w:div>
        <w:div w:id="490487580">
          <w:marLeft w:val="0"/>
          <w:marRight w:val="0"/>
          <w:marTop w:val="0"/>
          <w:marBottom w:val="0"/>
          <w:divBdr>
            <w:top w:val="none" w:sz="0" w:space="0" w:color="auto"/>
            <w:left w:val="none" w:sz="0" w:space="0" w:color="auto"/>
            <w:bottom w:val="none" w:sz="0" w:space="0" w:color="auto"/>
            <w:right w:val="none" w:sz="0" w:space="0" w:color="auto"/>
          </w:divBdr>
        </w:div>
      </w:divsChild>
    </w:div>
    <w:div w:id="649098071">
      <w:bodyDiv w:val="1"/>
      <w:marLeft w:val="0"/>
      <w:marRight w:val="0"/>
      <w:marTop w:val="0"/>
      <w:marBottom w:val="0"/>
      <w:divBdr>
        <w:top w:val="none" w:sz="0" w:space="0" w:color="auto"/>
        <w:left w:val="none" w:sz="0" w:space="0" w:color="auto"/>
        <w:bottom w:val="none" w:sz="0" w:space="0" w:color="auto"/>
        <w:right w:val="none" w:sz="0" w:space="0" w:color="auto"/>
      </w:divBdr>
      <w:divsChild>
        <w:div w:id="209152368">
          <w:marLeft w:val="0"/>
          <w:marRight w:val="0"/>
          <w:marTop w:val="0"/>
          <w:marBottom w:val="0"/>
          <w:divBdr>
            <w:top w:val="none" w:sz="0" w:space="0" w:color="auto"/>
            <w:left w:val="none" w:sz="0" w:space="0" w:color="auto"/>
            <w:bottom w:val="none" w:sz="0" w:space="0" w:color="auto"/>
            <w:right w:val="none" w:sz="0" w:space="0" w:color="auto"/>
          </w:divBdr>
        </w:div>
        <w:div w:id="322855450">
          <w:marLeft w:val="0"/>
          <w:marRight w:val="0"/>
          <w:marTop w:val="0"/>
          <w:marBottom w:val="0"/>
          <w:divBdr>
            <w:top w:val="none" w:sz="0" w:space="0" w:color="auto"/>
            <w:left w:val="none" w:sz="0" w:space="0" w:color="auto"/>
            <w:bottom w:val="none" w:sz="0" w:space="0" w:color="auto"/>
            <w:right w:val="none" w:sz="0" w:space="0" w:color="auto"/>
          </w:divBdr>
        </w:div>
      </w:divsChild>
    </w:div>
    <w:div w:id="654189020">
      <w:bodyDiv w:val="1"/>
      <w:marLeft w:val="0"/>
      <w:marRight w:val="0"/>
      <w:marTop w:val="0"/>
      <w:marBottom w:val="0"/>
      <w:divBdr>
        <w:top w:val="none" w:sz="0" w:space="0" w:color="auto"/>
        <w:left w:val="none" w:sz="0" w:space="0" w:color="auto"/>
        <w:bottom w:val="none" w:sz="0" w:space="0" w:color="auto"/>
        <w:right w:val="none" w:sz="0" w:space="0" w:color="auto"/>
      </w:divBdr>
    </w:div>
    <w:div w:id="656616229">
      <w:bodyDiv w:val="1"/>
      <w:marLeft w:val="0"/>
      <w:marRight w:val="0"/>
      <w:marTop w:val="0"/>
      <w:marBottom w:val="0"/>
      <w:divBdr>
        <w:top w:val="none" w:sz="0" w:space="0" w:color="auto"/>
        <w:left w:val="none" w:sz="0" w:space="0" w:color="auto"/>
        <w:bottom w:val="none" w:sz="0" w:space="0" w:color="auto"/>
        <w:right w:val="none" w:sz="0" w:space="0" w:color="auto"/>
      </w:divBdr>
    </w:div>
    <w:div w:id="667828621">
      <w:bodyDiv w:val="1"/>
      <w:marLeft w:val="0"/>
      <w:marRight w:val="0"/>
      <w:marTop w:val="0"/>
      <w:marBottom w:val="0"/>
      <w:divBdr>
        <w:top w:val="none" w:sz="0" w:space="0" w:color="auto"/>
        <w:left w:val="none" w:sz="0" w:space="0" w:color="auto"/>
        <w:bottom w:val="none" w:sz="0" w:space="0" w:color="auto"/>
        <w:right w:val="none" w:sz="0" w:space="0" w:color="auto"/>
      </w:divBdr>
    </w:div>
    <w:div w:id="685524508">
      <w:bodyDiv w:val="1"/>
      <w:marLeft w:val="0"/>
      <w:marRight w:val="0"/>
      <w:marTop w:val="0"/>
      <w:marBottom w:val="0"/>
      <w:divBdr>
        <w:top w:val="none" w:sz="0" w:space="0" w:color="auto"/>
        <w:left w:val="none" w:sz="0" w:space="0" w:color="auto"/>
        <w:bottom w:val="none" w:sz="0" w:space="0" w:color="auto"/>
        <w:right w:val="none" w:sz="0" w:space="0" w:color="auto"/>
      </w:divBdr>
      <w:divsChild>
        <w:div w:id="195047630">
          <w:marLeft w:val="0"/>
          <w:marRight w:val="0"/>
          <w:marTop w:val="0"/>
          <w:marBottom w:val="0"/>
          <w:divBdr>
            <w:top w:val="none" w:sz="0" w:space="0" w:color="auto"/>
            <w:left w:val="none" w:sz="0" w:space="0" w:color="auto"/>
            <w:bottom w:val="none" w:sz="0" w:space="0" w:color="auto"/>
            <w:right w:val="none" w:sz="0" w:space="0" w:color="auto"/>
          </w:divBdr>
        </w:div>
        <w:div w:id="1172836898">
          <w:marLeft w:val="0"/>
          <w:marRight w:val="0"/>
          <w:marTop w:val="0"/>
          <w:marBottom w:val="0"/>
          <w:divBdr>
            <w:top w:val="none" w:sz="0" w:space="0" w:color="auto"/>
            <w:left w:val="none" w:sz="0" w:space="0" w:color="auto"/>
            <w:bottom w:val="none" w:sz="0" w:space="0" w:color="auto"/>
            <w:right w:val="none" w:sz="0" w:space="0" w:color="auto"/>
          </w:divBdr>
        </w:div>
        <w:div w:id="1184127918">
          <w:marLeft w:val="0"/>
          <w:marRight w:val="0"/>
          <w:marTop w:val="0"/>
          <w:marBottom w:val="0"/>
          <w:divBdr>
            <w:top w:val="none" w:sz="0" w:space="0" w:color="auto"/>
            <w:left w:val="none" w:sz="0" w:space="0" w:color="auto"/>
            <w:bottom w:val="none" w:sz="0" w:space="0" w:color="auto"/>
            <w:right w:val="none" w:sz="0" w:space="0" w:color="auto"/>
          </w:divBdr>
        </w:div>
        <w:div w:id="1250114093">
          <w:marLeft w:val="0"/>
          <w:marRight w:val="0"/>
          <w:marTop w:val="0"/>
          <w:marBottom w:val="0"/>
          <w:divBdr>
            <w:top w:val="none" w:sz="0" w:space="0" w:color="auto"/>
            <w:left w:val="none" w:sz="0" w:space="0" w:color="auto"/>
            <w:bottom w:val="none" w:sz="0" w:space="0" w:color="auto"/>
            <w:right w:val="none" w:sz="0" w:space="0" w:color="auto"/>
          </w:divBdr>
        </w:div>
        <w:div w:id="1390810482">
          <w:marLeft w:val="0"/>
          <w:marRight w:val="0"/>
          <w:marTop w:val="0"/>
          <w:marBottom w:val="0"/>
          <w:divBdr>
            <w:top w:val="none" w:sz="0" w:space="0" w:color="auto"/>
            <w:left w:val="none" w:sz="0" w:space="0" w:color="auto"/>
            <w:bottom w:val="none" w:sz="0" w:space="0" w:color="auto"/>
            <w:right w:val="none" w:sz="0" w:space="0" w:color="auto"/>
          </w:divBdr>
        </w:div>
        <w:div w:id="1595481232">
          <w:marLeft w:val="0"/>
          <w:marRight w:val="0"/>
          <w:marTop w:val="0"/>
          <w:marBottom w:val="0"/>
          <w:divBdr>
            <w:top w:val="none" w:sz="0" w:space="0" w:color="auto"/>
            <w:left w:val="none" w:sz="0" w:space="0" w:color="auto"/>
            <w:bottom w:val="none" w:sz="0" w:space="0" w:color="auto"/>
            <w:right w:val="none" w:sz="0" w:space="0" w:color="auto"/>
          </w:divBdr>
        </w:div>
        <w:div w:id="1815102315">
          <w:marLeft w:val="0"/>
          <w:marRight w:val="0"/>
          <w:marTop w:val="0"/>
          <w:marBottom w:val="0"/>
          <w:divBdr>
            <w:top w:val="none" w:sz="0" w:space="0" w:color="auto"/>
            <w:left w:val="none" w:sz="0" w:space="0" w:color="auto"/>
            <w:bottom w:val="none" w:sz="0" w:space="0" w:color="auto"/>
            <w:right w:val="none" w:sz="0" w:space="0" w:color="auto"/>
          </w:divBdr>
        </w:div>
      </w:divsChild>
    </w:div>
    <w:div w:id="687410562">
      <w:bodyDiv w:val="1"/>
      <w:marLeft w:val="0"/>
      <w:marRight w:val="0"/>
      <w:marTop w:val="0"/>
      <w:marBottom w:val="0"/>
      <w:divBdr>
        <w:top w:val="none" w:sz="0" w:space="0" w:color="auto"/>
        <w:left w:val="none" w:sz="0" w:space="0" w:color="auto"/>
        <w:bottom w:val="none" w:sz="0" w:space="0" w:color="auto"/>
        <w:right w:val="none" w:sz="0" w:space="0" w:color="auto"/>
      </w:divBdr>
    </w:div>
    <w:div w:id="704671584">
      <w:bodyDiv w:val="1"/>
      <w:marLeft w:val="0"/>
      <w:marRight w:val="0"/>
      <w:marTop w:val="0"/>
      <w:marBottom w:val="0"/>
      <w:divBdr>
        <w:top w:val="none" w:sz="0" w:space="0" w:color="auto"/>
        <w:left w:val="none" w:sz="0" w:space="0" w:color="auto"/>
        <w:bottom w:val="none" w:sz="0" w:space="0" w:color="auto"/>
        <w:right w:val="none" w:sz="0" w:space="0" w:color="auto"/>
      </w:divBdr>
    </w:div>
    <w:div w:id="707341774">
      <w:bodyDiv w:val="1"/>
      <w:marLeft w:val="0"/>
      <w:marRight w:val="0"/>
      <w:marTop w:val="0"/>
      <w:marBottom w:val="0"/>
      <w:divBdr>
        <w:top w:val="none" w:sz="0" w:space="0" w:color="auto"/>
        <w:left w:val="none" w:sz="0" w:space="0" w:color="auto"/>
        <w:bottom w:val="none" w:sz="0" w:space="0" w:color="auto"/>
        <w:right w:val="none" w:sz="0" w:space="0" w:color="auto"/>
      </w:divBdr>
    </w:div>
    <w:div w:id="714038861">
      <w:bodyDiv w:val="1"/>
      <w:marLeft w:val="0"/>
      <w:marRight w:val="0"/>
      <w:marTop w:val="0"/>
      <w:marBottom w:val="0"/>
      <w:divBdr>
        <w:top w:val="none" w:sz="0" w:space="0" w:color="auto"/>
        <w:left w:val="none" w:sz="0" w:space="0" w:color="auto"/>
        <w:bottom w:val="none" w:sz="0" w:space="0" w:color="auto"/>
        <w:right w:val="none" w:sz="0" w:space="0" w:color="auto"/>
      </w:divBdr>
      <w:divsChild>
        <w:div w:id="16125384">
          <w:marLeft w:val="0"/>
          <w:marRight w:val="0"/>
          <w:marTop w:val="0"/>
          <w:marBottom w:val="0"/>
          <w:divBdr>
            <w:top w:val="none" w:sz="0" w:space="0" w:color="auto"/>
            <w:left w:val="none" w:sz="0" w:space="0" w:color="auto"/>
            <w:bottom w:val="none" w:sz="0" w:space="0" w:color="auto"/>
            <w:right w:val="none" w:sz="0" w:space="0" w:color="auto"/>
          </w:divBdr>
        </w:div>
        <w:div w:id="225410697">
          <w:marLeft w:val="0"/>
          <w:marRight w:val="0"/>
          <w:marTop w:val="0"/>
          <w:marBottom w:val="0"/>
          <w:divBdr>
            <w:top w:val="none" w:sz="0" w:space="0" w:color="auto"/>
            <w:left w:val="none" w:sz="0" w:space="0" w:color="auto"/>
            <w:bottom w:val="none" w:sz="0" w:space="0" w:color="auto"/>
            <w:right w:val="none" w:sz="0" w:space="0" w:color="auto"/>
          </w:divBdr>
        </w:div>
        <w:div w:id="494955364">
          <w:marLeft w:val="0"/>
          <w:marRight w:val="0"/>
          <w:marTop w:val="0"/>
          <w:marBottom w:val="0"/>
          <w:divBdr>
            <w:top w:val="none" w:sz="0" w:space="0" w:color="auto"/>
            <w:left w:val="none" w:sz="0" w:space="0" w:color="auto"/>
            <w:bottom w:val="none" w:sz="0" w:space="0" w:color="auto"/>
            <w:right w:val="none" w:sz="0" w:space="0" w:color="auto"/>
          </w:divBdr>
        </w:div>
        <w:div w:id="612442761">
          <w:marLeft w:val="0"/>
          <w:marRight w:val="0"/>
          <w:marTop w:val="0"/>
          <w:marBottom w:val="0"/>
          <w:divBdr>
            <w:top w:val="none" w:sz="0" w:space="0" w:color="auto"/>
            <w:left w:val="none" w:sz="0" w:space="0" w:color="auto"/>
            <w:bottom w:val="none" w:sz="0" w:space="0" w:color="auto"/>
            <w:right w:val="none" w:sz="0" w:space="0" w:color="auto"/>
          </w:divBdr>
        </w:div>
        <w:div w:id="859393098">
          <w:marLeft w:val="0"/>
          <w:marRight w:val="0"/>
          <w:marTop w:val="0"/>
          <w:marBottom w:val="0"/>
          <w:divBdr>
            <w:top w:val="none" w:sz="0" w:space="0" w:color="auto"/>
            <w:left w:val="none" w:sz="0" w:space="0" w:color="auto"/>
            <w:bottom w:val="none" w:sz="0" w:space="0" w:color="auto"/>
            <w:right w:val="none" w:sz="0" w:space="0" w:color="auto"/>
          </w:divBdr>
        </w:div>
        <w:div w:id="1558859739">
          <w:marLeft w:val="0"/>
          <w:marRight w:val="0"/>
          <w:marTop w:val="0"/>
          <w:marBottom w:val="0"/>
          <w:divBdr>
            <w:top w:val="none" w:sz="0" w:space="0" w:color="auto"/>
            <w:left w:val="none" w:sz="0" w:space="0" w:color="auto"/>
            <w:bottom w:val="none" w:sz="0" w:space="0" w:color="auto"/>
            <w:right w:val="none" w:sz="0" w:space="0" w:color="auto"/>
          </w:divBdr>
        </w:div>
        <w:div w:id="1684744727">
          <w:marLeft w:val="0"/>
          <w:marRight w:val="0"/>
          <w:marTop w:val="0"/>
          <w:marBottom w:val="0"/>
          <w:divBdr>
            <w:top w:val="none" w:sz="0" w:space="0" w:color="auto"/>
            <w:left w:val="none" w:sz="0" w:space="0" w:color="auto"/>
            <w:bottom w:val="none" w:sz="0" w:space="0" w:color="auto"/>
            <w:right w:val="none" w:sz="0" w:space="0" w:color="auto"/>
          </w:divBdr>
        </w:div>
        <w:div w:id="2136168610">
          <w:marLeft w:val="0"/>
          <w:marRight w:val="0"/>
          <w:marTop w:val="0"/>
          <w:marBottom w:val="0"/>
          <w:divBdr>
            <w:top w:val="none" w:sz="0" w:space="0" w:color="auto"/>
            <w:left w:val="none" w:sz="0" w:space="0" w:color="auto"/>
            <w:bottom w:val="none" w:sz="0" w:space="0" w:color="auto"/>
            <w:right w:val="none" w:sz="0" w:space="0" w:color="auto"/>
          </w:divBdr>
        </w:div>
      </w:divsChild>
    </w:div>
    <w:div w:id="723942218">
      <w:bodyDiv w:val="1"/>
      <w:marLeft w:val="0"/>
      <w:marRight w:val="0"/>
      <w:marTop w:val="0"/>
      <w:marBottom w:val="0"/>
      <w:divBdr>
        <w:top w:val="none" w:sz="0" w:space="0" w:color="auto"/>
        <w:left w:val="none" w:sz="0" w:space="0" w:color="auto"/>
        <w:bottom w:val="none" w:sz="0" w:space="0" w:color="auto"/>
        <w:right w:val="none" w:sz="0" w:space="0" w:color="auto"/>
      </w:divBdr>
      <w:divsChild>
        <w:div w:id="146173101">
          <w:marLeft w:val="0"/>
          <w:marRight w:val="0"/>
          <w:marTop w:val="0"/>
          <w:marBottom w:val="0"/>
          <w:divBdr>
            <w:top w:val="none" w:sz="0" w:space="0" w:color="auto"/>
            <w:left w:val="none" w:sz="0" w:space="0" w:color="auto"/>
            <w:bottom w:val="none" w:sz="0" w:space="0" w:color="auto"/>
            <w:right w:val="none" w:sz="0" w:space="0" w:color="auto"/>
          </w:divBdr>
          <w:divsChild>
            <w:div w:id="1995526930">
              <w:marLeft w:val="0"/>
              <w:marRight w:val="0"/>
              <w:marTop w:val="0"/>
              <w:marBottom w:val="0"/>
              <w:divBdr>
                <w:top w:val="none" w:sz="0" w:space="0" w:color="auto"/>
                <w:left w:val="none" w:sz="0" w:space="0" w:color="auto"/>
                <w:bottom w:val="none" w:sz="0" w:space="0" w:color="auto"/>
                <w:right w:val="none" w:sz="0" w:space="0" w:color="auto"/>
              </w:divBdr>
            </w:div>
          </w:divsChild>
        </w:div>
        <w:div w:id="154077479">
          <w:marLeft w:val="0"/>
          <w:marRight w:val="0"/>
          <w:marTop w:val="0"/>
          <w:marBottom w:val="0"/>
          <w:divBdr>
            <w:top w:val="none" w:sz="0" w:space="0" w:color="auto"/>
            <w:left w:val="none" w:sz="0" w:space="0" w:color="auto"/>
            <w:bottom w:val="none" w:sz="0" w:space="0" w:color="auto"/>
            <w:right w:val="none" w:sz="0" w:space="0" w:color="auto"/>
          </w:divBdr>
          <w:divsChild>
            <w:div w:id="1529444541">
              <w:marLeft w:val="0"/>
              <w:marRight w:val="0"/>
              <w:marTop w:val="0"/>
              <w:marBottom w:val="0"/>
              <w:divBdr>
                <w:top w:val="none" w:sz="0" w:space="0" w:color="auto"/>
                <w:left w:val="none" w:sz="0" w:space="0" w:color="auto"/>
                <w:bottom w:val="none" w:sz="0" w:space="0" w:color="auto"/>
                <w:right w:val="none" w:sz="0" w:space="0" w:color="auto"/>
              </w:divBdr>
            </w:div>
          </w:divsChild>
        </w:div>
        <w:div w:id="315188402">
          <w:marLeft w:val="0"/>
          <w:marRight w:val="0"/>
          <w:marTop w:val="0"/>
          <w:marBottom w:val="0"/>
          <w:divBdr>
            <w:top w:val="none" w:sz="0" w:space="0" w:color="auto"/>
            <w:left w:val="none" w:sz="0" w:space="0" w:color="auto"/>
            <w:bottom w:val="none" w:sz="0" w:space="0" w:color="auto"/>
            <w:right w:val="none" w:sz="0" w:space="0" w:color="auto"/>
          </w:divBdr>
          <w:divsChild>
            <w:div w:id="1786727623">
              <w:marLeft w:val="0"/>
              <w:marRight w:val="0"/>
              <w:marTop w:val="0"/>
              <w:marBottom w:val="0"/>
              <w:divBdr>
                <w:top w:val="none" w:sz="0" w:space="0" w:color="auto"/>
                <w:left w:val="none" w:sz="0" w:space="0" w:color="auto"/>
                <w:bottom w:val="none" w:sz="0" w:space="0" w:color="auto"/>
                <w:right w:val="none" w:sz="0" w:space="0" w:color="auto"/>
              </w:divBdr>
            </w:div>
          </w:divsChild>
        </w:div>
        <w:div w:id="356009634">
          <w:marLeft w:val="0"/>
          <w:marRight w:val="0"/>
          <w:marTop w:val="0"/>
          <w:marBottom w:val="0"/>
          <w:divBdr>
            <w:top w:val="none" w:sz="0" w:space="0" w:color="auto"/>
            <w:left w:val="none" w:sz="0" w:space="0" w:color="auto"/>
            <w:bottom w:val="none" w:sz="0" w:space="0" w:color="auto"/>
            <w:right w:val="none" w:sz="0" w:space="0" w:color="auto"/>
          </w:divBdr>
          <w:divsChild>
            <w:div w:id="1723334713">
              <w:marLeft w:val="0"/>
              <w:marRight w:val="0"/>
              <w:marTop w:val="0"/>
              <w:marBottom w:val="0"/>
              <w:divBdr>
                <w:top w:val="none" w:sz="0" w:space="0" w:color="auto"/>
                <w:left w:val="none" w:sz="0" w:space="0" w:color="auto"/>
                <w:bottom w:val="none" w:sz="0" w:space="0" w:color="auto"/>
                <w:right w:val="none" w:sz="0" w:space="0" w:color="auto"/>
              </w:divBdr>
            </w:div>
          </w:divsChild>
        </w:div>
        <w:div w:id="356201752">
          <w:marLeft w:val="0"/>
          <w:marRight w:val="0"/>
          <w:marTop w:val="0"/>
          <w:marBottom w:val="0"/>
          <w:divBdr>
            <w:top w:val="none" w:sz="0" w:space="0" w:color="auto"/>
            <w:left w:val="none" w:sz="0" w:space="0" w:color="auto"/>
            <w:bottom w:val="none" w:sz="0" w:space="0" w:color="auto"/>
            <w:right w:val="none" w:sz="0" w:space="0" w:color="auto"/>
          </w:divBdr>
          <w:divsChild>
            <w:div w:id="309866266">
              <w:marLeft w:val="0"/>
              <w:marRight w:val="0"/>
              <w:marTop w:val="0"/>
              <w:marBottom w:val="0"/>
              <w:divBdr>
                <w:top w:val="none" w:sz="0" w:space="0" w:color="auto"/>
                <w:left w:val="none" w:sz="0" w:space="0" w:color="auto"/>
                <w:bottom w:val="none" w:sz="0" w:space="0" w:color="auto"/>
                <w:right w:val="none" w:sz="0" w:space="0" w:color="auto"/>
              </w:divBdr>
            </w:div>
          </w:divsChild>
        </w:div>
        <w:div w:id="531111423">
          <w:marLeft w:val="0"/>
          <w:marRight w:val="0"/>
          <w:marTop w:val="0"/>
          <w:marBottom w:val="0"/>
          <w:divBdr>
            <w:top w:val="none" w:sz="0" w:space="0" w:color="auto"/>
            <w:left w:val="none" w:sz="0" w:space="0" w:color="auto"/>
            <w:bottom w:val="none" w:sz="0" w:space="0" w:color="auto"/>
            <w:right w:val="none" w:sz="0" w:space="0" w:color="auto"/>
          </w:divBdr>
          <w:divsChild>
            <w:div w:id="1283653693">
              <w:marLeft w:val="0"/>
              <w:marRight w:val="0"/>
              <w:marTop w:val="0"/>
              <w:marBottom w:val="0"/>
              <w:divBdr>
                <w:top w:val="none" w:sz="0" w:space="0" w:color="auto"/>
                <w:left w:val="none" w:sz="0" w:space="0" w:color="auto"/>
                <w:bottom w:val="none" w:sz="0" w:space="0" w:color="auto"/>
                <w:right w:val="none" w:sz="0" w:space="0" w:color="auto"/>
              </w:divBdr>
            </w:div>
          </w:divsChild>
        </w:div>
        <w:div w:id="554317344">
          <w:marLeft w:val="0"/>
          <w:marRight w:val="0"/>
          <w:marTop w:val="0"/>
          <w:marBottom w:val="0"/>
          <w:divBdr>
            <w:top w:val="none" w:sz="0" w:space="0" w:color="auto"/>
            <w:left w:val="none" w:sz="0" w:space="0" w:color="auto"/>
            <w:bottom w:val="none" w:sz="0" w:space="0" w:color="auto"/>
            <w:right w:val="none" w:sz="0" w:space="0" w:color="auto"/>
          </w:divBdr>
          <w:divsChild>
            <w:div w:id="2092660732">
              <w:marLeft w:val="0"/>
              <w:marRight w:val="0"/>
              <w:marTop w:val="0"/>
              <w:marBottom w:val="0"/>
              <w:divBdr>
                <w:top w:val="none" w:sz="0" w:space="0" w:color="auto"/>
                <w:left w:val="none" w:sz="0" w:space="0" w:color="auto"/>
                <w:bottom w:val="none" w:sz="0" w:space="0" w:color="auto"/>
                <w:right w:val="none" w:sz="0" w:space="0" w:color="auto"/>
              </w:divBdr>
            </w:div>
          </w:divsChild>
        </w:div>
        <w:div w:id="642344693">
          <w:marLeft w:val="0"/>
          <w:marRight w:val="0"/>
          <w:marTop w:val="0"/>
          <w:marBottom w:val="0"/>
          <w:divBdr>
            <w:top w:val="none" w:sz="0" w:space="0" w:color="auto"/>
            <w:left w:val="none" w:sz="0" w:space="0" w:color="auto"/>
            <w:bottom w:val="none" w:sz="0" w:space="0" w:color="auto"/>
            <w:right w:val="none" w:sz="0" w:space="0" w:color="auto"/>
          </w:divBdr>
          <w:divsChild>
            <w:div w:id="1991791443">
              <w:marLeft w:val="0"/>
              <w:marRight w:val="0"/>
              <w:marTop w:val="0"/>
              <w:marBottom w:val="0"/>
              <w:divBdr>
                <w:top w:val="none" w:sz="0" w:space="0" w:color="auto"/>
                <w:left w:val="none" w:sz="0" w:space="0" w:color="auto"/>
                <w:bottom w:val="none" w:sz="0" w:space="0" w:color="auto"/>
                <w:right w:val="none" w:sz="0" w:space="0" w:color="auto"/>
              </w:divBdr>
            </w:div>
          </w:divsChild>
        </w:div>
        <w:div w:id="721054592">
          <w:marLeft w:val="0"/>
          <w:marRight w:val="0"/>
          <w:marTop w:val="0"/>
          <w:marBottom w:val="0"/>
          <w:divBdr>
            <w:top w:val="none" w:sz="0" w:space="0" w:color="auto"/>
            <w:left w:val="none" w:sz="0" w:space="0" w:color="auto"/>
            <w:bottom w:val="none" w:sz="0" w:space="0" w:color="auto"/>
            <w:right w:val="none" w:sz="0" w:space="0" w:color="auto"/>
          </w:divBdr>
          <w:divsChild>
            <w:div w:id="445778365">
              <w:marLeft w:val="0"/>
              <w:marRight w:val="0"/>
              <w:marTop w:val="0"/>
              <w:marBottom w:val="0"/>
              <w:divBdr>
                <w:top w:val="none" w:sz="0" w:space="0" w:color="auto"/>
                <w:left w:val="none" w:sz="0" w:space="0" w:color="auto"/>
                <w:bottom w:val="none" w:sz="0" w:space="0" w:color="auto"/>
                <w:right w:val="none" w:sz="0" w:space="0" w:color="auto"/>
              </w:divBdr>
            </w:div>
          </w:divsChild>
        </w:div>
        <w:div w:id="906573044">
          <w:marLeft w:val="0"/>
          <w:marRight w:val="0"/>
          <w:marTop w:val="0"/>
          <w:marBottom w:val="0"/>
          <w:divBdr>
            <w:top w:val="none" w:sz="0" w:space="0" w:color="auto"/>
            <w:left w:val="none" w:sz="0" w:space="0" w:color="auto"/>
            <w:bottom w:val="none" w:sz="0" w:space="0" w:color="auto"/>
            <w:right w:val="none" w:sz="0" w:space="0" w:color="auto"/>
          </w:divBdr>
          <w:divsChild>
            <w:div w:id="1425225306">
              <w:marLeft w:val="0"/>
              <w:marRight w:val="0"/>
              <w:marTop w:val="0"/>
              <w:marBottom w:val="0"/>
              <w:divBdr>
                <w:top w:val="none" w:sz="0" w:space="0" w:color="auto"/>
                <w:left w:val="none" w:sz="0" w:space="0" w:color="auto"/>
                <w:bottom w:val="none" w:sz="0" w:space="0" w:color="auto"/>
                <w:right w:val="none" w:sz="0" w:space="0" w:color="auto"/>
              </w:divBdr>
            </w:div>
          </w:divsChild>
        </w:div>
        <w:div w:id="1048456799">
          <w:marLeft w:val="0"/>
          <w:marRight w:val="0"/>
          <w:marTop w:val="0"/>
          <w:marBottom w:val="0"/>
          <w:divBdr>
            <w:top w:val="none" w:sz="0" w:space="0" w:color="auto"/>
            <w:left w:val="none" w:sz="0" w:space="0" w:color="auto"/>
            <w:bottom w:val="none" w:sz="0" w:space="0" w:color="auto"/>
            <w:right w:val="none" w:sz="0" w:space="0" w:color="auto"/>
          </w:divBdr>
          <w:divsChild>
            <w:div w:id="102502319">
              <w:marLeft w:val="0"/>
              <w:marRight w:val="0"/>
              <w:marTop w:val="0"/>
              <w:marBottom w:val="0"/>
              <w:divBdr>
                <w:top w:val="none" w:sz="0" w:space="0" w:color="auto"/>
                <w:left w:val="none" w:sz="0" w:space="0" w:color="auto"/>
                <w:bottom w:val="none" w:sz="0" w:space="0" w:color="auto"/>
                <w:right w:val="none" w:sz="0" w:space="0" w:color="auto"/>
              </w:divBdr>
            </w:div>
          </w:divsChild>
        </w:div>
        <w:div w:id="1199665586">
          <w:marLeft w:val="0"/>
          <w:marRight w:val="0"/>
          <w:marTop w:val="0"/>
          <w:marBottom w:val="0"/>
          <w:divBdr>
            <w:top w:val="none" w:sz="0" w:space="0" w:color="auto"/>
            <w:left w:val="none" w:sz="0" w:space="0" w:color="auto"/>
            <w:bottom w:val="none" w:sz="0" w:space="0" w:color="auto"/>
            <w:right w:val="none" w:sz="0" w:space="0" w:color="auto"/>
          </w:divBdr>
          <w:divsChild>
            <w:div w:id="247276028">
              <w:marLeft w:val="0"/>
              <w:marRight w:val="0"/>
              <w:marTop w:val="0"/>
              <w:marBottom w:val="0"/>
              <w:divBdr>
                <w:top w:val="none" w:sz="0" w:space="0" w:color="auto"/>
                <w:left w:val="none" w:sz="0" w:space="0" w:color="auto"/>
                <w:bottom w:val="none" w:sz="0" w:space="0" w:color="auto"/>
                <w:right w:val="none" w:sz="0" w:space="0" w:color="auto"/>
              </w:divBdr>
            </w:div>
          </w:divsChild>
        </w:div>
        <w:div w:id="1201043260">
          <w:marLeft w:val="0"/>
          <w:marRight w:val="0"/>
          <w:marTop w:val="0"/>
          <w:marBottom w:val="0"/>
          <w:divBdr>
            <w:top w:val="none" w:sz="0" w:space="0" w:color="auto"/>
            <w:left w:val="none" w:sz="0" w:space="0" w:color="auto"/>
            <w:bottom w:val="none" w:sz="0" w:space="0" w:color="auto"/>
            <w:right w:val="none" w:sz="0" w:space="0" w:color="auto"/>
          </w:divBdr>
          <w:divsChild>
            <w:div w:id="1104498502">
              <w:marLeft w:val="0"/>
              <w:marRight w:val="0"/>
              <w:marTop w:val="0"/>
              <w:marBottom w:val="0"/>
              <w:divBdr>
                <w:top w:val="none" w:sz="0" w:space="0" w:color="auto"/>
                <w:left w:val="none" w:sz="0" w:space="0" w:color="auto"/>
                <w:bottom w:val="none" w:sz="0" w:space="0" w:color="auto"/>
                <w:right w:val="none" w:sz="0" w:space="0" w:color="auto"/>
              </w:divBdr>
            </w:div>
          </w:divsChild>
        </w:div>
        <w:div w:id="1255675146">
          <w:marLeft w:val="0"/>
          <w:marRight w:val="0"/>
          <w:marTop w:val="0"/>
          <w:marBottom w:val="0"/>
          <w:divBdr>
            <w:top w:val="none" w:sz="0" w:space="0" w:color="auto"/>
            <w:left w:val="none" w:sz="0" w:space="0" w:color="auto"/>
            <w:bottom w:val="none" w:sz="0" w:space="0" w:color="auto"/>
            <w:right w:val="none" w:sz="0" w:space="0" w:color="auto"/>
          </w:divBdr>
          <w:divsChild>
            <w:div w:id="1083449201">
              <w:marLeft w:val="0"/>
              <w:marRight w:val="0"/>
              <w:marTop w:val="0"/>
              <w:marBottom w:val="0"/>
              <w:divBdr>
                <w:top w:val="none" w:sz="0" w:space="0" w:color="auto"/>
                <w:left w:val="none" w:sz="0" w:space="0" w:color="auto"/>
                <w:bottom w:val="none" w:sz="0" w:space="0" w:color="auto"/>
                <w:right w:val="none" w:sz="0" w:space="0" w:color="auto"/>
              </w:divBdr>
            </w:div>
          </w:divsChild>
        </w:div>
        <w:div w:id="1335180314">
          <w:marLeft w:val="0"/>
          <w:marRight w:val="0"/>
          <w:marTop w:val="0"/>
          <w:marBottom w:val="0"/>
          <w:divBdr>
            <w:top w:val="none" w:sz="0" w:space="0" w:color="auto"/>
            <w:left w:val="none" w:sz="0" w:space="0" w:color="auto"/>
            <w:bottom w:val="none" w:sz="0" w:space="0" w:color="auto"/>
            <w:right w:val="none" w:sz="0" w:space="0" w:color="auto"/>
          </w:divBdr>
          <w:divsChild>
            <w:div w:id="2141070948">
              <w:marLeft w:val="0"/>
              <w:marRight w:val="0"/>
              <w:marTop w:val="0"/>
              <w:marBottom w:val="0"/>
              <w:divBdr>
                <w:top w:val="none" w:sz="0" w:space="0" w:color="auto"/>
                <w:left w:val="none" w:sz="0" w:space="0" w:color="auto"/>
                <w:bottom w:val="none" w:sz="0" w:space="0" w:color="auto"/>
                <w:right w:val="none" w:sz="0" w:space="0" w:color="auto"/>
              </w:divBdr>
            </w:div>
          </w:divsChild>
        </w:div>
        <w:div w:id="1436293241">
          <w:marLeft w:val="0"/>
          <w:marRight w:val="0"/>
          <w:marTop w:val="0"/>
          <w:marBottom w:val="0"/>
          <w:divBdr>
            <w:top w:val="none" w:sz="0" w:space="0" w:color="auto"/>
            <w:left w:val="none" w:sz="0" w:space="0" w:color="auto"/>
            <w:bottom w:val="none" w:sz="0" w:space="0" w:color="auto"/>
            <w:right w:val="none" w:sz="0" w:space="0" w:color="auto"/>
          </w:divBdr>
          <w:divsChild>
            <w:div w:id="2047291314">
              <w:marLeft w:val="0"/>
              <w:marRight w:val="0"/>
              <w:marTop w:val="0"/>
              <w:marBottom w:val="0"/>
              <w:divBdr>
                <w:top w:val="none" w:sz="0" w:space="0" w:color="auto"/>
                <w:left w:val="none" w:sz="0" w:space="0" w:color="auto"/>
                <w:bottom w:val="none" w:sz="0" w:space="0" w:color="auto"/>
                <w:right w:val="none" w:sz="0" w:space="0" w:color="auto"/>
              </w:divBdr>
            </w:div>
          </w:divsChild>
        </w:div>
        <w:div w:id="1498307520">
          <w:marLeft w:val="0"/>
          <w:marRight w:val="0"/>
          <w:marTop w:val="0"/>
          <w:marBottom w:val="0"/>
          <w:divBdr>
            <w:top w:val="none" w:sz="0" w:space="0" w:color="auto"/>
            <w:left w:val="none" w:sz="0" w:space="0" w:color="auto"/>
            <w:bottom w:val="none" w:sz="0" w:space="0" w:color="auto"/>
            <w:right w:val="none" w:sz="0" w:space="0" w:color="auto"/>
          </w:divBdr>
          <w:divsChild>
            <w:div w:id="570702901">
              <w:marLeft w:val="0"/>
              <w:marRight w:val="0"/>
              <w:marTop w:val="0"/>
              <w:marBottom w:val="0"/>
              <w:divBdr>
                <w:top w:val="none" w:sz="0" w:space="0" w:color="auto"/>
                <w:left w:val="none" w:sz="0" w:space="0" w:color="auto"/>
                <w:bottom w:val="none" w:sz="0" w:space="0" w:color="auto"/>
                <w:right w:val="none" w:sz="0" w:space="0" w:color="auto"/>
              </w:divBdr>
            </w:div>
          </w:divsChild>
        </w:div>
        <w:div w:id="1843163067">
          <w:marLeft w:val="0"/>
          <w:marRight w:val="0"/>
          <w:marTop w:val="0"/>
          <w:marBottom w:val="0"/>
          <w:divBdr>
            <w:top w:val="none" w:sz="0" w:space="0" w:color="auto"/>
            <w:left w:val="none" w:sz="0" w:space="0" w:color="auto"/>
            <w:bottom w:val="none" w:sz="0" w:space="0" w:color="auto"/>
            <w:right w:val="none" w:sz="0" w:space="0" w:color="auto"/>
          </w:divBdr>
          <w:divsChild>
            <w:div w:id="6130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7334">
      <w:bodyDiv w:val="1"/>
      <w:marLeft w:val="0"/>
      <w:marRight w:val="0"/>
      <w:marTop w:val="0"/>
      <w:marBottom w:val="0"/>
      <w:divBdr>
        <w:top w:val="none" w:sz="0" w:space="0" w:color="auto"/>
        <w:left w:val="none" w:sz="0" w:space="0" w:color="auto"/>
        <w:bottom w:val="none" w:sz="0" w:space="0" w:color="auto"/>
        <w:right w:val="none" w:sz="0" w:space="0" w:color="auto"/>
      </w:divBdr>
    </w:div>
    <w:div w:id="749549130">
      <w:bodyDiv w:val="1"/>
      <w:marLeft w:val="0"/>
      <w:marRight w:val="0"/>
      <w:marTop w:val="0"/>
      <w:marBottom w:val="0"/>
      <w:divBdr>
        <w:top w:val="none" w:sz="0" w:space="0" w:color="auto"/>
        <w:left w:val="none" w:sz="0" w:space="0" w:color="auto"/>
        <w:bottom w:val="none" w:sz="0" w:space="0" w:color="auto"/>
        <w:right w:val="none" w:sz="0" w:space="0" w:color="auto"/>
      </w:divBdr>
    </w:div>
    <w:div w:id="767236013">
      <w:bodyDiv w:val="1"/>
      <w:marLeft w:val="0"/>
      <w:marRight w:val="0"/>
      <w:marTop w:val="0"/>
      <w:marBottom w:val="0"/>
      <w:divBdr>
        <w:top w:val="none" w:sz="0" w:space="0" w:color="auto"/>
        <w:left w:val="none" w:sz="0" w:space="0" w:color="auto"/>
        <w:bottom w:val="none" w:sz="0" w:space="0" w:color="auto"/>
        <w:right w:val="none" w:sz="0" w:space="0" w:color="auto"/>
      </w:divBdr>
    </w:div>
    <w:div w:id="776019684">
      <w:bodyDiv w:val="1"/>
      <w:marLeft w:val="0"/>
      <w:marRight w:val="0"/>
      <w:marTop w:val="0"/>
      <w:marBottom w:val="0"/>
      <w:divBdr>
        <w:top w:val="none" w:sz="0" w:space="0" w:color="auto"/>
        <w:left w:val="none" w:sz="0" w:space="0" w:color="auto"/>
        <w:bottom w:val="none" w:sz="0" w:space="0" w:color="auto"/>
        <w:right w:val="none" w:sz="0" w:space="0" w:color="auto"/>
      </w:divBdr>
    </w:div>
    <w:div w:id="779028111">
      <w:bodyDiv w:val="1"/>
      <w:marLeft w:val="0"/>
      <w:marRight w:val="0"/>
      <w:marTop w:val="0"/>
      <w:marBottom w:val="0"/>
      <w:divBdr>
        <w:top w:val="none" w:sz="0" w:space="0" w:color="auto"/>
        <w:left w:val="none" w:sz="0" w:space="0" w:color="auto"/>
        <w:bottom w:val="none" w:sz="0" w:space="0" w:color="auto"/>
        <w:right w:val="none" w:sz="0" w:space="0" w:color="auto"/>
      </w:divBdr>
      <w:divsChild>
        <w:div w:id="18285940">
          <w:marLeft w:val="0"/>
          <w:marRight w:val="0"/>
          <w:marTop w:val="0"/>
          <w:marBottom w:val="0"/>
          <w:divBdr>
            <w:top w:val="none" w:sz="0" w:space="0" w:color="auto"/>
            <w:left w:val="none" w:sz="0" w:space="0" w:color="auto"/>
            <w:bottom w:val="none" w:sz="0" w:space="0" w:color="auto"/>
            <w:right w:val="none" w:sz="0" w:space="0" w:color="auto"/>
          </w:divBdr>
        </w:div>
      </w:divsChild>
    </w:div>
    <w:div w:id="779687290">
      <w:bodyDiv w:val="1"/>
      <w:marLeft w:val="0"/>
      <w:marRight w:val="0"/>
      <w:marTop w:val="0"/>
      <w:marBottom w:val="0"/>
      <w:divBdr>
        <w:top w:val="none" w:sz="0" w:space="0" w:color="auto"/>
        <w:left w:val="none" w:sz="0" w:space="0" w:color="auto"/>
        <w:bottom w:val="none" w:sz="0" w:space="0" w:color="auto"/>
        <w:right w:val="none" w:sz="0" w:space="0" w:color="auto"/>
      </w:divBdr>
      <w:divsChild>
        <w:div w:id="116459102">
          <w:marLeft w:val="0"/>
          <w:marRight w:val="0"/>
          <w:marTop w:val="0"/>
          <w:marBottom w:val="0"/>
          <w:divBdr>
            <w:top w:val="none" w:sz="0" w:space="0" w:color="auto"/>
            <w:left w:val="none" w:sz="0" w:space="0" w:color="auto"/>
            <w:bottom w:val="none" w:sz="0" w:space="0" w:color="auto"/>
            <w:right w:val="none" w:sz="0" w:space="0" w:color="auto"/>
          </w:divBdr>
        </w:div>
        <w:div w:id="383067607">
          <w:marLeft w:val="0"/>
          <w:marRight w:val="0"/>
          <w:marTop w:val="0"/>
          <w:marBottom w:val="0"/>
          <w:divBdr>
            <w:top w:val="none" w:sz="0" w:space="0" w:color="auto"/>
            <w:left w:val="none" w:sz="0" w:space="0" w:color="auto"/>
            <w:bottom w:val="none" w:sz="0" w:space="0" w:color="auto"/>
            <w:right w:val="none" w:sz="0" w:space="0" w:color="auto"/>
          </w:divBdr>
        </w:div>
        <w:div w:id="725420472">
          <w:marLeft w:val="0"/>
          <w:marRight w:val="0"/>
          <w:marTop w:val="0"/>
          <w:marBottom w:val="0"/>
          <w:divBdr>
            <w:top w:val="none" w:sz="0" w:space="0" w:color="auto"/>
            <w:left w:val="none" w:sz="0" w:space="0" w:color="auto"/>
            <w:bottom w:val="none" w:sz="0" w:space="0" w:color="auto"/>
            <w:right w:val="none" w:sz="0" w:space="0" w:color="auto"/>
          </w:divBdr>
        </w:div>
        <w:div w:id="830292228">
          <w:marLeft w:val="0"/>
          <w:marRight w:val="0"/>
          <w:marTop w:val="0"/>
          <w:marBottom w:val="0"/>
          <w:divBdr>
            <w:top w:val="none" w:sz="0" w:space="0" w:color="auto"/>
            <w:left w:val="none" w:sz="0" w:space="0" w:color="auto"/>
            <w:bottom w:val="none" w:sz="0" w:space="0" w:color="auto"/>
            <w:right w:val="none" w:sz="0" w:space="0" w:color="auto"/>
          </w:divBdr>
        </w:div>
        <w:div w:id="873621309">
          <w:marLeft w:val="0"/>
          <w:marRight w:val="0"/>
          <w:marTop w:val="0"/>
          <w:marBottom w:val="0"/>
          <w:divBdr>
            <w:top w:val="none" w:sz="0" w:space="0" w:color="auto"/>
            <w:left w:val="none" w:sz="0" w:space="0" w:color="auto"/>
            <w:bottom w:val="none" w:sz="0" w:space="0" w:color="auto"/>
            <w:right w:val="none" w:sz="0" w:space="0" w:color="auto"/>
          </w:divBdr>
        </w:div>
        <w:div w:id="1188830539">
          <w:marLeft w:val="0"/>
          <w:marRight w:val="0"/>
          <w:marTop w:val="0"/>
          <w:marBottom w:val="0"/>
          <w:divBdr>
            <w:top w:val="none" w:sz="0" w:space="0" w:color="auto"/>
            <w:left w:val="none" w:sz="0" w:space="0" w:color="auto"/>
            <w:bottom w:val="none" w:sz="0" w:space="0" w:color="auto"/>
            <w:right w:val="none" w:sz="0" w:space="0" w:color="auto"/>
          </w:divBdr>
        </w:div>
        <w:div w:id="1192066796">
          <w:marLeft w:val="0"/>
          <w:marRight w:val="0"/>
          <w:marTop w:val="0"/>
          <w:marBottom w:val="0"/>
          <w:divBdr>
            <w:top w:val="none" w:sz="0" w:space="0" w:color="auto"/>
            <w:left w:val="none" w:sz="0" w:space="0" w:color="auto"/>
            <w:bottom w:val="none" w:sz="0" w:space="0" w:color="auto"/>
            <w:right w:val="none" w:sz="0" w:space="0" w:color="auto"/>
          </w:divBdr>
        </w:div>
        <w:div w:id="1221402342">
          <w:marLeft w:val="0"/>
          <w:marRight w:val="0"/>
          <w:marTop w:val="0"/>
          <w:marBottom w:val="0"/>
          <w:divBdr>
            <w:top w:val="none" w:sz="0" w:space="0" w:color="auto"/>
            <w:left w:val="none" w:sz="0" w:space="0" w:color="auto"/>
            <w:bottom w:val="none" w:sz="0" w:space="0" w:color="auto"/>
            <w:right w:val="none" w:sz="0" w:space="0" w:color="auto"/>
          </w:divBdr>
        </w:div>
        <w:div w:id="1311321695">
          <w:marLeft w:val="0"/>
          <w:marRight w:val="0"/>
          <w:marTop w:val="0"/>
          <w:marBottom w:val="0"/>
          <w:divBdr>
            <w:top w:val="none" w:sz="0" w:space="0" w:color="auto"/>
            <w:left w:val="none" w:sz="0" w:space="0" w:color="auto"/>
            <w:bottom w:val="none" w:sz="0" w:space="0" w:color="auto"/>
            <w:right w:val="none" w:sz="0" w:space="0" w:color="auto"/>
          </w:divBdr>
        </w:div>
        <w:div w:id="1375737923">
          <w:marLeft w:val="0"/>
          <w:marRight w:val="0"/>
          <w:marTop w:val="0"/>
          <w:marBottom w:val="0"/>
          <w:divBdr>
            <w:top w:val="none" w:sz="0" w:space="0" w:color="auto"/>
            <w:left w:val="none" w:sz="0" w:space="0" w:color="auto"/>
            <w:bottom w:val="none" w:sz="0" w:space="0" w:color="auto"/>
            <w:right w:val="none" w:sz="0" w:space="0" w:color="auto"/>
          </w:divBdr>
        </w:div>
        <w:div w:id="1444106939">
          <w:marLeft w:val="0"/>
          <w:marRight w:val="0"/>
          <w:marTop w:val="0"/>
          <w:marBottom w:val="0"/>
          <w:divBdr>
            <w:top w:val="none" w:sz="0" w:space="0" w:color="auto"/>
            <w:left w:val="none" w:sz="0" w:space="0" w:color="auto"/>
            <w:bottom w:val="none" w:sz="0" w:space="0" w:color="auto"/>
            <w:right w:val="none" w:sz="0" w:space="0" w:color="auto"/>
          </w:divBdr>
        </w:div>
        <w:div w:id="1612862611">
          <w:marLeft w:val="0"/>
          <w:marRight w:val="0"/>
          <w:marTop w:val="0"/>
          <w:marBottom w:val="0"/>
          <w:divBdr>
            <w:top w:val="none" w:sz="0" w:space="0" w:color="auto"/>
            <w:left w:val="none" w:sz="0" w:space="0" w:color="auto"/>
            <w:bottom w:val="none" w:sz="0" w:space="0" w:color="auto"/>
            <w:right w:val="none" w:sz="0" w:space="0" w:color="auto"/>
          </w:divBdr>
        </w:div>
        <w:div w:id="1745831211">
          <w:marLeft w:val="0"/>
          <w:marRight w:val="0"/>
          <w:marTop w:val="0"/>
          <w:marBottom w:val="0"/>
          <w:divBdr>
            <w:top w:val="none" w:sz="0" w:space="0" w:color="auto"/>
            <w:left w:val="none" w:sz="0" w:space="0" w:color="auto"/>
            <w:bottom w:val="none" w:sz="0" w:space="0" w:color="auto"/>
            <w:right w:val="none" w:sz="0" w:space="0" w:color="auto"/>
          </w:divBdr>
        </w:div>
        <w:div w:id="1748114759">
          <w:marLeft w:val="0"/>
          <w:marRight w:val="0"/>
          <w:marTop w:val="0"/>
          <w:marBottom w:val="0"/>
          <w:divBdr>
            <w:top w:val="none" w:sz="0" w:space="0" w:color="auto"/>
            <w:left w:val="none" w:sz="0" w:space="0" w:color="auto"/>
            <w:bottom w:val="none" w:sz="0" w:space="0" w:color="auto"/>
            <w:right w:val="none" w:sz="0" w:space="0" w:color="auto"/>
          </w:divBdr>
        </w:div>
        <w:div w:id="1764717592">
          <w:marLeft w:val="0"/>
          <w:marRight w:val="0"/>
          <w:marTop w:val="0"/>
          <w:marBottom w:val="0"/>
          <w:divBdr>
            <w:top w:val="none" w:sz="0" w:space="0" w:color="auto"/>
            <w:left w:val="none" w:sz="0" w:space="0" w:color="auto"/>
            <w:bottom w:val="none" w:sz="0" w:space="0" w:color="auto"/>
            <w:right w:val="none" w:sz="0" w:space="0" w:color="auto"/>
          </w:divBdr>
        </w:div>
        <w:div w:id="1825271298">
          <w:marLeft w:val="0"/>
          <w:marRight w:val="0"/>
          <w:marTop w:val="0"/>
          <w:marBottom w:val="0"/>
          <w:divBdr>
            <w:top w:val="none" w:sz="0" w:space="0" w:color="auto"/>
            <w:left w:val="none" w:sz="0" w:space="0" w:color="auto"/>
            <w:bottom w:val="none" w:sz="0" w:space="0" w:color="auto"/>
            <w:right w:val="none" w:sz="0" w:space="0" w:color="auto"/>
          </w:divBdr>
        </w:div>
        <w:div w:id="2019773099">
          <w:marLeft w:val="0"/>
          <w:marRight w:val="0"/>
          <w:marTop w:val="0"/>
          <w:marBottom w:val="0"/>
          <w:divBdr>
            <w:top w:val="none" w:sz="0" w:space="0" w:color="auto"/>
            <w:left w:val="none" w:sz="0" w:space="0" w:color="auto"/>
            <w:bottom w:val="none" w:sz="0" w:space="0" w:color="auto"/>
            <w:right w:val="none" w:sz="0" w:space="0" w:color="auto"/>
          </w:divBdr>
        </w:div>
      </w:divsChild>
    </w:div>
    <w:div w:id="780534414">
      <w:bodyDiv w:val="1"/>
      <w:marLeft w:val="0"/>
      <w:marRight w:val="0"/>
      <w:marTop w:val="0"/>
      <w:marBottom w:val="0"/>
      <w:divBdr>
        <w:top w:val="none" w:sz="0" w:space="0" w:color="auto"/>
        <w:left w:val="none" w:sz="0" w:space="0" w:color="auto"/>
        <w:bottom w:val="none" w:sz="0" w:space="0" w:color="auto"/>
        <w:right w:val="none" w:sz="0" w:space="0" w:color="auto"/>
      </w:divBdr>
    </w:div>
    <w:div w:id="792790081">
      <w:bodyDiv w:val="1"/>
      <w:marLeft w:val="0"/>
      <w:marRight w:val="0"/>
      <w:marTop w:val="0"/>
      <w:marBottom w:val="0"/>
      <w:divBdr>
        <w:top w:val="none" w:sz="0" w:space="0" w:color="auto"/>
        <w:left w:val="none" w:sz="0" w:space="0" w:color="auto"/>
        <w:bottom w:val="none" w:sz="0" w:space="0" w:color="auto"/>
        <w:right w:val="none" w:sz="0" w:space="0" w:color="auto"/>
      </w:divBdr>
    </w:div>
    <w:div w:id="813567467">
      <w:bodyDiv w:val="1"/>
      <w:marLeft w:val="0"/>
      <w:marRight w:val="0"/>
      <w:marTop w:val="0"/>
      <w:marBottom w:val="0"/>
      <w:divBdr>
        <w:top w:val="none" w:sz="0" w:space="0" w:color="auto"/>
        <w:left w:val="none" w:sz="0" w:space="0" w:color="auto"/>
        <w:bottom w:val="none" w:sz="0" w:space="0" w:color="auto"/>
        <w:right w:val="none" w:sz="0" w:space="0" w:color="auto"/>
      </w:divBdr>
      <w:divsChild>
        <w:div w:id="41753562">
          <w:marLeft w:val="0"/>
          <w:marRight w:val="0"/>
          <w:marTop w:val="0"/>
          <w:marBottom w:val="0"/>
          <w:divBdr>
            <w:top w:val="none" w:sz="0" w:space="0" w:color="auto"/>
            <w:left w:val="none" w:sz="0" w:space="0" w:color="auto"/>
            <w:bottom w:val="none" w:sz="0" w:space="0" w:color="auto"/>
            <w:right w:val="none" w:sz="0" w:space="0" w:color="auto"/>
          </w:divBdr>
          <w:divsChild>
            <w:div w:id="1712344536">
              <w:marLeft w:val="0"/>
              <w:marRight w:val="0"/>
              <w:marTop w:val="0"/>
              <w:marBottom w:val="0"/>
              <w:divBdr>
                <w:top w:val="none" w:sz="0" w:space="0" w:color="auto"/>
                <w:left w:val="none" w:sz="0" w:space="0" w:color="auto"/>
                <w:bottom w:val="none" w:sz="0" w:space="0" w:color="auto"/>
                <w:right w:val="none" w:sz="0" w:space="0" w:color="auto"/>
              </w:divBdr>
            </w:div>
          </w:divsChild>
        </w:div>
        <w:div w:id="44256531">
          <w:marLeft w:val="0"/>
          <w:marRight w:val="0"/>
          <w:marTop w:val="0"/>
          <w:marBottom w:val="0"/>
          <w:divBdr>
            <w:top w:val="none" w:sz="0" w:space="0" w:color="auto"/>
            <w:left w:val="none" w:sz="0" w:space="0" w:color="auto"/>
            <w:bottom w:val="none" w:sz="0" w:space="0" w:color="auto"/>
            <w:right w:val="none" w:sz="0" w:space="0" w:color="auto"/>
          </w:divBdr>
          <w:divsChild>
            <w:div w:id="1620258052">
              <w:marLeft w:val="0"/>
              <w:marRight w:val="0"/>
              <w:marTop w:val="0"/>
              <w:marBottom w:val="0"/>
              <w:divBdr>
                <w:top w:val="none" w:sz="0" w:space="0" w:color="auto"/>
                <w:left w:val="none" w:sz="0" w:space="0" w:color="auto"/>
                <w:bottom w:val="none" w:sz="0" w:space="0" w:color="auto"/>
                <w:right w:val="none" w:sz="0" w:space="0" w:color="auto"/>
              </w:divBdr>
            </w:div>
          </w:divsChild>
        </w:div>
        <w:div w:id="103232924">
          <w:marLeft w:val="0"/>
          <w:marRight w:val="0"/>
          <w:marTop w:val="0"/>
          <w:marBottom w:val="0"/>
          <w:divBdr>
            <w:top w:val="none" w:sz="0" w:space="0" w:color="auto"/>
            <w:left w:val="none" w:sz="0" w:space="0" w:color="auto"/>
            <w:bottom w:val="none" w:sz="0" w:space="0" w:color="auto"/>
            <w:right w:val="none" w:sz="0" w:space="0" w:color="auto"/>
          </w:divBdr>
          <w:divsChild>
            <w:div w:id="627586722">
              <w:marLeft w:val="0"/>
              <w:marRight w:val="0"/>
              <w:marTop w:val="0"/>
              <w:marBottom w:val="0"/>
              <w:divBdr>
                <w:top w:val="none" w:sz="0" w:space="0" w:color="auto"/>
                <w:left w:val="none" w:sz="0" w:space="0" w:color="auto"/>
                <w:bottom w:val="none" w:sz="0" w:space="0" w:color="auto"/>
                <w:right w:val="none" w:sz="0" w:space="0" w:color="auto"/>
              </w:divBdr>
            </w:div>
          </w:divsChild>
        </w:div>
        <w:div w:id="139421316">
          <w:marLeft w:val="0"/>
          <w:marRight w:val="0"/>
          <w:marTop w:val="0"/>
          <w:marBottom w:val="0"/>
          <w:divBdr>
            <w:top w:val="none" w:sz="0" w:space="0" w:color="auto"/>
            <w:left w:val="none" w:sz="0" w:space="0" w:color="auto"/>
            <w:bottom w:val="none" w:sz="0" w:space="0" w:color="auto"/>
            <w:right w:val="none" w:sz="0" w:space="0" w:color="auto"/>
          </w:divBdr>
          <w:divsChild>
            <w:div w:id="684790575">
              <w:marLeft w:val="0"/>
              <w:marRight w:val="0"/>
              <w:marTop w:val="0"/>
              <w:marBottom w:val="0"/>
              <w:divBdr>
                <w:top w:val="none" w:sz="0" w:space="0" w:color="auto"/>
                <w:left w:val="none" w:sz="0" w:space="0" w:color="auto"/>
                <w:bottom w:val="none" w:sz="0" w:space="0" w:color="auto"/>
                <w:right w:val="none" w:sz="0" w:space="0" w:color="auto"/>
              </w:divBdr>
            </w:div>
          </w:divsChild>
        </w:div>
        <w:div w:id="165438087">
          <w:marLeft w:val="0"/>
          <w:marRight w:val="0"/>
          <w:marTop w:val="0"/>
          <w:marBottom w:val="0"/>
          <w:divBdr>
            <w:top w:val="none" w:sz="0" w:space="0" w:color="auto"/>
            <w:left w:val="none" w:sz="0" w:space="0" w:color="auto"/>
            <w:bottom w:val="none" w:sz="0" w:space="0" w:color="auto"/>
            <w:right w:val="none" w:sz="0" w:space="0" w:color="auto"/>
          </w:divBdr>
          <w:divsChild>
            <w:div w:id="44763650">
              <w:marLeft w:val="0"/>
              <w:marRight w:val="0"/>
              <w:marTop w:val="0"/>
              <w:marBottom w:val="0"/>
              <w:divBdr>
                <w:top w:val="none" w:sz="0" w:space="0" w:color="auto"/>
                <w:left w:val="none" w:sz="0" w:space="0" w:color="auto"/>
                <w:bottom w:val="none" w:sz="0" w:space="0" w:color="auto"/>
                <w:right w:val="none" w:sz="0" w:space="0" w:color="auto"/>
              </w:divBdr>
            </w:div>
          </w:divsChild>
        </w:div>
        <w:div w:id="228198772">
          <w:marLeft w:val="0"/>
          <w:marRight w:val="0"/>
          <w:marTop w:val="0"/>
          <w:marBottom w:val="0"/>
          <w:divBdr>
            <w:top w:val="none" w:sz="0" w:space="0" w:color="auto"/>
            <w:left w:val="none" w:sz="0" w:space="0" w:color="auto"/>
            <w:bottom w:val="none" w:sz="0" w:space="0" w:color="auto"/>
            <w:right w:val="none" w:sz="0" w:space="0" w:color="auto"/>
          </w:divBdr>
          <w:divsChild>
            <w:div w:id="726489795">
              <w:marLeft w:val="0"/>
              <w:marRight w:val="0"/>
              <w:marTop w:val="0"/>
              <w:marBottom w:val="0"/>
              <w:divBdr>
                <w:top w:val="none" w:sz="0" w:space="0" w:color="auto"/>
                <w:left w:val="none" w:sz="0" w:space="0" w:color="auto"/>
                <w:bottom w:val="none" w:sz="0" w:space="0" w:color="auto"/>
                <w:right w:val="none" w:sz="0" w:space="0" w:color="auto"/>
              </w:divBdr>
            </w:div>
          </w:divsChild>
        </w:div>
        <w:div w:id="230895336">
          <w:marLeft w:val="0"/>
          <w:marRight w:val="0"/>
          <w:marTop w:val="0"/>
          <w:marBottom w:val="0"/>
          <w:divBdr>
            <w:top w:val="none" w:sz="0" w:space="0" w:color="auto"/>
            <w:left w:val="none" w:sz="0" w:space="0" w:color="auto"/>
            <w:bottom w:val="none" w:sz="0" w:space="0" w:color="auto"/>
            <w:right w:val="none" w:sz="0" w:space="0" w:color="auto"/>
          </w:divBdr>
          <w:divsChild>
            <w:div w:id="461532852">
              <w:marLeft w:val="0"/>
              <w:marRight w:val="0"/>
              <w:marTop w:val="0"/>
              <w:marBottom w:val="0"/>
              <w:divBdr>
                <w:top w:val="none" w:sz="0" w:space="0" w:color="auto"/>
                <w:left w:val="none" w:sz="0" w:space="0" w:color="auto"/>
                <w:bottom w:val="none" w:sz="0" w:space="0" w:color="auto"/>
                <w:right w:val="none" w:sz="0" w:space="0" w:color="auto"/>
              </w:divBdr>
            </w:div>
            <w:div w:id="1744374765">
              <w:marLeft w:val="0"/>
              <w:marRight w:val="0"/>
              <w:marTop w:val="0"/>
              <w:marBottom w:val="0"/>
              <w:divBdr>
                <w:top w:val="none" w:sz="0" w:space="0" w:color="auto"/>
                <w:left w:val="none" w:sz="0" w:space="0" w:color="auto"/>
                <w:bottom w:val="none" w:sz="0" w:space="0" w:color="auto"/>
                <w:right w:val="none" w:sz="0" w:space="0" w:color="auto"/>
              </w:divBdr>
            </w:div>
          </w:divsChild>
        </w:div>
        <w:div w:id="259994050">
          <w:marLeft w:val="0"/>
          <w:marRight w:val="0"/>
          <w:marTop w:val="0"/>
          <w:marBottom w:val="0"/>
          <w:divBdr>
            <w:top w:val="none" w:sz="0" w:space="0" w:color="auto"/>
            <w:left w:val="none" w:sz="0" w:space="0" w:color="auto"/>
            <w:bottom w:val="none" w:sz="0" w:space="0" w:color="auto"/>
            <w:right w:val="none" w:sz="0" w:space="0" w:color="auto"/>
          </w:divBdr>
          <w:divsChild>
            <w:div w:id="285357727">
              <w:marLeft w:val="0"/>
              <w:marRight w:val="0"/>
              <w:marTop w:val="0"/>
              <w:marBottom w:val="0"/>
              <w:divBdr>
                <w:top w:val="none" w:sz="0" w:space="0" w:color="auto"/>
                <w:left w:val="none" w:sz="0" w:space="0" w:color="auto"/>
                <w:bottom w:val="none" w:sz="0" w:space="0" w:color="auto"/>
                <w:right w:val="none" w:sz="0" w:space="0" w:color="auto"/>
              </w:divBdr>
            </w:div>
          </w:divsChild>
        </w:div>
        <w:div w:id="263810083">
          <w:marLeft w:val="0"/>
          <w:marRight w:val="0"/>
          <w:marTop w:val="0"/>
          <w:marBottom w:val="0"/>
          <w:divBdr>
            <w:top w:val="none" w:sz="0" w:space="0" w:color="auto"/>
            <w:left w:val="none" w:sz="0" w:space="0" w:color="auto"/>
            <w:bottom w:val="none" w:sz="0" w:space="0" w:color="auto"/>
            <w:right w:val="none" w:sz="0" w:space="0" w:color="auto"/>
          </w:divBdr>
          <w:divsChild>
            <w:div w:id="1292594394">
              <w:marLeft w:val="0"/>
              <w:marRight w:val="0"/>
              <w:marTop w:val="0"/>
              <w:marBottom w:val="0"/>
              <w:divBdr>
                <w:top w:val="none" w:sz="0" w:space="0" w:color="auto"/>
                <w:left w:val="none" w:sz="0" w:space="0" w:color="auto"/>
                <w:bottom w:val="none" w:sz="0" w:space="0" w:color="auto"/>
                <w:right w:val="none" w:sz="0" w:space="0" w:color="auto"/>
              </w:divBdr>
            </w:div>
          </w:divsChild>
        </w:div>
        <w:div w:id="322781355">
          <w:marLeft w:val="0"/>
          <w:marRight w:val="0"/>
          <w:marTop w:val="0"/>
          <w:marBottom w:val="0"/>
          <w:divBdr>
            <w:top w:val="none" w:sz="0" w:space="0" w:color="auto"/>
            <w:left w:val="none" w:sz="0" w:space="0" w:color="auto"/>
            <w:bottom w:val="none" w:sz="0" w:space="0" w:color="auto"/>
            <w:right w:val="none" w:sz="0" w:space="0" w:color="auto"/>
          </w:divBdr>
          <w:divsChild>
            <w:div w:id="1463814065">
              <w:marLeft w:val="0"/>
              <w:marRight w:val="0"/>
              <w:marTop w:val="0"/>
              <w:marBottom w:val="0"/>
              <w:divBdr>
                <w:top w:val="none" w:sz="0" w:space="0" w:color="auto"/>
                <w:left w:val="none" w:sz="0" w:space="0" w:color="auto"/>
                <w:bottom w:val="none" w:sz="0" w:space="0" w:color="auto"/>
                <w:right w:val="none" w:sz="0" w:space="0" w:color="auto"/>
              </w:divBdr>
            </w:div>
          </w:divsChild>
        </w:div>
        <w:div w:id="340477482">
          <w:marLeft w:val="0"/>
          <w:marRight w:val="0"/>
          <w:marTop w:val="0"/>
          <w:marBottom w:val="0"/>
          <w:divBdr>
            <w:top w:val="none" w:sz="0" w:space="0" w:color="auto"/>
            <w:left w:val="none" w:sz="0" w:space="0" w:color="auto"/>
            <w:bottom w:val="none" w:sz="0" w:space="0" w:color="auto"/>
            <w:right w:val="none" w:sz="0" w:space="0" w:color="auto"/>
          </w:divBdr>
          <w:divsChild>
            <w:div w:id="1562794007">
              <w:marLeft w:val="0"/>
              <w:marRight w:val="0"/>
              <w:marTop w:val="0"/>
              <w:marBottom w:val="0"/>
              <w:divBdr>
                <w:top w:val="none" w:sz="0" w:space="0" w:color="auto"/>
                <w:left w:val="none" w:sz="0" w:space="0" w:color="auto"/>
                <w:bottom w:val="none" w:sz="0" w:space="0" w:color="auto"/>
                <w:right w:val="none" w:sz="0" w:space="0" w:color="auto"/>
              </w:divBdr>
            </w:div>
          </w:divsChild>
        </w:div>
        <w:div w:id="344405346">
          <w:marLeft w:val="0"/>
          <w:marRight w:val="0"/>
          <w:marTop w:val="0"/>
          <w:marBottom w:val="0"/>
          <w:divBdr>
            <w:top w:val="none" w:sz="0" w:space="0" w:color="auto"/>
            <w:left w:val="none" w:sz="0" w:space="0" w:color="auto"/>
            <w:bottom w:val="none" w:sz="0" w:space="0" w:color="auto"/>
            <w:right w:val="none" w:sz="0" w:space="0" w:color="auto"/>
          </w:divBdr>
          <w:divsChild>
            <w:div w:id="396513950">
              <w:marLeft w:val="0"/>
              <w:marRight w:val="0"/>
              <w:marTop w:val="0"/>
              <w:marBottom w:val="0"/>
              <w:divBdr>
                <w:top w:val="none" w:sz="0" w:space="0" w:color="auto"/>
                <w:left w:val="none" w:sz="0" w:space="0" w:color="auto"/>
                <w:bottom w:val="none" w:sz="0" w:space="0" w:color="auto"/>
                <w:right w:val="none" w:sz="0" w:space="0" w:color="auto"/>
              </w:divBdr>
            </w:div>
          </w:divsChild>
        </w:div>
        <w:div w:id="377710125">
          <w:marLeft w:val="0"/>
          <w:marRight w:val="0"/>
          <w:marTop w:val="0"/>
          <w:marBottom w:val="0"/>
          <w:divBdr>
            <w:top w:val="none" w:sz="0" w:space="0" w:color="auto"/>
            <w:left w:val="none" w:sz="0" w:space="0" w:color="auto"/>
            <w:bottom w:val="none" w:sz="0" w:space="0" w:color="auto"/>
            <w:right w:val="none" w:sz="0" w:space="0" w:color="auto"/>
          </w:divBdr>
          <w:divsChild>
            <w:div w:id="574318830">
              <w:marLeft w:val="0"/>
              <w:marRight w:val="0"/>
              <w:marTop w:val="0"/>
              <w:marBottom w:val="0"/>
              <w:divBdr>
                <w:top w:val="none" w:sz="0" w:space="0" w:color="auto"/>
                <w:left w:val="none" w:sz="0" w:space="0" w:color="auto"/>
                <w:bottom w:val="none" w:sz="0" w:space="0" w:color="auto"/>
                <w:right w:val="none" w:sz="0" w:space="0" w:color="auto"/>
              </w:divBdr>
            </w:div>
          </w:divsChild>
        </w:div>
        <w:div w:id="382677103">
          <w:marLeft w:val="0"/>
          <w:marRight w:val="0"/>
          <w:marTop w:val="0"/>
          <w:marBottom w:val="0"/>
          <w:divBdr>
            <w:top w:val="none" w:sz="0" w:space="0" w:color="auto"/>
            <w:left w:val="none" w:sz="0" w:space="0" w:color="auto"/>
            <w:bottom w:val="none" w:sz="0" w:space="0" w:color="auto"/>
            <w:right w:val="none" w:sz="0" w:space="0" w:color="auto"/>
          </w:divBdr>
          <w:divsChild>
            <w:div w:id="1025903951">
              <w:marLeft w:val="0"/>
              <w:marRight w:val="0"/>
              <w:marTop w:val="0"/>
              <w:marBottom w:val="0"/>
              <w:divBdr>
                <w:top w:val="none" w:sz="0" w:space="0" w:color="auto"/>
                <w:left w:val="none" w:sz="0" w:space="0" w:color="auto"/>
                <w:bottom w:val="none" w:sz="0" w:space="0" w:color="auto"/>
                <w:right w:val="none" w:sz="0" w:space="0" w:color="auto"/>
              </w:divBdr>
            </w:div>
          </w:divsChild>
        </w:div>
        <w:div w:id="399014646">
          <w:marLeft w:val="0"/>
          <w:marRight w:val="0"/>
          <w:marTop w:val="0"/>
          <w:marBottom w:val="0"/>
          <w:divBdr>
            <w:top w:val="none" w:sz="0" w:space="0" w:color="auto"/>
            <w:left w:val="none" w:sz="0" w:space="0" w:color="auto"/>
            <w:bottom w:val="none" w:sz="0" w:space="0" w:color="auto"/>
            <w:right w:val="none" w:sz="0" w:space="0" w:color="auto"/>
          </w:divBdr>
          <w:divsChild>
            <w:div w:id="1861359248">
              <w:marLeft w:val="0"/>
              <w:marRight w:val="0"/>
              <w:marTop w:val="0"/>
              <w:marBottom w:val="0"/>
              <w:divBdr>
                <w:top w:val="none" w:sz="0" w:space="0" w:color="auto"/>
                <w:left w:val="none" w:sz="0" w:space="0" w:color="auto"/>
                <w:bottom w:val="none" w:sz="0" w:space="0" w:color="auto"/>
                <w:right w:val="none" w:sz="0" w:space="0" w:color="auto"/>
              </w:divBdr>
            </w:div>
          </w:divsChild>
        </w:div>
        <w:div w:id="427702685">
          <w:marLeft w:val="0"/>
          <w:marRight w:val="0"/>
          <w:marTop w:val="0"/>
          <w:marBottom w:val="0"/>
          <w:divBdr>
            <w:top w:val="none" w:sz="0" w:space="0" w:color="auto"/>
            <w:left w:val="none" w:sz="0" w:space="0" w:color="auto"/>
            <w:bottom w:val="none" w:sz="0" w:space="0" w:color="auto"/>
            <w:right w:val="none" w:sz="0" w:space="0" w:color="auto"/>
          </w:divBdr>
          <w:divsChild>
            <w:div w:id="477496327">
              <w:marLeft w:val="0"/>
              <w:marRight w:val="0"/>
              <w:marTop w:val="0"/>
              <w:marBottom w:val="0"/>
              <w:divBdr>
                <w:top w:val="none" w:sz="0" w:space="0" w:color="auto"/>
                <w:left w:val="none" w:sz="0" w:space="0" w:color="auto"/>
                <w:bottom w:val="none" w:sz="0" w:space="0" w:color="auto"/>
                <w:right w:val="none" w:sz="0" w:space="0" w:color="auto"/>
              </w:divBdr>
            </w:div>
          </w:divsChild>
        </w:div>
        <w:div w:id="429012403">
          <w:marLeft w:val="0"/>
          <w:marRight w:val="0"/>
          <w:marTop w:val="0"/>
          <w:marBottom w:val="0"/>
          <w:divBdr>
            <w:top w:val="none" w:sz="0" w:space="0" w:color="auto"/>
            <w:left w:val="none" w:sz="0" w:space="0" w:color="auto"/>
            <w:bottom w:val="none" w:sz="0" w:space="0" w:color="auto"/>
            <w:right w:val="none" w:sz="0" w:space="0" w:color="auto"/>
          </w:divBdr>
          <w:divsChild>
            <w:div w:id="18507070">
              <w:marLeft w:val="0"/>
              <w:marRight w:val="0"/>
              <w:marTop w:val="0"/>
              <w:marBottom w:val="0"/>
              <w:divBdr>
                <w:top w:val="none" w:sz="0" w:space="0" w:color="auto"/>
                <w:left w:val="none" w:sz="0" w:space="0" w:color="auto"/>
                <w:bottom w:val="none" w:sz="0" w:space="0" w:color="auto"/>
                <w:right w:val="none" w:sz="0" w:space="0" w:color="auto"/>
              </w:divBdr>
            </w:div>
          </w:divsChild>
        </w:div>
        <w:div w:id="430588470">
          <w:marLeft w:val="0"/>
          <w:marRight w:val="0"/>
          <w:marTop w:val="0"/>
          <w:marBottom w:val="0"/>
          <w:divBdr>
            <w:top w:val="none" w:sz="0" w:space="0" w:color="auto"/>
            <w:left w:val="none" w:sz="0" w:space="0" w:color="auto"/>
            <w:bottom w:val="none" w:sz="0" w:space="0" w:color="auto"/>
            <w:right w:val="none" w:sz="0" w:space="0" w:color="auto"/>
          </w:divBdr>
          <w:divsChild>
            <w:div w:id="23478837">
              <w:marLeft w:val="0"/>
              <w:marRight w:val="0"/>
              <w:marTop w:val="0"/>
              <w:marBottom w:val="0"/>
              <w:divBdr>
                <w:top w:val="none" w:sz="0" w:space="0" w:color="auto"/>
                <w:left w:val="none" w:sz="0" w:space="0" w:color="auto"/>
                <w:bottom w:val="none" w:sz="0" w:space="0" w:color="auto"/>
                <w:right w:val="none" w:sz="0" w:space="0" w:color="auto"/>
              </w:divBdr>
            </w:div>
          </w:divsChild>
        </w:div>
        <w:div w:id="446585389">
          <w:marLeft w:val="0"/>
          <w:marRight w:val="0"/>
          <w:marTop w:val="0"/>
          <w:marBottom w:val="0"/>
          <w:divBdr>
            <w:top w:val="none" w:sz="0" w:space="0" w:color="auto"/>
            <w:left w:val="none" w:sz="0" w:space="0" w:color="auto"/>
            <w:bottom w:val="none" w:sz="0" w:space="0" w:color="auto"/>
            <w:right w:val="none" w:sz="0" w:space="0" w:color="auto"/>
          </w:divBdr>
          <w:divsChild>
            <w:div w:id="283538834">
              <w:marLeft w:val="0"/>
              <w:marRight w:val="0"/>
              <w:marTop w:val="0"/>
              <w:marBottom w:val="0"/>
              <w:divBdr>
                <w:top w:val="none" w:sz="0" w:space="0" w:color="auto"/>
                <w:left w:val="none" w:sz="0" w:space="0" w:color="auto"/>
                <w:bottom w:val="none" w:sz="0" w:space="0" w:color="auto"/>
                <w:right w:val="none" w:sz="0" w:space="0" w:color="auto"/>
              </w:divBdr>
            </w:div>
            <w:div w:id="1451625934">
              <w:marLeft w:val="0"/>
              <w:marRight w:val="0"/>
              <w:marTop w:val="0"/>
              <w:marBottom w:val="0"/>
              <w:divBdr>
                <w:top w:val="none" w:sz="0" w:space="0" w:color="auto"/>
                <w:left w:val="none" w:sz="0" w:space="0" w:color="auto"/>
                <w:bottom w:val="none" w:sz="0" w:space="0" w:color="auto"/>
                <w:right w:val="none" w:sz="0" w:space="0" w:color="auto"/>
              </w:divBdr>
            </w:div>
          </w:divsChild>
        </w:div>
        <w:div w:id="499126864">
          <w:marLeft w:val="0"/>
          <w:marRight w:val="0"/>
          <w:marTop w:val="0"/>
          <w:marBottom w:val="0"/>
          <w:divBdr>
            <w:top w:val="none" w:sz="0" w:space="0" w:color="auto"/>
            <w:left w:val="none" w:sz="0" w:space="0" w:color="auto"/>
            <w:bottom w:val="none" w:sz="0" w:space="0" w:color="auto"/>
            <w:right w:val="none" w:sz="0" w:space="0" w:color="auto"/>
          </w:divBdr>
          <w:divsChild>
            <w:div w:id="1034427024">
              <w:marLeft w:val="0"/>
              <w:marRight w:val="0"/>
              <w:marTop w:val="0"/>
              <w:marBottom w:val="0"/>
              <w:divBdr>
                <w:top w:val="none" w:sz="0" w:space="0" w:color="auto"/>
                <w:left w:val="none" w:sz="0" w:space="0" w:color="auto"/>
                <w:bottom w:val="none" w:sz="0" w:space="0" w:color="auto"/>
                <w:right w:val="none" w:sz="0" w:space="0" w:color="auto"/>
              </w:divBdr>
            </w:div>
          </w:divsChild>
        </w:div>
        <w:div w:id="524056623">
          <w:marLeft w:val="0"/>
          <w:marRight w:val="0"/>
          <w:marTop w:val="0"/>
          <w:marBottom w:val="0"/>
          <w:divBdr>
            <w:top w:val="none" w:sz="0" w:space="0" w:color="auto"/>
            <w:left w:val="none" w:sz="0" w:space="0" w:color="auto"/>
            <w:bottom w:val="none" w:sz="0" w:space="0" w:color="auto"/>
            <w:right w:val="none" w:sz="0" w:space="0" w:color="auto"/>
          </w:divBdr>
          <w:divsChild>
            <w:div w:id="11080145">
              <w:marLeft w:val="0"/>
              <w:marRight w:val="0"/>
              <w:marTop w:val="0"/>
              <w:marBottom w:val="0"/>
              <w:divBdr>
                <w:top w:val="none" w:sz="0" w:space="0" w:color="auto"/>
                <w:left w:val="none" w:sz="0" w:space="0" w:color="auto"/>
                <w:bottom w:val="none" w:sz="0" w:space="0" w:color="auto"/>
                <w:right w:val="none" w:sz="0" w:space="0" w:color="auto"/>
              </w:divBdr>
            </w:div>
          </w:divsChild>
        </w:div>
        <w:div w:id="532574250">
          <w:marLeft w:val="0"/>
          <w:marRight w:val="0"/>
          <w:marTop w:val="0"/>
          <w:marBottom w:val="0"/>
          <w:divBdr>
            <w:top w:val="none" w:sz="0" w:space="0" w:color="auto"/>
            <w:left w:val="none" w:sz="0" w:space="0" w:color="auto"/>
            <w:bottom w:val="none" w:sz="0" w:space="0" w:color="auto"/>
            <w:right w:val="none" w:sz="0" w:space="0" w:color="auto"/>
          </w:divBdr>
          <w:divsChild>
            <w:div w:id="1594362771">
              <w:marLeft w:val="0"/>
              <w:marRight w:val="0"/>
              <w:marTop w:val="0"/>
              <w:marBottom w:val="0"/>
              <w:divBdr>
                <w:top w:val="none" w:sz="0" w:space="0" w:color="auto"/>
                <w:left w:val="none" w:sz="0" w:space="0" w:color="auto"/>
                <w:bottom w:val="none" w:sz="0" w:space="0" w:color="auto"/>
                <w:right w:val="none" w:sz="0" w:space="0" w:color="auto"/>
              </w:divBdr>
            </w:div>
          </w:divsChild>
        </w:div>
        <w:div w:id="570039454">
          <w:marLeft w:val="0"/>
          <w:marRight w:val="0"/>
          <w:marTop w:val="0"/>
          <w:marBottom w:val="0"/>
          <w:divBdr>
            <w:top w:val="none" w:sz="0" w:space="0" w:color="auto"/>
            <w:left w:val="none" w:sz="0" w:space="0" w:color="auto"/>
            <w:bottom w:val="none" w:sz="0" w:space="0" w:color="auto"/>
            <w:right w:val="none" w:sz="0" w:space="0" w:color="auto"/>
          </w:divBdr>
          <w:divsChild>
            <w:div w:id="1050032123">
              <w:marLeft w:val="0"/>
              <w:marRight w:val="0"/>
              <w:marTop w:val="0"/>
              <w:marBottom w:val="0"/>
              <w:divBdr>
                <w:top w:val="none" w:sz="0" w:space="0" w:color="auto"/>
                <w:left w:val="none" w:sz="0" w:space="0" w:color="auto"/>
                <w:bottom w:val="none" w:sz="0" w:space="0" w:color="auto"/>
                <w:right w:val="none" w:sz="0" w:space="0" w:color="auto"/>
              </w:divBdr>
            </w:div>
          </w:divsChild>
        </w:div>
        <w:div w:id="607548557">
          <w:marLeft w:val="0"/>
          <w:marRight w:val="0"/>
          <w:marTop w:val="0"/>
          <w:marBottom w:val="0"/>
          <w:divBdr>
            <w:top w:val="none" w:sz="0" w:space="0" w:color="auto"/>
            <w:left w:val="none" w:sz="0" w:space="0" w:color="auto"/>
            <w:bottom w:val="none" w:sz="0" w:space="0" w:color="auto"/>
            <w:right w:val="none" w:sz="0" w:space="0" w:color="auto"/>
          </w:divBdr>
          <w:divsChild>
            <w:div w:id="784957353">
              <w:marLeft w:val="0"/>
              <w:marRight w:val="0"/>
              <w:marTop w:val="0"/>
              <w:marBottom w:val="0"/>
              <w:divBdr>
                <w:top w:val="none" w:sz="0" w:space="0" w:color="auto"/>
                <w:left w:val="none" w:sz="0" w:space="0" w:color="auto"/>
                <w:bottom w:val="none" w:sz="0" w:space="0" w:color="auto"/>
                <w:right w:val="none" w:sz="0" w:space="0" w:color="auto"/>
              </w:divBdr>
            </w:div>
          </w:divsChild>
        </w:div>
        <w:div w:id="623656506">
          <w:marLeft w:val="0"/>
          <w:marRight w:val="0"/>
          <w:marTop w:val="0"/>
          <w:marBottom w:val="0"/>
          <w:divBdr>
            <w:top w:val="none" w:sz="0" w:space="0" w:color="auto"/>
            <w:left w:val="none" w:sz="0" w:space="0" w:color="auto"/>
            <w:bottom w:val="none" w:sz="0" w:space="0" w:color="auto"/>
            <w:right w:val="none" w:sz="0" w:space="0" w:color="auto"/>
          </w:divBdr>
          <w:divsChild>
            <w:div w:id="1103380288">
              <w:marLeft w:val="0"/>
              <w:marRight w:val="0"/>
              <w:marTop w:val="0"/>
              <w:marBottom w:val="0"/>
              <w:divBdr>
                <w:top w:val="none" w:sz="0" w:space="0" w:color="auto"/>
                <w:left w:val="none" w:sz="0" w:space="0" w:color="auto"/>
                <w:bottom w:val="none" w:sz="0" w:space="0" w:color="auto"/>
                <w:right w:val="none" w:sz="0" w:space="0" w:color="auto"/>
              </w:divBdr>
            </w:div>
          </w:divsChild>
        </w:div>
        <w:div w:id="649095830">
          <w:marLeft w:val="0"/>
          <w:marRight w:val="0"/>
          <w:marTop w:val="0"/>
          <w:marBottom w:val="0"/>
          <w:divBdr>
            <w:top w:val="none" w:sz="0" w:space="0" w:color="auto"/>
            <w:left w:val="none" w:sz="0" w:space="0" w:color="auto"/>
            <w:bottom w:val="none" w:sz="0" w:space="0" w:color="auto"/>
            <w:right w:val="none" w:sz="0" w:space="0" w:color="auto"/>
          </w:divBdr>
          <w:divsChild>
            <w:div w:id="272442081">
              <w:marLeft w:val="0"/>
              <w:marRight w:val="0"/>
              <w:marTop w:val="0"/>
              <w:marBottom w:val="0"/>
              <w:divBdr>
                <w:top w:val="none" w:sz="0" w:space="0" w:color="auto"/>
                <w:left w:val="none" w:sz="0" w:space="0" w:color="auto"/>
                <w:bottom w:val="none" w:sz="0" w:space="0" w:color="auto"/>
                <w:right w:val="none" w:sz="0" w:space="0" w:color="auto"/>
              </w:divBdr>
            </w:div>
            <w:div w:id="1134176079">
              <w:marLeft w:val="0"/>
              <w:marRight w:val="0"/>
              <w:marTop w:val="0"/>
              <w:marBottom w:val="0"/>
              <w:divBdr>
                <w:top w:val="none" w:sz="0" w:space="0" w:color="auto"/>
                <w:left w:val="none" w:sz="0" w:space="0" w:color="auto"/>
                <w:bottom w:val="none" w:sz="0" w:space="0" w:color="auto"/>
                <w:right w:val="none" w:sz="0" w:space="0" w:color="auto"/>
              </w:divBdr>
            </w:div>
          </w:divsChild>
        </w:div>
        <w:div w:id="670791148">
          <w:marLeft w:val="0"/>
          <w:marRight w:val="0"/>
          <w:marTop w:val="0"/>
          <w:marBottom w:val="0"/>
          <w:divBdr>
            <w:top w:val="none" w:sz="0" w:space="0" w:color="auto"/>
            <w:left w:val="none" w:sz="0" w:space="0" w:color="auto"/>
            <w:bottom w:val="none" w:sz="0" w:space="0" w:color="auto"/>
            <w:right w:val="none" w:sz="0" w:space="0" w:color="auto"/>
          </w:divBdr>
          <w:divsChild>
            <w:div w:id="684407379">
              <w:marLeft w:val="0"/>
              <w:marRight w:val="0"/>
              <w:marTop w:val="0"/>
              <w:marBottom w:val="0"/>
              <w:divBdr>
                <w:top w:val="none" w:sz="0" w:space="0" w:color="auto"/>
                <w:left w:val="none" w:sz="0" w:space="0" w:color="auto"/>
                <w:bottom w:val="none" w:sz="0" w:space="0" w:color="auto"/>
                <w:right w:val="none" w:sz="0" w:space="0" w:color="auto"/>
              </w:divBdr>
            </w:div>
          </w:divsChild>
        </w:div>
        <w:div w:id="671949978">
          <w:marLeft w:val="0"/>
          <w:marRight w:val="0"/>
          <w:marTop w:val="0"/>
          <w:marBottom w:val="0"/>
          <w:divBdr>
            <w:top w:val="none" w:sz="0" w:space="0" w:color="auto"/>
            <w:left w:val="none" w:sz="0" w:space="0" w:color="auto"/>
            <w:bottom w:val="none" w:sz="0" w:space="0" w:color="auto"/>
            <w:right w:val="none" w:sz="0" w:space="0" w:color="auto"/>
          </w:divBdr>
          <w:divsChild>
            <w:div w:id="112680320">
              <w:marLeft w:val="0"/>
              <w:marRight w:val="0"/>
              <w:marTop w:val="0"/>
              <w:marBottom w:val="0"/>
              <w:divBdr>
                <w:top w:val="none" w:sz="0" w:space="0" w:color="auto"/>
                <w:left w:val="none" w:sz="0" w:space="0" w:color="auto"/>
                <w:bottom w:val="none" w:sz="0" w:space="0" w:color="auto"/>
                <w:right w:val="none" w:sz="0" w:space="0" w:color="auto"/>
              </w:divBdr>
            </w:div>
            <w:div w:id="205214789">
              <w:marLeft w:val="0"/>
              <w:marRight w:val="0"/>
              <w:marTop w:val="0"/>
              <w:marBottom w:val="0"/>
              <w:divBdr>
                <w:top w:val="none" w:sz="0" w:space="0" w:color="auto"/>
                <w:left w:val="none" w:sz="0" w:space="0" w:color="auto"/>
                <w:bottom w:val="none" w:sz="0" w:space="0" w:color="auto"/>
                <w:right w:val="none" w:sz="0" w:space="0" w:color="auto"/>
              </w:divBdr>
            </w:div>
            <w:div w:id="1550260536">
              <w:marLeft w:val="0"/>
              <w:marRight w:val="0"/>
              <w:marTop w:val="0"/>
              <w:marBottom w:val="0"/>
              <w:divBdr>
                <w:top w:val="none" w:sz="0" w:space="0" w:color="auto"/>
                <w:left w:val="none" w:sz="0" w:space="0" w:color="auto"/>
                <w:bottom w:val="none" w:sz="0" w:space="0" w:color="auto"/>
                <w:right w:val="none" w:sz="0" w:space="0" w:color="auto"/>
              </w:divBdr>
            </w:div>
          </w:divsChild>
        </w:div>
        <w:div w:id="677276019">
          <w:marLeft w:val="0"/>
          <w:marRight w:val="0"/>
          <w:marTop w:val="0"/>
          <w:marBottom w:val="0"/>
          <w:divBdr>
            <w:top w:val="none" w:sz="0" w:space="0" w:color="auto"/>
            <w:left w:val="none" w:sz="0" w:space="0" w:color="auto"/>
            <w:bottom w:val="none" w:sz="0" w:space="0" w:color="auto"/>
            <w:right w:val="none" w:sz="0" w:space="0" w:color="auto"/>
          </w:divBdr>
          <w:divsChild>
            <w:div w:id="11959696">
              <w:marLeft w:val="0"/>
              <w:marRight w:val="0"/>
              <w:marTop w:val="0"/>
              <w:marBottom w:val="0"/>
              <w:divBdr>
                <w:top w:val="none" w:sz="0" w:space="0" w:color="auto"/>
                <w:left w:val="none" w:sz="0" w:space="0" w:color="auto"/>
                <w:bottom w:val="none" w:sz="0" w:space="0" w:color="auto"/>
                <w:right w:val="none" w:sz="0" w:space="0" w:color="auto"/>
              </w:divBdr>
            </w:div>
          </w:divsChild>
        </w:div>
        <w:div w:id="684288885">
          <w:marLeft w:val="0"/>
          <w:marRight w:val="0"/>
          <w:marTop w:val="0"/>
          <w:marBottom w:val="0"/>
          <w:divBdr>
            <w:top w:val="none" w:sz="0" w:space="0" w:color="auto"/>
            <w:left w:val="none" w:sz="0" w:space="0" w:color="auto"/>
            <w:bottom w:val="none" w:sz="0" w:space="0" w:color="auto"/>
            <w:right w:val="none" w:sz="0" w:space="0" w:color="auto"/>
          </w:divBdr>
          <w:divsChild>
            <w:div w:id="596255901">
              <w:marLeft w:val="0"/>
              <w:marRight w:val="0"/>
              <w:marTop w:val="0"/>
              <w:marBottom w:val="0"/>
              <w:divBdr>
                <w:top w:val="none" w:sz="0" w:space="0" w:color="auto"/>
                <w:left w:val="none" w:sz="0" w:space="0" w:color="auto"/>
                <w:bottom w:val="none" w:sz="0" w:space="0" w:color="auto"/>
                <w:right w:val="none" w:sz="0" w:space="0" w:color="auto"/>
              </w:divBdr>
            </w:div>
          </w:divsChild>
        </w:div>
        <w:div w:id="685405062">
          <w:marLeft w:val="0"/>
          <w:marRight w:val="0"/>
          <w:marTop w:val="0"/>
          <w:marBottom w:val="0"/>
          <w:divBdr>
            <w:top w:val="none" w:sz="0" w:space="0" w:color="auto"/>
            <w:left w:val="none" w:sz="0" w:space="0" w:color="auto"/>
            <w:bottom w:val="none" w:sz="0" w:space="0" w:color="auto"/>
            <w:right w:val="none" w:sz="0" w:space="0" w:color="auto"/>
          </w:divBdr>
          <w:divsChild>
            <w:div w:id="277222499">
              <w:marLeft w:val="0"/>
              <w:marRight w:val="0"/>
              <w:marTop w:val="0"/>
              <w:marBottom w:val="0"/>
              <w:divBdr>
                <w:top w:val="none" w:sz="0" w:space="0" w:color="auto"/>
                <w:left w:val="none" w:sz="0" w:space="0" w:color="auto"/>
                <w:bottom w:val="none" w:sz="0" w:space="0" w:color="auto"/>
                <w:right w:val="none" w:sz="0" w:space="0" w:color="auto"/>
              </w:divBdr>
            </w:div>
          </w:divsChild>
        </w:div>
        <w:div w:id="720327130">
          <w:marLeft w:val="0"/>
          <w:marRight w:val="0"/>
          <w:marTop w:val="0"/>
          <w:marBottom w:val="0"/>
          <w:divBdr>
            <w:top w:val="none" w:sz="0" w:space="0" w:color="auto"/>
            <w:left w:val="none" w:sz="0" w:space="0" w:color="auto"/>
            <w:bottom w:val="none" w:sz="0" w:space="0" w:color="auto"/>
            <w:right w:val="none" w:sz="0" w:space="0" w:color="auto"/>
          </w:divBdr>
          <w:divsChild>
            <w:div w:id="1689716227">
              <w:marLeft w:val="0"/>
              <w:marRight w:val="0"/>
              <w:marTop w:val="0"/>
              <w:marBottom w:val="0"/>
              <w:divBdr>
                <w:top w:val="none" w:sz="0" w:space="0" w:color="auto"/>
                <w:left w:val="none" w:sz="0" w:space="0" w:color="auto"/>
                <w:bottom w:val="none" w:sz="0" w:space="0" w:color="auto"/>
                <w:right w:val="none" w:sz="0" w:space="0" w:color="auto"/>
              </w:divBdr>
            </w:div>
          </w:divsChild>
        </w:div>
        <w:div w:id="734204943">
          <w:marLeft w:val="0"/>
          <w:marRight w:val="0"/>
          <w:marTop w:val="0"/>
          <w:marBottom w:val="0"/>
          <w:divBdr>
            <w:top w:val="none" w:sz="0" w:space="0" w:color="auto"/>
            <w:left w:val="none" w:sz="0" w:space="0" w:color="auto"/>
            <w:bottom w:val="none" w:sz="0" w:space="0" w:color="auto"/>
            <w:right w:val="none" w:sz="0" w:space="0" w:color="auto"/>
          </w:divBdr>
          <w:divsChild>
            <w:div w:id="418017482">
              <w:marLeft w:val="0"/>
              <w:marRight w:val="0"/>
              <w:marTop w:val="0"/>
              <w:marBottom w:val="0"/>
              <w:divBdr>
                <w:top w:val="none" w:sz="0" w:space="0" w:color="auto"/>
                <w:left w:val="none" w:sz="0" w:space="0" w:color="auto"/>
                <w:bottom w:val="none" w:sz="0" w:space="0" w:color="auto"/>
                <w:right w:val="none" w:sz="0" w:space="0" w:color="auto"/>
              </w:divBdr>
            </w:div>
          </w:divsChild>
        </w:div>
        <w:div w:id="795490272">
          <w:marLeft w:val="0"/>
          <w:marRight w:val="0"/>
          <w:marTop w:val="0"/>
          <w:marBottom w:val="0"/>
          <w:divBdr>
            <w:top w:val="none" w:sz="0" w:space="0" w:color="auto"/>
            <w:left w:val="none" w:sz="0" w:space="0" w:color="auto"/>
            <w:bottom w:val="none" w:sz="0" w:space="0" w:color="auto"/>
            <w:right w:val="none" w:sz="0" w:space="0" w:color="auto"/>
          </w:divBdr>
          <w:divsChild>
            <w:div w:id="25907053">
              <w:marLeft w:val="0"/>
              <w:marRight w:val="0"/>
              <w:marTop w:val="0"/>
              <w:marBottom w:val="0"/>
              <w:divBdr>
                <w:top w:val="none" w:sz="0" w:space="0" w:color="auto"/>
                <w:left w:val="none" w:sz="0" w:space="0" w:color="auto"/>
                <w:bottom w:val="none" w:sz="0" w:space="0" w:color="auto"/>
                <w:right w:val="none" w:sz="0" w:space="0" w:color="auto"/>
              </w:divBdr>
            </w:div>
          </w:divsChild>
        </w:div>
        <w:div w:id="811406771">
          <w:marLeft w:val="0"/>
          <w:marRight w:val="0"/>
          <w:marTop w:val="0"/>
          <w:marBottom w:val="0"/>
          <w:divBdr>
            <w:top w:val="none" w:sz="0" w:space="0" w:color="auto"/>
            <w:left w:val="none" w:sz="0" w:space="0" w:color="auto"/>
            <w:bottom w:val="none" w:sz="0" w:space="0" w:color="auto"/>
            <w:right w:val="none" w:sz="0" w:space="0" w:color="auto"/>
          </w:divBdr>
          <w:divsChild>
            <w:div w:id="1319067162">
              <w:marLeft w:val="0"/>
              <w:marRight w:val="0"/>
              <w:marTop w:val="0"/>
              <w:marBottom w:val="0"/>
              <w:divBdr>
                <w:top w:val="none" w:sz="0" w:space="0" w:color="auto"/>
                <w:left w:val="none" w:sz="0" w:space="0" w:color="auto"/>
                <w:bottom w:val="none" w:sz="0" w:space="0" w:color="auto"/>
                <w:right w:val="none" w:sz="0" w:space="0" w:color="auto"/>
              </w:divBdr>
            </w:div>
          </w:divsChild>
        </w:div>
        <w:div w:id="837233458">
          <w:marLeft w:val="0"/>
          <w:marRight w:val="0"/>
          <w:marTop w:val="0"/>
          <w:marBottom w:val="0"/>
          <w:divBdr>
            <w:top w:val="none" w:sz="0" w:space="0" w:color="auto"/>
            <w:left w:val="none" w:sz="0" w:space="0" w:color="auto"/>
            <w:bottom w:val="none" w:sz="0" w:space="0" w:color="auto"/>
            <w:right w:val="none" w:sz="0" w:space="0" w:color="auto"/>
          </w:divBdr>
          <w:divsChild>
            <w:div w:id="1676028899">
              <w:marLeft w:val="0"/>
              <w:marRight w:val="0"/>
              <w:marTop w:val="0"/>
              <w:marBottom w:val="0"/>
              <w:divBdr>
                <w:top w:val="none" w:sz="0" w:space="0" w:color="auto"/>
                <w:left w:val="none" w:sz="0" w:space="0" w:color="auto"/>
                <w:bottom w:val="none" w:sz="0" w:space="0" w:color="auto"/>
                <w:right w:val="none" w:sz="0" w:space="0" w:color="auto"/>
              </w:divBdr>
            </w:div>
          </w:divsChild>
        </w:div>
        <w:div w:id="874271183">
          <w:marLeft w:val="0"/>
          <w:marRight w:val="0"/>
          <w:marTop w:val="0"/>
          <w:marBottom w:val="0"/>
          <w:divBdr>
            <w:top w:val="none" w:sz="0" w:space="0" w:color="auto"/>
            <w:left w:val="none" w:sz="0" w:space="0" w:color="auto"/>
            <w:bottom w:val="none" w:sz="0" w:space="0" w:color="auto"/>
            <w:right w:val="none" w:sz="0" w:space="0" w:color="auto"/>
          </w:divBdr>
          <w:divsChild>
            <w:div w:id="749891039">
              <w:marLeft w:val="0"/>
              <w:marRight w:val="0"/>
              <w:marTop w:val="0"/>
              <w:marBottom w:val="0"/>
              <w:divBdr>
                <w:top w:val="none" w:sz="0" w:space="0" w:color="auto"/>
                <w:left w:val="none" w:sz="0" w:space="0" w:color="auto"/>
                <w:bottom w:val="none" w:sz="0" w:space="0" w:color="auto"/>
                <w:right w:val="none" w:sz="0" w:space="0" w:color="auto"/>
              </w:divBdr>
            </w:div>
          </w:divsChild>
        </w:div>
        <w:div w:id="904492613">
          <w:marLeft w:val="0"/>
          <w:marRight w:val="0"/>
          <w:marTop w:val="0"/>
          <w:marBottom w:val="0"/>
          <w:divBdr>
            <w:top w:val="none" w:sz="0" w:space="0" w:color="auto"/>
            <w:left w:val="none" w:sz="0" w:space="0" w:color="auto"/>
            <w:bottom w:val="none" w:sz="0" w:space="0" w:color="auto"/>
            <w:right w:val="none" w:sz="0" w:space="0" w:color="auto"/>
          </w:divBdr>
          <w:divsChild>
            <w:div w:id="927618772">
              <w:marLeft w:val="0"/>
              <w:marRight w:val="0"/>
              <w:marTop w:val="0"/>
              <w:marBottom w:val="0"/>
              <w:divBdr>
                <w:top w:val="none" w:sz="0" w:space="0" w:color="auto"/>
                <w:left w:val="none" w:sz="0" w:space="0" w:color="auto"/>
                <w:bottom w:val="none" w:sz="0" w:space="0" w:color="auto"/>
                <w:right w:val="none" w:sz="0" w:space="0" w:color="auto"/>
              </w:divBdr>
            </w:div>
          </w:divsChild>
        </w:div>
        <w:div w:id="908542865">
          <w:marLeft w:val="0"/>
          <w:marRight w:val="0"/>
          <w:marTop w:val="0"/>
          <w:marBottom w:val="0"/>
          <w:divBdr>
            <w:top w:val="none" w:sz="0" w:space="0" w:color="auto"/>
            <w:left w:val="none" w:sz="0" w:space="0" w:color="auto"/>
            <w:bottom w:val="none" w:sz="0" w:space="0" w:color="auto"/>
            <w:right w:val="none" w:sz="0" w:space="0" w:color="auto"/>
          </w:divBdr>
          <w:divsChild>
            <w:div w:id="1174149216">
              <w:marLeft w:val="0"/>
              <w:marRight w:val="0"/>
              <w:marTop w:val="0"/>
              <w:marBottom w:val="0"/>
              <w:divBdr>
                <w:top w:val="none" w:sz="0" w:space="0" w:color="auto"/>
                <w:left w:val="none" w:sz="0" w:space="0" w:color="auto"/>
                <w:bottom w:val="none" w:sz="0" w:space="0" w:color="auto"/>
                <w:right w:val="none" w:sz="0" w:space="0" w:color="auto"/>
              </w:divBdr>
            </w:div>
          </w:divsChild>
        </w:div>
        <w:div w:id="929777944">
          <w:marLeft w:val="0"/>
          <w:marRight w:val="0"/>
          <w:marTop w:val="0"/>
          <w:marBottom w:val="0"/>
          <w:divBdr>
            <w:top w:val="none" w:sz="0" w:space="0" w:color="auto"/>
            <w:left w:val="none" w:sz="0" w:space="0" w:color="auto"/>
            <w:bottom w:val="none" w:sz="0" w:space="0" w:color="auto"/>
            <w:right w:val="none" w:sz="0" w:space="0" w:color="auto"/>
          </w:divBdr>
          <w:divsChild>
            <w:div w:id="1702970107">
              <w:marLeft w:val="0"/>
              <w:marRight w:val="0"/>
              <w:marTop w:val="0"/>
              <w:marBottom w:val="0"/>
              <w:divBdr>
                <w:top w:val="none" w:sz="0" w:space="0" w:color="auto"/>
                <w:left w:val="none" w:sz="0" w:space="0" w:color="auto"/>
                <w:bottom w:val="none" w:sz="0" w:space="0" w:color="auto"/>
                <w:right w:val="none" w:sz="0" w:space="0" w:color="auto"/>
              </w:divBdr>
            </w:div>
          </w:divsChild>
        </w:div>
        <w:div w:id="954604812">
          <w:marLeft w:val="0"/>
          <w:marRight w:val="0"/>
          <w:marTop w:val="0"/>
          <w:marBottom w:val="0"/>
          <w:divBdr>
            <w:top w:val="none" w:sz="0" w:space="0" w:color="auto"/>
            <w:left w:val="none" w:sz="0" w:space="0" w:color="auto"/>
            <w:bottom w:val="none" w:sz="0" w:space="0" w:color="auto"/>
            <w:right w:val="none" w:sz="0" w:space="0" w:color="auto"/>
          </w:divBdr>
          <w:divsChild>
            <w:div w:id="944968800">
              <w:marLeft w:val="0"/>
              <w:marRight w:val="0"/>
              <w:marTop w:val="0"/>
              <w:marBottom w:val="0"/>
              <w:divBdr>
                <w:top w:val="none" w:sz="0" w:space="0" w:color="auto"/>
                <w:left w:val="none" w:sz="0" w:space="0" w:color="auto"/>
                <w:bottom w:val="none" w:sz="0" w:space="0" w:color="auto"/>
                <w:right w:val="none" w:sz="0" w:space="0" w:color="auto"/>
              </w:divBdr>
            </w:div>
          </w:divsChild>
        </w:div>
        <w:div w:id="969749939">
          <w:marLeft w:val="0"/>
          <w:marRight w:val="0"/>
          <w:marTop w:val="0"/>
          <w:marBottom w:val="0"/>
          <w:divBdr>
            <w:top w:val="none" w:sz="0" w:space="0" w:color="auto"/>
            <w:left w:val="none" w:sz="0" w:space="0" w:color="auto"/>
            <w:bottom w:val="none" w:sz="0" w:space="0" w:color="auto"/>
            <w:right w:val="none" w:sz="0" w:space="0" w:color="auto"/>
          </w:divBdr>
          <w:divsChild>
            <w:div w:id="1245843051">
              <w:marLeft w:val="0"/>
              <w:marRight w:val="0"/>
              <w:marTop w:val="0"/>
              <w:marBottom w:val="0"/>
              <w:divBdr>
                <w:top w:val="none" w:sz="0" w:space="0" w:color="auto"/>
                <w:left w:val="none" w:sz="0" w:space="0" w:color="auto"/>
                <w:bottom w:val="none" w:sz="0" w:space="0" w:color="auto"/>
                <w:right w:val="none" w:sz="0" w:space="0" w:color="auto"/>
              </w:divBdr>
            </w:div>
          </w:divsChild>
        </w:div>
        <w:div w:id="983778336">
          <w:marLeft w:val="0"/>
          <w:marRight w:val="0"/>
          <w:marTop w:val="0"/>
          <w:marBottom w:val="0"/>
          <w:divBdr>
            <w:top w:val="none" w:sz="0" w:space="0" w:color="auto"/>
            <w:left w:val="none" w:sz="0" w:space="0" w:color="auto"/>
            <w:bottom w:val="none" w:sz="0" w:space="0" w:color="auto"/>
            <w:right w:val="none" w:sz="0" w:space="0" w:color="auto"/>
          </w:divBdr>
          <w:divsChild>
            <w:div w:id="1069771555">
              <w:marLeft w:val="0"/>
              <w:marRight w:val="0"/>
              <w:marTop w:val="0"/>
              <w:marBottom w:val="0"/>
              <w:divBdr>
                <w:top w:val="none" w:sz="0" w:space="0" w:color="auto"/>
                <w:left w:val="none" w:sz="0" w:space="0" w:color="auto"/>
                <w:bottom w:val="none" w:sz="0" w:space="0" w:color="auto"/>
                <w:right w:val="none" w:sz="0" w:space="0" w:color="auto"/>
              </w:divBdr>
            </w:div>
          </w:divsChild>
        </w:div>
        <w:div w:id="1002394716">
          <w:marLeft w:val="0"/>
          <w:marRight w:val="0"/>
          <w:marTop w:val="0"/>
          <w:marBottom w:val="0"/>
          <w:divBdr>
            <w:top w:val="none" w:sz="0" w:space="0" w:color="auto"/>
            <w:left w:val="none" w:sz="0" w:space="0" w:color="auto"/>
            <w:bottom w:val="none" w:sz="0" w:space="0" w:color="auto"/>
            <w:right w:val="none" w:sz="0" w:space="0" w:color="auto"/>
          </w:divBdr>
          <w:divsChild>
            <w:div w:id="1895000356">
              <w:marLeft w:val="0"/>
              <w:marRight w:val="0"/>
              <w:marTop w:val="0"/>
              <w:marBottom w:val="0"/>
              <w:divBdr>
                <w:top w:val="none" w:sz="0" w:space="0" w:color="auto"/>
                <w:left w:val="none" w:sz="0" w:space="0" w:color="auto"/>
                <w:bottom w:val="none" w:sz="0" w:space="0" w:color="auto"/>
                <w:right w:val="none" w:sz="0" w:space="0" w:color="auto"/>
              </w:divBdr>
            </w:div>
          </w:divsChild>
        </w:div>
        <w:div w:id="1007248870">
          <w:marLeft w:val="0"/>
          <w:marRight w:val="0"/>
          <w:marTop w:val="0"/>
          <w:marBottom w:val="0"/>
          <w:divBdr>
            <w:top w:val="none" w:sz="0" w:space="0" w:color="auto"/>
            <w:left w:val="none" w:sz="0" w:space="0" w:color="auto"/>
            <w:bottom w:val="none" w:sz="0" w:space="0" w:color="auto"/>
            <w:right w:val="none" w:sz="0" w:space="0" w:color="auto"/>
          </w:divBdr>
          <w:divsChild>
            <w:div w:id="69273969">
              <w:marLeft w:val="0"/>
              <w:marRight w:val="0"/>
              <w:marTop w:val="0"/>
              <w:marBottom w:val="0"/>
              <w:divBdr>
                <w:top w:val="none" w:sz="0" w:space="0" w:color="auto"/>
                <w:left w:val="none" w:sz="0" w:space="0" w:color="auto"/>
                <w:bottom w:val="none" w:sz="0" w:space="0" w:color="auto"/>
                <w:right w:val="none" w:sz="0" w:space="0" w:color="auto"/>
              </w:divBdr>
            </w:div>
          </w:divsChild>
        </w:div>
        <w:div w:id="1020592793">
          <w:marLeft w:val="0"/>
          <w:marRight w:val="0"/>
          <w:marTop w:val="0"/>
          <w:marBottom w:val="0"/>
          <w:divBdr>
            <w:top w:val="none" w:sz="0" w:space="0" w:color="auto"/>
            <w:left w:val="none" w:sz="0" w:space="0" w:color="auto"/>
            <w:bottom w:val="none" w:sz="0" w:space="0" w:color="auto"/>
            <w:right w:val="none" w:sz="0" w:space="0" w:color="auto"/>
          </w:divBdr>
          <w:divsChild>
            <w:div w:id="94327458">
              <w:marLeft w:val="0"/>
              <w:marRight w:val="0"/>
              <w:marTop w:val="0"/>
              <w:marBottom w:val="0"/>
              <w:divBdr>
                <w:top w:val="none" w:sz="0" w:space="0" w:color="auto"/>
                <w:left w:val="none" w:sz="0" w:space="0" w:color="auto"/>
                <w:bottom w:val="none" w:sz="0" w:space="0" w:color="auto"/>
                <w:right w:val="none" w:sz="0" w:space="0" w:color="auto"/>
              </w:divBdr>
            </w:div>
            <w:div w:id="1377585484">
              <w:marLeft w:val="0"/>
              <w:marRight w:val="0"/>
              <w:marTop w:val="0"/>
              <w:marBottom w:val="0"/>
              <w:divBdr>
                <w:top w:val="none" w:sz="0" w:space="0" w:color="auto"/>
                <w:left w:val="none" w:sz="0" w:space="0" w:color="auto"/>
                <w:bottom w:val="none" w:sz="0" w:space="0" w:color="auto"/>
                <w:right w:val="none" w:sz="0" w:space="0" w:color="auto"/>
              </w:divBdr>
            </w:div>
          </w:divsChild>
        </w:div>
        <w:div w:id="1103845932">
          <w:marLeft w:val="0"/>
          <w:marRight w:val="0"/>
          <w:marTop w:val="0"/>
          <w:marBottom w:val="0"/>
          <w:divBdr>
            <w:top w:val="none" w:sz="0" w:space="0" w:color="auto"/>
            <w:left w:val="none" w:sz="0" w:space="0" w:color="auto"/>
            <w:bottom w:val="none" w:sz="0" w:space="0" w:color="auto"/>
            <w:right w:val="none" w:sz="0" w:space="0" w:color="auto"/>
          </w:divBdr>
          <w:divsChild>
            <w:div w:id="1513953313">
              <w:marLeft w:val="0"/>
              <w:marRight w:val="0"/>
              <w:marTop w:val="0"/>
              <w:marBottom w:val="0"/>
              <w:divBdr>
                <w:top w:val="none" w:sz="0" w:space="0" w:color="auto"/>
                <w:left w:val="none" w:sz="0" w:space="0" w:color="auto"/>
                <w:bottom w:val="none" w:sz="0" w:space="0" w:color="auto"/>
                <w:right w:val="none" w:sz="0" w:space="0" w:color="auto"/>
              </w:divBdr>
            </w:div>
          </w:divsChild>
        </w:div>
        <w:div w:id="1124814546">
          <w:marLeft w:val="0"/>
          <w:marRight w:val="0"/>
          <w:marTop w:val="0"/>
          <w:marBottom w:val="0"/>
          <w:divBdr>
            <w:top w:val="none" w:sz="0" w:space="0" w:color="auto"/>
            <w:left w:val="none" w:sz="0" w:space="0" w:color="auto"/>
            <w:bottom w:val="none" w:sz="0" w:space="0" w:color="auto"/>
            <w:right w:val="none" w:sz="0" w:space="0" w:color="auto"/>
          </w:divBdr>
          <w:divsChild>
            <w:div w:id="1857694618">
              <w:marLeft w:val="0"/>
              <w:marRight w:val="0"/>
              <w:marTop w:val="0"/>
              <w:marBottom w:val="0"/>
              <w:divBdr>
                <w:top w:val="none" w:sz="0" w:space="0" w:color="auto"/>
                <w:left w:val="none" w:sz="0" w:space="0" w:color="auto"/>
                <w:bottom w:val="none" w:sz="0" w:space="0" w:color="auto"/>
                <w:right w:val="none" w:sz="0" w:space="0" w:color="auto"/>
              </w:divBdr>
            </w:div>
          </w:divsChild>
        </w:div>
        <w:div w:id="1171987725">
          <w:marLeft w:val="0"/>
          <w:marRight w:val="0"/>
          <w:marTop w:val="0"/>
          <w:marBottom w:val="0"/>
          <w:divBdr>
            <w:top w:val="none" w:sz="0" w:space="0" w:color="auto"/>
            <w:left w:val="none" w:sz="0" w:space="0" w:color="auto"/>
            <w:bottom w:val="none" w:sz="0" w:space="0" w:color="auto"/>
            <w:right w:val="none" w:sz="0" w:space="0" w:color="auto"/>
          </w:divBdr>
          <w:divsChild>
            <w:div w:id="1432241102">
              <w:marLeft w:val="0"/>
              <w:marRight w:val="0"/>
              <w:marTop w:val="0"/>
              <w:marBottom w:val="0"/>
              <w:divBdr>
                <w:top w:val="none" w:sz="0" w:space="0" w:color="auto"/>
                <w:left w:val="none" w:sz="0" w:space="0" w:color="auto"/>
                <w:bottom w:val="none" w:sz="0" w:space="0" w:color="auto"/>
                <w:right w:val="none" w:sz="0" w:space="0" w:color="auto"/>
              </w:divBdr>
            </w:div>
          </w:divsChild>
        </w:div>
        <w:div w:id="1198661996">
          <w:marLeft w:val="0"/>
          <w:marRight w:val="0"/>
          <w:marTop w:val="0"/>
          <w:marBottom w:val="0"/>
          <w:divBdr>
            <w:top w:val="none" w:sz="0" w:space="0" w:color="auto"/>
            <w:left w:val="none" w:sz="0" w:space="0" w:color="auto"/>
            <w:bottom w:val="none" w:sz="0" w:space="0" w:color="auto"/>
            <w:right w:val="none" w:sz="0" w:space="0" w:color="auto"/>
          </w:divBdr>
          <w:divsChild>
            <w:div w:id="2119443203">
              <w:marLeft w:val="0"/>
              <w:marRight w:val="0"/>
              <w:marTop w:val="0"/>
              <w:marBottom w:val="0"/>
              <w:divBdr>
                <w:top w:val="none" w:sz="0" w:space="0" w:color="auto"/>
                <w:left w:val="none" w:sz="0" w:space="0" w:color="auto"/>
                <w:bottom w:val="none" w:sz="0" w:space="0" w:color="auto"/>
                <w:right w:val="none" w:sz="0" w:space="0" w:color="auto"/>
              </w:divBdr>
            </w:div>
          </w:divsChild>
        </w:div>
        <w:div w:id="1206795596">
          <w:marLeft w:val="0"/>
          <w:marRight w:val="0"/>
          <w:marTop w:val="0"/>
          <w:marBottom w:val="0"/>
          <w:divBdr>
            <w:top w:val="none" w:sz="0" w:space="0" w:color="auto"/>
            <w:left w:val="none" w:sz="0" w:space="0" w:color="auto"/>
            <w:bottom w:val="none" w:sz="0" w:space="0" w:color="auto"/>
            <w:right w:val="none" w:sz="0" w:space="0" w:color="auto"/>
          </w:divBdr>
          <w:divsChild>
            <w:div w:id="458374423">
              <w:marLeft w:val="0"/>
              <w:marRight w:val="0"/>
              <w:marTop w:val="0"/>
              <w:marBottom w:val="0"/>
              <w:divBdr>
                <w:top w:val="none" w:sz="0" w:space="0" w:color="auto"/>
                <w:left w:val="none" w:sz="0" w:space="0" w:color="auto"/>
                <w:bottom w:val="none" w:sz="0" w:space="0" w:color="auto"/>
                <w:right w:val="none" w:sz="0" w:space="0" w:color="auto"/>
              </w:divBdr>
            </w:div>
          </w:divsChild>
        </w:div>
        <w:div w:id="1212696707">
          <w:marLeft w:val="0"/>
          <w:marRight w:val="0"/>
          <w:marTop w:val="0"/>
          <w:marBottom w:val="0"/>
          <w:divBdr>
            <w:top w:val="none" w:sz="0" w:space="0" w:color="auto"/>
            <w:left w:val="none" w:sz="0" w:space="0" w:color="auto"/>
            <w:bottom w:val="none" w:sz="0" w:space="0" w:color="auto"/>
            <w:right w:val="none" w:sz="0" w:space="0" w:color="auto"/>
          </w:divBdr>
          <w:divsChild>
            <w:div w:id="848370455">
              <w:marLeft w:val="0"/>
              <w:marRight w:val="0"/>
              <w:marTop w:val="0"/>
              <w:marBottom w:val="0"/>
              <w:divBdr>
                <w:top w:val="none" w:sz="0" w:space="0" w:color="auto"/>
                <w:left w:val="none" w:sz="0" w:space="0" w:color="auto"/>
                <w:bottom w:val="none" w:sz="0" w:space="0" w:color="auto"/>
                <w:right w:val="none" w:sz="0" w:space="0" w:color="auto"/>
              </w:divBdr>
            </w:div>
          </w:divsChild>
        </w:div>
        <w:div w:id="1218324389">
          <w:marLeft w:val="0"/>
          <w:marRight w:val="0"/>
          <w:marTop w:val="0"/>
          <w:marBottom w:val="0"/>
          <w:divBdr>
            <w:top w:val="none" w:sz="0" w:space="0" w:color="auto"/>
            <w:left w:val="none" w:sz="0" w:space="0" w:color="auto"/>
            <w:bottom w:val="none" w:sz="0" w:space="0" w:color="auto"/>
            <w:right w:val="none" w:sz="0" w:space="0" w:color="auto"/>
          </w:divBdr>
          <w:divsChild>
            <w:div w:id="2042898887">
              <w:marLeft w:val="0"/>
              <w:marRight w:val="0"/>
              <w:marTop w:val="0"/>
              <w:marBottom w:val="0"/>
              <w:divBdr>
                <w:top w:val="none" w:sz="0" w:space="0" w:color="auto"/>
                <w:left w:val="none" w:sz="0" w:space="0" w:color="auto"/>
                <w:bottom w:val="none" w:sz="0" w:space="0" w:color="auto"/>
                <w:right w:val="none" w:sz="0" w:space="0" w:color="auto"/>
              </w:divBdr>
            </w:div>
          </w:divsChild>
        </w:div>
        <w:div w:id="1226334453">
          <w:marLeft w:val="0"/>
          <w:marRight w:val="0"/>
          <w:marTop w:val="0"/>
          <w:marBottom w:val="0"/>
          <w:divBdr>
            <w:top w:val="none" w:sz="0" w:space="0" w:color="auto"/>
            <w:left w:val="none" w:sz="0" w:space="0" w:color="auto"/>
            <w:bottom w:val="none" w:sz="0" w:space="0" w:color="auto"/>
            <w:right w:val="none" w:sz="0" w:space="0" w:color="auto"/>
          </w:divBdr>
          <w:divsChild>
            <w:div w:id="2029795417">
              <w:marLeft w:val="0"/>
              <w:marRight w:val="0"/>
              <w:marTop w:val="0"/>
              <w:marBottom w:val="0"/>
              <w:divBdr>
                <w:top w:val="none" w:sz="0" w:space="0" w:color="auto"/>
                <w:left w:val="none" w:sz="0" w:space="0" w:color="auto"/>
                <w:bottom w:val="none" w:sz="0" w:space="0" w:color="auto"/>
                <w:right w:val="none" w:sz="0" w:space="0" w:color="auto"/>
              </w:divBdr>
            </w:div>
          </w:divsChild>
        </w:div>
        <w:div w:id="1237856028">
          <w:marLeft w:val="0"/>
          <w:marRight w:val="0"/>
          <w:marTop w:val="0"/>
          <w:marBottom w:val="0"/>
          <w:divBdr>
            <w:top w:val="none" w:sz="0" w:space="0" w:color="auto"/>
            <w:left w:val="none" w:sz="0" w:space="0" w:color="auto"/>
            <w:bottom w:val="none" w:sz="0" w:space="0" w:color="auto"/>
            <w:right w:val="none" w:sz="0" w:space="0" w:color="auto"/>
          </w:divBdr>
          <w:divsChild>
            <w:div w:id="542980779">
              <w:marLeft w:val="0"/>
              <w:marRight w:val="0"/>
              <w:marTop w:val="0"/>
              <w:marBottom w:val="0"/>
              <w:divBdr>
                <w:top w:val="none" w:sz="0" w:space="0" w:color="auto"/>
                <w:left w:val="none" w:sz="0" w:space="0" w:color="auto"/>
                <w:bottom w:val="none" w:sz="0" w:space="0" w:color="auto"/>
                <w:right w:val="none" w:sz="0" w:space="0" w:color="auto"/>
              </w:divBdr>
            </w:div>
            <w:div w:id="1455635452">
              <w:marLeft w:val="0"/>
              <w:marRight w:val="0"/>
              <w:marTop w:val="0"/>
              <w:marBottom w:val="0"/>
              <w:divBdr>
                <w:top w:val="none" w:sz="0" w:space="0" w:color="auto"/>
                <w:left w:val="none" w:sz="0" w:space="0" w:color="auto"/>
                <w:bottom w:val="none" w:sz="0" w:space="0" w:color="auto"/>
                <w:right w:val="none" w:sz="0" w:space="0" w:color="auto"/>
              </w:divBdr>
            </w:div>
          </w:divsChild>
        </w:div>
        <w:div w:id="1292443965">
          <w:marLeft w:val="0"/>
          <w:marRight w:val="0"/>
          <w:marTop w:val="0"/>
          <w:marBottom w:val="0"/>
          <w:divBdr>
            <w:top w:val="none" w:sz="0" w:space="0" w:color="auto"/>
            <w:left w:val="none" w:sz="0" w:space="0" w:color="auto"/>
            <w:bottom w:val="none" w:sz="0" w:space="0" w:color="auto"/>
            <w:right w:val="none" w:sz="0" w:space="0" w:color="auto"/>
          </w:divBdr>
          <w:divsChild>
            <w:div w:id="198398764">
              <w:marLeft w:val="0"/>
              <w:marRight w:val="0"/>
              <w:marTop w:val="0"/>
              <w:marBottom w:val="0"/>
              <w:divBdr>
                <w:top w:val="none" w:sz="0" w:space="0" w:color="auto"/>
                <w:left w:val="none" w:sz="0" w:space="0" w:color="auto"/>
                <w:bottom w:val="none" w:sz="0" w:space="0" w:color="auto"/>
                <w:right w:val="none" w:sz="0" w:space="0" w:color="auto"/>
              </w:divBdr>
            </w:div>
          </w:divsChild>
        </w:div>
        <w:div w:id="1294210250">
          <w:marLeft w:val="0"/>
          <w:marRight w:val="0"/>
          <w:marTop w:val="0"/>
          <w:marBottom w:val="0"/>
          <w:divBdr>
            <w:top w:val="none" w:sz="0" w:space="0" w:color="auto"/>
            <w:left w:val="none" w:sz="0" w:space="0" w:color="auto"/>
            <w:bottom w:val="none" w:sz="0" w:space="0" w:color="auto"/>
            <w:right w:val="none" w:sz="0" w:space="0" w:color="auto"/>
          </w:divBdr>
          <w:divsChild>
            <w:div w:id="1619994822">
              <w:marLeft w:val="0"/>
              <w:marRight w:val="0"/>
              <w:marTop w:val="0"/>
              <w:marBottom w:val="0"/>
              <w:divBdr>
                <w:top w:val="none" w:sz="0" w:space="0" w:color="auto"/>
                <w:left w:val="none" w:sz="0" w:space="0" w:color="auto"/>
                <w:bottom w:val="none" w:sz="0" w:space="0" w:color="auto"/>
                <w:right w:val="none" w:sz="0" w:space="0" w:color="auto"/>
              </w:divBdr>
            </w:div>
          </w:divsChild>
        </w:div>
        <w:div w:id="1310087624">
          <w:marLeft w:val="0"/>
          <w:marRight w:val="0"/>
          <w:marTop w:val="0"/>
          <w:marBottom w:val="0"/>
          <w:divBdr>
            <w:top w:val="none" w:sz="0" w:space="0" w:color="auto"/>
            <w:left w:val="none" w:sz="0" w:space="0" w:color="auto"/>
            <w:bottom w:val="none" w:sz="0" w:space="0" w:color="auto"/>
            <w:right w:val="none" w:sz="0" w:space="0" w:color="auto"/>
          </w:divBdr>
          <w:divsChild>
            <w:div w:id="1356737488">
              <w:marLeft w:val="0"/>
              <w:marRight w:val="0"/>
              <w:marTop w:val="0"/>
              <w:marBottom w:val="0"/>
              <w:divBdr>
                <w:top w:val="none" w:sz="0" w:space="0" w:color="auto"/>
                <w:left w:val="none" w:sz="0" w:space="0" w:color="auto"/>
                <w:bottom w:val="none" w:sz="0" w:space="0" w:color="auto"/>
                <w:right w:val="none" w:sz="0" w:space="0" w:color="auto"/>
              </w:divBdr>
            </w:div>
          </w:divsChild>
        </w:div>
        <w:div w:id="1339426092">
          <w:marLeft w:val="0"/>
          <w:marRight w:val="0"/>
          <w:marTop w:val="0"/>
          <w:marBottom w:val="0"/>
          <w:divBdr>
            <w:top w:val="none" w:sz="0" w:space="0" w:color="auto"/>
            <w:left w:val="none" w:sz="0" w:space="0" w:color="auto"/>
            <w:bottom w:val="none" w:sz="0" w:space="0" w:color="auto"/>
            <w:right w:val="none" w:sz="0" w:space="0" w:color="auto"/>
          </w:divBdr>
          <w:divsChild>
            <w:div w:id="49883163">
              <w:marLeft w:val="0"/>
              <w:marRight w:val="0"/>
              <w:marTop w:val="0"/>
              <w:marBottom w:val="0"/>
              <w:divBdr>
                <w:top w:val="none" w:sz="0" w:space="0" w:color="auto"/>
                <w:left w:val="none" w:sz="0" w:space="0" w:color="auto"/>
                <w:bottom w:val="none" w:sz="0" w:space="0" w:color="auto"/>
                <w:right w:val="none" w:sz="0" w:space="0" w:color="auto"/>
              </w:divBdr>
            </w:div>
            <w:div w:id="497968693">
              <w:marLeft w:val="0"/>
              <w:marRight w:val="0"/>
              <w:marTop w:val="0"/>
              <w:marBottom w:val="0"/>
              <w:divBdr>
                <w:top w:val="none" w:sz="0" w:space="0" w:color="auto"/>
                <w:left w:val="none" w:sz="0" w:space="0" w:color="auto"/>
                <w:bottom w:val="none" w:sz="0" w:space="0" w:color="auto"/>
                <w:right w:val="none" w:sz="0" w:space="0" w:color="auto"/>
              </w:divBdr>
            </w:div>
            <w:div w:id="613756636">
              <w:marLeft w:val="0"/>
              <w:marRight w:val="0"/>
              <w:marTop w:val="0"/>
              <w:marBottom w:val="0"/>
              <w:divBdr>
                <w:top w:val="none" w:sz="0" w:space="0" w:color="auto"/>
                <w:left w:val="none" w:sz="0" w:space="0" w:color="auto"/>
                <w:bottom w:val="none" w:sz="0" w:space="0" w:color="auto"/>
                <w:right w:val="none" w:sz="0" w:space="0" w:color="auto"/>
              </w:divBdr>
            </w:div>
          </w:divsChild>
        </w:div>
        <w:div w:id="1351294123">
          <w:marLeft w:val="0"/>
          <w:marRight w:val="0"/>
          <w:marTop w:val="0"/>
          <w:marBottom w:val="0"/>
          <w:divBdr>
            <w:top w:val="none" w:sz="0" w:space="0" w:color="auto"/>
            <w:left w:val="none" w:sz="0" w:space="0" w:color="auto"/>
            <w:bottom w:val="none" w:sz="0" w:space="0" w:color="auto"/>
            <w:right w:val="none" w:sz="0" w:space="0" w:color="auto"/>
          </w:divBdr>
          <w:divsChild>
            <w:div w:id="2068991240">
              <w:marLeft w:val="0"/>
              <w:marRight w:val="0"/>
              <w:marTop w:val="0"/>
              <w:marBottom w:val="0"/>
              <w:divBdr>
                <w:top w:val="none" w:sz="0" w:space="0" w:color="auto"/>
                <w:left w:val="none" w:sz="0" w:space="0" w:color="auto"/>
                <w:bottom w:val="none" w:sz="0" w:space="0" w:color="auto"/>
                <w:right w:val="none" w:sz="0" w:space="0" w:color="auto"/>
              </w:divBdr>
            </w:div>
          </w:divsChild>
        </w:div>
        <w:div w:id="1356267805">
          <w:marLeft w:val="0"/>
          <w:marRight w:val="0"/>
          <w:marTop w:val="0"/>
          <w:marBottom w:val="0"/>
          <w:divBdr>
            <w:top w:val="none" w:sz="0" w:space="0" w:color="auto"/>
            <w:left w:val="none" w:sz="0" w:space="0" w:color="auto"/>
            <w:bottom w:val="none" w:sz="0" w:space="0" w:color="auto"/>
            <w:right w:val="none" w:sz="0" w:space="0" w:color="auto"/>
          </w:divBdr>
          <w:divsChild>
            <w:div w:id="583031489">
              <w:marLeft w:val="0"/>
              <w:marRight w:val="0"/>
              <w:marTop w:val="0"/>
              <w:marBottom w:val="0"/>
              <w:divBdr>
                <w:top w:val="none" w:sz="0" w:space="0" w:color="auto"/>
                <w:left w:val="none" w:sz="0" w:space="0" w:color="auto"/>
                <w:bottom w:val="none" w:sz="0" w:space="0" w:color="auto"/>
                <w:right w:val="none" w:sz="0" w:space="0" w:color="auto"/>
              </w:divBdr>
            </w:div>
          </w:divsChild>
        </w:div>
        <w:div w:id="1369646747">
          <w:marLeft w:val="0"/>
          <w:marRight w:val="0"/>
          <w:marTop w:val="0"/>
          <w:marBottom w:val="0"/>
          <w:divBdr>
            <w:top w:val="none" w:sz="0" w:space="0" w:color="auto"/>
            <w:left w:val="none" w:sz="0" w:space="0" w:color="auto"/>
            <w:bottom w:val="none" w:sz="0" w:space="0" w:color="auto"/>
            <w:right w:val="none" w:sz="0" w:space="0" w:color="auto"/>
          </w:divBdr>
          <w:divsChild>
            <w:div w:id="1544368417">
              <w:marLeft w:val="0"/>
              <w:marRight w:val="0"/>
              <w:marTop w:val="0"/>
              <w:marBottom w:val="0"/>
              <w:divBdr>
                <w:top w:val="none" w:sz="0" w:space="0" w:color="auto"/>
                <w:left w:val="none" w:sz="0" w:space="0" w:color="auto"/>
                <w:bottom w:val="none" w:sz="0" w:space="0" w:color="auto"/>
                <w:right w:val="none" w:sz="0" w:space="0" w:color="auto"/>
              </w:divBdr>
            </w:div>
          </w:divsChild>
        </w:div>
        <w:div w:id="1397969490">
          <w:marLeft w:val="0"/>
          <w:marRight w:val="0"/>
          <w:marTop w:val="0"/>
          <w:marBottom w:val="0"/>
          <w:divBdr>
            <w:top w:val="none" w:sz="0" w:space="0" w:color="auto"/>
            <w:left w:val="none" w:sz="0" w:space="0" w:color="auto"/>
            <w:bottom w:val="none" w:sz="0" w:space="0" w:color="auto"/>
            <w:right w:val="none" w:sz="0" w:space="0" w:color="auto"/>
          </w:divBdr>
          <w:divsChild>
            <w:div w:id="135611145">
              <w:marLeft w:val="0"/>
              <w:marRight w:val="0"/>
              <w:marTop w:val="0"/>
              <w:marBottom w:val="0"/>
              <w:divBdr>
                <w:top w:val="none" w:sz="0" w:space="0" w:color="auto"/>
                <w:left w:val="none" w:sz="0" w:space="0" w:color="auto"/>
                <w:bottom w:val="none" w:sz="0" w:space="0" w:color="auto"/>
                <w:right w:val="none" w:sz="0" w:space="0" w:color="auto"/>
              </w:divBdr>
            </w:div>
          </w:divsChild>
        </w:div>
        <w:div w:id="1423330874">
          <w:marLeft w:val="0"/>
          <w:marRight w:val="0"/>
          <w:marTop w:val="0"/>
          <w:marBottom w:val="0"/>
          <w:divBdr>
            <w:top w:val="none" w:sz="0" w:space="0" w:color="auto"/>
            <w:left w:val="none" w:sz="0" w:space="0" w:color="auto"/>
            <w:bottom w:val="none" w:sz="0" w:space="0" w:color="auto"/>
            <w:right w:val="none" w:sz="0" w:space="0" w:color="auto"/>
          </w:divBdr>
          <w:divsChild>
            <w:div w:id="651257208">
              <w:marLeft w:val="0"/>
              <w:marRight w:val="0"/>
              <w:marTop w:val="0"/>
              <w:marBottom w:val="0"/>
              <w:divBdr>
                <w:top w:val="none" w:sz="0" w:space="0" w:color="auto"/>
                <w:left w:val="none" w:sz="0" w:space="0" w:color="auto"/>
                <w:bottom w:val="none" w:sz="0" w:space="0" w:color="auto"/>
                <w:right w:val="none" w:sz="0" w:space="0" w:color="auto"/>
              </w:divBdr>
            </w:div>
          </w:divsChild>
        </w:div>
        <w:div w:id="1441609662">
          <w:marLeft w:val="0"/>
          <w:marRight w:val="0"/>
          <w:marTop w:val="0"/>
          <w:marBottom w:val="0"/>
          <w:divBdr>
            <w:top w:val="none" w:sz="0" w:space="0" w:color="auto"/>
            <w:left w:val="none" w:sz="0" w:space="0" w:color="auto"/>
            <w:bottom w:val="none" w:sz="0" w:space="0" w:color="auto"/>
            <w:right w:val="none" w:sz="0" w:space="0" w:color="auto"/>
          </w:divBdr>
          <w:divsChild>
            <w:div w:id="2146509662">
              <w:marLeft w:val="0"/>
              <w:marRight w:val="0"/>
              <w:marTop w:val="0"/>
              <w:marBottom w:val="0"/>
              <w:divBdr>
                <w:top w:val="none" w:sz="0" w:space="0" w:color="auto"/>
                <w:left w:val="none" w:sz="0" w:space="0" w:color="auto"/>
                <w:bottom w:val="none" w:sz="0" w:space="0" w:color="auto"/>
                <w:right w:val="none" w:sz="0" w:space="0" w:color="auto"/>
              </w:divBdr>
            </w:div>
          </w:divsChild>
        </w:div>
        <w:div w:id="1454592665">
          <w:marLeft w:val="0"/>
          <w:marRight w:val="0"/>
          <w:marTop w:val="0"/>
          <w:marBottom w:val="0"/>
          <w:divBdr>
            <w:top w:val="none" w:sz="0" w:space="0" w:color="auto"/>
            <w:left w:val="none" w:sz="0" w:space="0" w:color="auto"/>
            <w:bottom w:val="none" w:sz="0" w:space="0" w:color="auto"/>
            <w:right w:val="none" w:sz="0" w:space="0" w:color="auto"/>
          </w:divBdr>
          <w:divsChild>
            <w:div w:id="697699741">
              <w:marLeft w:val="0"/>
              <w:marRight w:val="0"/>
              <w:marTop w:val="0"/>
              <w:marBottom w:val="0"/>
              <w:divBdr>
                <w:top w:val="none" w:sz="0" w:space="0" w:color="auto"/>
                <w:left w:val="none" w:sz="0" w:space="0" w:color="auto"/>
                <w:bottom w:val="none" w:sz="0" w:space="0" w:color="auto"/>
                <w:right w:val="none" w:sz="0" w:space="0" w:color="auto"/>
              </w:divBdr>
            </w:div>
            <w:div w:id="997610697">
              <w:marLeft w:val="0"/>
              <w:marRight w:val="0"/>
              <w:marTop w:val="0"/>
              <w:marBottom w:val="0"/>
              <w:divBdr>
                <w:top w:val="none" w:sz="0" w:space="0" w:color="auto"/>
                <w:left w:val="none" w:sz="0" w:space="0" w:color="auto"/>
                <w:bottom w:val="none" w:sz="0" w:space="0" w:color="auto"/>
                <w:right w:val="none" w:sz="0" w:space="0" w:color="auto"/>
              </w:divBdr>
            </w:div>
          </w:divsChild>
        </w:div>
        <w:div w:id="1497768784">
          <w:marLeft w:val="0"/>
          <w:marRight w:val="0"/>
          <w:marTop w:val="0"/>
          <w:marBottom w:val="0"/>
          <w:divBdr>
            <w:top w:val="none" w:sz="0" w:space="0" w:color="auto"/>
            <w:left w:val="none" w:sz="0" w:space="0" w:color="auto"/>
            <w:bottom w:val="none" w:sz="0" w:space="0" w:color="auto"/>
            <w:right w:val="none" w:sz="0" w:space="0" w:color="auto"/>
          </w:divBdr>
          <w:divsChild>
            <w:div w:id="182793759">
              <w:marLeft w:val="0"/>
              <w:marRight w:val="0"/>
              <w:marTop w:val="0"/>
              <w:marBottom w:val="0"/>
              <w:divBdr>
                <w:top w:val="none" w:sz="0" w:space="0" w:color="auto"/>
                <w:left w:val="none" w:sz="0" w:space="0" w:color="auto"/>
                <w:bottom w:val="none" w:sz="0" w:space="0" w:color="auto"/>
                <w:right w:val="none" w:sz="0" w:space="0" w:color="auto"/>
              </w:divBdr>
            </w:div>
          </w:divsChild>
        </w:div>
        <w:div w:id="1514681075">
          <w:marLeft w:val="0"/>
          <w:marRight w:val="0"/>
          <w:marTop w:val="0"/>
          <w:marBottom w:val="0"/>
          <w:divBdr>
            <w:top w:val="none" w:sz="0" w:space="0" w:color="auto"/>
            <w:left w:val="none" w:sz="0" w:space="0" w:color="auto"/>
            <w:bottom w:val="none" w:sz="0" w:space="0" w:color="auto"/>
            <w:right w:val="none" w:sz="0" w:space="0" w:color="auto"/>
          </w:divBdr>
          <w:divsChild>
            <w:div w:id="2043820839">
              <w:marLeft w:val="0"/>
              <w:marRight w:val="0"/>
              <w:marTop w:val="0"/>
              <w:marBottom w:val="0"/>
              <w:divBdr>
                <w:top w:val="none" w:sz="0" w:space="0" w:color="auto"/>
                <w:left w:val="none" w:sz="0" w:space="0" w:color="auto"/>
                <w:bottom w:val="none" w:sz="0" w:space="0" w:color="auto"/>
                <w:right w:val="none" w:sz="0" w:space="0" w:color="auto"/>
              </w:divBdr>
            </w:div>
          </w:divsChild>
        </w:div>
        <w:div w:id="1532035741">
          <w:marLeft w:val="0"/>
          <w:marRight w:val="0"/>
          <w:marTop w:val="0"/>
          <w:marBottom w:val="0"/>
          <w:divBdr>
            <w:top w:val="none" w:sz="0" w:space="0" w:color="auto"/>
            <w:left w:val="none" w:sz="0" w:space="0" w:color="auto"/>
            <w:bottom w:val="none" w:sz="0" w:space="0" w:color="auto"/>
            <w:right w:val="none" w:sz="0" w:space="0" w:color="auto"/>
          </w:divBdr>
          <w:divsChild>
            <w:div w:id="51316559">
              <w:marLeft w:val="0"/>
              <w:marRight w:val="0"/>
              <w:marTop w:val="0"/>
              <w:marBottom w:val="0"/>
              <w:divBdr>
                <w:top w:val="none" w:sz="0" w:space="0" w:color="auto"/>
                <w:left w:val="none" w:sz="0" w:space="0" w:color="auto"/>
                <w:bottom w:val="none" w:sz="0" w:space="0" w:color="auto"/>
                <w:right w:val="none" w:sz="0" w:space="0" w:color="auto"/>
              </w:divBdr>
            </w:div>
          </w:divsChild>
        </w:div>
        <w:div w:id="1556157383">
          <w:marLeft w:val="0"/>
          <w:marRight w:val="0"/>
          <w:marTop w:val="0"/>
          <w:marBottom w:val="0"/>
          <w:divBdr>
            <w:top w:val="none" w:sz="0" w:space="0" w:color="auto"/>
            <w:left w:val="none" w:sz="0" w:space="0" w:color="auto"/>
            <w:bottom w:val="none" w:sz="0" w:space="0" w:color="auto"/>
            <w:right w:val="none" w:sz="0" w:space="0" w:color="auto"/>
          </w:divBdr>
          <w:divsChild>
            <w:div w:id="961037916">
              <w:marLeft w:val="0"/>
              <w:marRight w:val="0"/>
              <w:marTop w:val="0"/>
              <w:marBottom w:val="0"/>
              <w:divBdr>
                <w:top w:val="none" w:sz="0" w:space="0" w:color="auto"/>
                <w:left w:val="none" w:sz="0" w:space="0" w:color="auto"/>
                <w:bottom w:val="none" w:sz="0" w:space="0" w:color="auto"/>
                <w:right w:val="none" w:sz="0" w:space="0" w:color="auto"/>
              </w:divBdr>
            </w:div>
          </w:divsChild>
        </w:div>
        <w:div w:id="1568569022">
          <w:marLeft w:val="0"/>
          <w:marRight w:val="0"/>
          <w:marTop w:val="0"/>
          <w:marBottom w:val="0"/>
          <w:divBdr>
            <w:top w:val="none" w:sz="0" w:space="0" w:color="auto"/>
            <w:left w:val="none" w:sz="0" w:space="0" w:color="auto"/>
            <w:bottom w:val="none" w:sz="0" w:space="0" w:color="auto"/>
            <w:right w:val="none" w:sz="0" w:space="0" w:color="auto"/>
          </w:divBdr>
          <w:divsChild>
            <w:div w:id="231547959">
              <w:marLeft w:val="0"/>
              <w:marRight w:val="0"/>
              <w:marTop w:val="0"/>
              <w:marBottom w:val="0"/>
              <w:divBdr>
                <w:top w:val="none" w:sz="0" w:space="0" w:color="auto"/>
                <w:left w:val="none" w:sz="0" w:space="0" w:color="auto"/>
                <w:bottom w:val="none" w:sz="0" w:space="0" w:color="auto"/>
                <w:right w:val="none" w:sz="0" w:space="0" w:color="auto"/>
              </w:divBdr>
            </w:div>
          </w:divsChild>
        </w:div>
        <w:div w:id="1575311496">
          <w:marLeft w:val="0"/>
          <w:marRight w:val="0"/>
          <w:marTop w:val="0"/>
          <w:marBottom w:val="0"/>
          <w:divBdr>
            <w:top w:val="none" w:sz="0" w:space="0" w:color="auto"/>
            <w:left w:val="none" w:sz="0" w:space="0" w:color="auto"/>
            <w:bottom w:val="none" w:sz="0" w:space="0" w:color="auto"/>
            <w:right w:val="none" w:sz="0" w:space="0" w:color="auto"/>
          </w:divBdr>
          <w:divsChild>
            <w:div w:id="1114246027">
              <w:marLeft w:val="0"/>
              <w:marRight w:val="0"/>
              <w:marTop w:val="0"/>
              <w:marBottom w:val="0"/>
              <w:divBdr>
                <w:top w:val="none" w:sz="0" w:space="0" w:color="auto"/>
                <w:left w:val="none" w:sz="0" w:space="0" w:color="auto"/>
                <w:bottom w:val="none" w:sz="0" w:space="0" w:color="auto"/>
                <w:right w:val="none" w:sz="0" w:space="0" w:color="auto"/>
              </w:divBdr>
            </w:div>
          </w:divsChild>
        </w:div>
        <w:div w:id="1576865117">
          <w:marLeft w:val="0"/>
          <w:marRight w:val="0"/>
          <w:marTop w:val="0"/>
          <w:marBottom w:val="0"/>
          <w:divBdr>
            <w:top w:val="none" w:sz="0" w:space="0" w:color="auto"/>
            <w:left w:val="none" w:sz="0" w:space="0" w:color="auto"/>
            <w:bottom w:val="none" w:sz="0" w:space="0" w:color="auto"/>
            <w:right w:val="none" w:sz="0" w:space="0" w:color="auto"/>
          </w:divBdr>
          <w:divsChild>
            <w:div w:id="1971011738">
              <w:marLeft w:val="0"/>
              <w:marRight w:val="0"/>
              <w:marTop w:val="0"/>
              <w:marBottom w:val="0"/>
              <w:divBdr>
                <w:top w:val="none" w:sz="0" w:space="0" w:color="auto"/>
                <w:left w:val="none" w:sz="0" w:space="0" w:color="auto"/>
                <w:bottom w:val="none" w:sz="0" w:space="0" w:color="auto"/>
                <w:right w:val="none" w:sz="0" w:space="0" w:color="auto"/>
              </w:divBdr>
            </w:div>
          </w:divsChild>
        </w:div>
        <w:div w:id="1596133937">
          <w:marLeft w:val="0"/>
          <w:marRight w:val="0"/>
          <w:marTop w:val="0"/>
          <w:marBottom w:val="0"/>
          <w:divBdr>
            <w:top w:val="none" w:sz="0" w:space="0" w:color="auto"/>
            <w:left w:val="none" w:sz="0" w:space="0" w:color="auto"/>
            <w:bottom w:val="none" w:sz="0" w:space="0" w:color="auto"/>
            <w:right w:val="none" w:sz="0" w:space="0" w:color="auto"/>
          </w:divBdr>
          <w:divsChild>
            <w:div w:id="63719728">
              <w:marLeft w:val="0"/>
              <w:marRight w:val="0"/>
              <w:marTop w:val="0"/>
              <w:marBottom w:val="0"/>
              <w:divBdr>
                <w:top w:val="none" w:sz="0" w:space="0" w:color="auto"/>
                <w:left w:val="none" w:sz="0" w:space="0" w:color="auto"/>
                <w:bottom w:val="none" w:sz="0" w:space="0" w:color="auto"/>
                <w:right w:val="none" w:sz="0" w:space="0" w:color="auto"/>
              </w:divBdr>
            </w:div>
          </w:divsChild>
        </w:div>
        <w:div w:id="1609001198">
          <w:marLeft w:val="0"/>
          <w:marRight w:val="0"/>
          <w:marTop w:val="0"/>
          <w:marBottom w:val="0"/>
          <w:divBdr>
            <w:top w:val="none" w:sz="0" w:space="0" w:color="auto"/>
            <w:left w:val="none" w:sz="0" w:space="0" w:color="auto"/>
            <w:bottom w:val="none" w:sz="0" w:space="0" w:color="auto"/>
            <w:right w:val="none" w:sz="0" w:space="0" w:color="auto"/>
          </w:divBdr>
          <w:divsChild>
            <w:div w:id="891693338">
              <w:marLeft w:val="0"/>
              <w:marRight w:val="0"/>
              <w:marTop w:val="0"/>
              <w:marBottom w:val="0"/>
              <w:divBdr>
                <w:top w:val="none" w:sz="0" w:space="0" w:color="auto"/>
                <w:left w:val="none" w:sz="0" w:space="0" w:color="auto"/>
                <w:bottom w:val="none" w:sz="0" w:space="0" w:color="auto"/>
                <w:right w:val="none" w:sz="0" w:space="0" w:color="auto"/>
              </w:divBdr>
            </w:div>
          </w:divsChild>
        </w:div>
        <w:div w:id="1615595998">
          <w:marLeft w:val="0"/>
          <w:marRight w:val="0"/>
          <w:marTop w:val="0"/>
          <w:marBottom w:val="0"/>
          <w:divBdr>
            <w:top w:val="none" w:sz="0" w:space="0" w:color="auto"/>
            <w:left w:val="none" w:sz="0" w:space="0" w:color="auto"/>
            <w:bottom w:val="none" w:sz="0" w:space="0" w:color="auto"/>
            <w:right w:val="none" w:sz="0" w:space="0" w:color="auto"/>
          </w:divBdr>
          <w:divsChild>
            <w:div w:id="1943567288">
              <w:marLeft w:val="0"/>
              <w:marRight w:val="0"/>
              <w:marTop w:val="0"/>
              <w:marBottom w:val="0"/>
              <w:divBdr>
                <w:top w:val="none" w:sz="0" w:space="0" w:color="auto"/>
                <w:left w:val="none" w:sz="0" w:space="0" w:color="auto"/>
                <w:bottom w:val="none" w:sz="0" w:space="0" w:color="auto"/>
                <w:right w:val="none" w:sz="0" w:space="0" w:color="auto"/>
              </w:divBdr>
            </w:div>
          </w:divsChild>
        </w:div>
        <w:div w:id="1635672440">
          <w:marLeft w:val="0"/>
          <w:marRight w:val="0"/>
          <w:marTop w:val="0"/>
          <w:marBottom w:val="0"/>
          <w:divBdr>
            <w:top w:val="none" w:sz="0" w:space="0" w:color="auto"/>
            <w:left w:val="none" w:sz="0" w:space="0" w:color="auto"/>
            <w:bottom w:val="none" w:sz="0" w:space="0" w:color="auto"/>
            <w:right w:val="none" w:sz="0" w:space="0" w:color="auto"/>
          </w:divBdr>
          <w:divsChild>
            <w:div w:id="1302879584">
              <w:marLeft w:val="0"/>
              <w:marRight w:val="0"/>
              <w:marTop w:val="0"/>
              <w:marBottom w:val="0"/>
              <w:divBdr>
                <w:top w:val="none" w:sz="0" w:space="0" w:color="auto"/>
                <w:left w:val="none" w:sz="0" w:space="0" w:color="auto"/>
                <w:bottom w:val="none" w:sz="0" w:space="0" w:color="auto"/>
                <w:right w:val="none" w:sz="0" w:space="0" w:color="auto"/>
              </w:divBdr>
            </w:div>
          </w:divsChild>
        </w:div>
        <w:div w:id="1645311104">
          <w:marLeft w:val="0"/>
          <w:marRight w:val="0"/>
          <w:marTop w:val="0"/>
          <w:marBottom w:val="0"/>
          <w:divBdr>
            <w:top w:val="none" w:sz="0" w:space="0" w:color="auto"/>
            <w:left w:val="none" w:sz="0" w:space="0" w:color="auto"/>
            <w:bottom w:val="none" w:sz="0" w:space="0" w:color="auto"/>
            <w:right w:val="none" w:sz="0" w:space="0" w:color="auto"/>
          </w:divBdr>
          <w:divsChild>
            <w:div w:id="359744296">
              <w:marLeft w:val="0"/>
              <w:marRight w:val="0"/>
              <w:marTop w:val="0"/>
              <w:marBottom w:val="0"/>
              <w:divBdr>
                <w:top w:val="none" w:sz="0" w:space="0" w:color="auto"/>
                <w:left w:val="none" w:sz="0" w:space="0" w:color="auto"/>
                <w:bottom w:val="none" w:sz="0" w:space="0" w:color="auto"/>
                <w:right w:val="none" w:sz="0" w:space="0" w:color="auto"/>
              </w:divBdr>
            </w:div>
          </w:divsChild>
        </w:div>
        <w:div w:id="1675953291">
          <w:marLeft w:val="0"/>
          <w:marRight w:val="0"/>
          <w:marTop w:val="0"/>
          <w:marBottom w:val="0"/>
          <w:divBdr>
            <w:top w:val="none" w:sz="0" w:space="0" w:color="auto"/>
            <w:left w:val="none" w:sz="0" w:space="0" w:color="auto"/>
            <w:bottom w:val="none" w:sz="0" w:space="0" w:color="auto"/>
            <w:right w:val="none" w:sz="0" w:space="0" w:color="auto"/>
          </w:divBdr>
          <w:divsChild>
            <w:div w:id="2066641380">
              <w:marLeft w:val="0"/>
              <w:marRight w:val="0"/>
              <w:marTop w:val="0"/>
              <w:marBottom w:val="0"/>
              <w:divBdr>
                <w:top w:val="none" w:sz="0" w:space="0" w:color="auto"/>
                <w:left w:val="none" w:sz="0" w:space="0" w:color="auto"/>
                <w:bottom w:val="none" w:sz="0" w:space="0" w:color="auto"/>
                <w:right w:val="none" w:sz="0" w:space="0" w:color="auto"/>
              </w:divBdr>
            </w:div>
          </w:divsChild>
        </w:div>
        <w:div w:id="1716391622">
          <w:marLeft w:val="0"/>
          <w:marRight w:val="0"/>
          <w:marTop w:val="0"/>
          <w:marBottom w:val="0"/>
          <w:divBdr>
            <w:top w:val="none" w:sz="0" w:space="0" w:color="auto"/>
            <w:left w:val="none" w:sz="0" w:space="0" w:color="auto"/>
            <w:bottom w:val="none" w:sz="0" w:space="0" w:color="auto"/>
            <w:right w:val="none" w:sz="0" w:space="0" w:color="auto"/>
          </w:divBdr>
          <w:divsChild>
            <w:div w:id="858080867">
              <w:marLeft w:val="0"/>
              <w:marRight w:val="0"/>
              <w:marTop w:val="0"/>
              <w:marBottom w:val="0"/>
              <w:divBdr>
                <w:top w:val="none" w:sz="0" w:space="0" w:color="auto"/>
                <w:left w:val="none" w:sz="0" w:space="0" w:color="auto"/>
                <w:bottom w:val="none" w:sz="0" w:space="0" w:color="auto"/>
                <w:right w:val="none" w:sz="0" w:space="0" w:color="auto"/>
              </w:divBdr>
            </w:div>
          </w:divsChild>
        </w:div>
        <w:div w:id="1730418673">
          <w:marLeft w:val="0"/>
          <w:marRight w:val="0"/>
          <w:marTop w:val="0"/>
          <w:marBottom w:val="0"/>
          <w:divBdr>
            <w:top w:val="none" w:sz="0" w:space="0" w:color="auto"/>
            <w:left w:val="none" w:sz="0" w:space="0" w:color="auto"/>
            <w:bottom w:val="none" w:sz="0" w:space="0" w:color="auto"/>
            <w:right w:val="none" w:sz="0" w:space="0" w:color="auto"/>
          </w:divBdr>
          <w:divsChild>
            <w:div w:id="1991324314">
              <w:marLeft w:val="0"/>
              <w:marRight w:val="0"/>
              <w:marTop w:val="0"/>
              <w:marBottom w:val="0"/>
              <w:divBdr>
                <w:top w:val="none" w:sz="0" w:space="0" w:color="auto"/>
                <w:left w:val="none" w:sz="0" w:space="0" w:color="auto"/>
                <w:bottom w:val="none" w:sz="0" w:space="0" w:color="auto"/>
                <w:right w:val="none" w:sz="0" w:space="0" w:color="auto"/>
              </w:divBdr>
            </w:div>
          </w:divsChild>
        </w:div>
        <w:div w:id="1797870332">
          <w:marLeft w:val="0"/>
          <w:marRight w:val="0"/>
          <w:marTop w:val="0"/>
          <w:marBottom w:val="0"/>
          <w:divBdr>
            <w:top w:val="none" w:sz="0" w:space="0" w:color="auto"/>
            <w:left w:val="none" w:sz="0" w:space="0" w:color="auto"/>
            <w:bottom w:val="none" w:sz="0" w:space="0" w:color="auto"/>
            <w:right w:val="none" w:sz="0" w:space="0" w:color="auto"/>
          </w:divBdr>
          <w:divsChild>
            <w:div w:id="1663897117">
              <w:marLeft w:val="0"/>
              <w:marRight w:val="0"/>
              <w:marTop w:val="0"/>
              <w:marBottom w:val="0"/>
              <w:divBdr>
                <w:top w:val="none" w:sz="0" w:space="0" w:color="auto"/>
                <w:left w:val="none" w:sz="0" w:space="0" w:color="auto"/>
                <w:bottom w:val="none" w:sz="0" w:space="0" w:color="auto"/>
                <w:right w:val="none" w:sz="0" w:space="0" w:color="auto"/>
              </w:divBdr>
            </w:div>
          </w:divsChild>
        </w:div>
        <w:div w:id="1810173923">
          <w:marLeft w:val="0"/>
          <w:marRight w:val="0"/>
          <w:marTop w:val="0"/>
          <w:marBottom w:val="0"/>
          <w:divBdr>
            <w:top w:val="none" w:sz="0" w:space="0" w:color="auto"/>
            <w:left w:val="none" w:sz="0" w:space="0" w:color="auto"/>
            <w:bottom w:val="none" w:sz="0" w:space="0" w:color="auto"/>
            <w:right w:val="none" w:sz="0" w:space="0" w:color="auto"/>
          </w:divBdr>
          <w:divsChild>
            <w:div w:id="1086153948">
              <w:marLeft w:val="0"/>
              <w:marRight w:val="0"/>
              <w:marTop w:val="0"/>
              <w:marBottom w:val="0"/>
              <w:divBdr>
                <w:top w:val="none" w:sz="0" w:space="0" w:color="auto"/>
                <w:left w:val="none" w:sz="0" w:space="0" w:color="auto"/>
                <w:bottom w:val="none" w:sz="0" w:space="0" w:color="auto"/>
                <w:right w:val="none" w:sz="0" w:space="0" w:color="auto"/>
              </w:divBdr>
            </w:div>
          </w:divsChild>
        </w:div>
        <w:div w:id="1823086386">
          <w:marLeft w:val="0"/>
          <w:marRight w:val="0"/>
          <w:marTop w:val="0"/>
          <w:marBottom w:val="0"/>
          <w:divBdr>
            <w:top w:val="none" w:sz="0" w:space="0" w:color="auto"/>
            <w:left w:val="none" w:sz="0" w:space="0" w:color="auto"/>
            <w:bottom w:val="none" w:sz="0" w:space="0" w:color="auto"/>
            <w:right w:val="none" w:sz="0" w:space="0" w:color="auto"/>
          </w:divBdr>
          <w:divsChild>
            <w:div w:id="1978874823">
              <w:marLeft w:val="0"/>
              <w:marRight w:val="0"/>
              <w:marTop w:val="0"/>
              <w:marBottom w:val="0"/>
              <w:divBdr>
                <w:top w:val="none" w:sz="0" w:space="0" w:color="auto"/>
                <w:left w:val="none" w:sz="0" w:space="0" w:color="auto"/>
                <w:bottom w:val="none" w:sz="0" w:space="0" w:color="auto"/>
                <w:right w:val="none" w:sz="0" w:space="0" w:color="auto"/>
              </w:divBdr>
            </w:div>
          </w:divsChild>
        </w:div>
        <w:div w:id="1824470726">
          <w:marLeft w:val="0"/>
          <w:marRight w:val="0"/>
          <w:marTop w:val="0"/>
          <w:marBottom w:val="0"/>
          <w:divBdr>
            <w:top w:val="none" w:sz="0" w:space="0" w:color="auto"/>
            <w:left w:val="none" w:sz="0" w:space="0" w:color="auto"/>
            <w:bottom w:val="none" w:sz="0" w:space="0" w:color="auto"/>
            <w:right w:val="none" w:sz="0" w:space="0" w:color="auto"/>
          </w:divBdr>
          <w:divsChild>
            <w:div w:id="1435051590">
              <w:marLeft w:val="0"/>
              <w:marRight w:val="0"/>
              <w:marTop w:val="0"/>
              <w:marBottom w:val="0"/>
              <w:divBdr>
                <w:top w:val="none" w:sz="0" w:space="0" w:color="auto"/>
                <w:left w:val="none" w:sz="0" w:space="0" w:color="auto"/>
                <w:bottom w:val="none" w:sz="0" w:space="0" w:color="auto"/>
                <w:right w:val="none" w:sz="0" w:space="0" w:color="auto"/>
              </w:divBdr>
            </w:div>
          </w:divsChild>
        </w:div>
        <w:div w:id="1863124243">
          <w:marLeft w:val="0"/>
          <w:marRight w:val="0"/>
          <w:marTop w:val="0"/>
          <w:marBottom w:val="0"/>
          <w:divBdr>
            <w:top w:val="none" w:sz="0" w:space="0" w:color="auto"/>
            <w:left w:val="none" w:sz="0" w:space="0" w:color="auto"/>
            <w:bottom w:val="none" w:sz="0" w:space="0" w:color="auto"/>
            <w:right w:val="none" w:sz="0" w:space="0" w:color="auto"/>
          </w:divBdr>
          <w:divsChild>
            <w:div w:id="344526298">
              <w:marLeft w:val="0"/>
              <w:marRight w:val="0"/>
              <w:marTop w:val="0"/>
              <w:marBottom w:val="0"/>
              <w:divBdr>
                <w:top w:val="none" w:sz="0" w:space="0" w:color="auto"/>
                <w:left w:val="none" w:sz="0" w:space="0" w:color="auto"/>
                <w:bottom w:val="none" w:sz="0" w:space="0" w:color="auto"/>
                <w:right w:val="none" w:sz="0" w:space="0" w:color="auto"/>
              </w:divBdr>
            </w:div>
          </w:divsChild>
        </w:div>
        <w:div w:id="1892571978">
          <w:marLeft w:val="0"/>
          <w:marRight w:val="0"/>
          <w:marTop w:val="0"/>
          <w:marBottom w:val="0"/>
          <w:divBdr>
            <w:top w:val="none" w:sz="0" w:space="0" w:color="auto"/>
            <w:left w:val="none" w:sz="0" w:space="0" w:color="auto"/>
            <w:bottom w:val="none" w:sz="0" w:space="0" w:color="auto"/>
            <w:right w:val="none" w:sz="0" w:space="0" w:color="auto"/>
          </w:divBdr>
          <w:divsChild>
            <w:div w:id="1266378172">
              <w:marLeft w:val="0"/>
              <w:marRight w:val="0"/>
              <w:marTop w:val="0"/>
              <w:marBottom w:val="0"/>
              <w:divBdr>
                <w:top w:val="none" w:sz="0" w:space="0" w:color="auto"/>
                <w:left w:val="none" w:sz="0" w:space="0" w:color="auto"/>
                <w:bottom w:val="none" w:sz="0" w:space="0" w:color="auto"/>
                <w:right w:val="none" w:sz="0" w:space="0" w:color="auto"/>
              </w:divBdr>
            </w:div>
          </w:divsChild>
        </w:div>
        <w:div w:id="1901557355">
          <w:marLeft w:val="0"/>
          <w:marRight w:val="0"/>
          <w:marTop w:val="0"/>
          <w:marBottom w:val="0"/>
          <w:divBdr>
            <w:top w:val="none" w:sz="0" w:space="0" w:color="auto"/>
            <w:left w:val="none" w:sz="0" w:space="0" w:color="auto"/>
            <w:bottom w:val="none" w:sz="0" w:space="0" w:color="auto"/>
            <w:right w:val="none" w:sz="0" w:space="0" w:color="auto"/>
          </w:divBdr>
          <w:divsChild>
            <w:div w:id="1239633828">
              <w:marLeft w:val="0"/>
              <w:marRight w:val="0"/>
              <w:marTop w:val="0"/>
              <w:marBottom w:val="0"/>
              <w:divBdr>
                <w:top w:val="none" w:sz="0" w:space="0" w:color="auto"/>
                <w:left w:val="none" w:sz="0" w:space="0" w:color="auto"/>
                <w:bottom w:val="none" w:sz="0" w:space="0" w:color="auto"/>
                <w:right w:val="none" w:sz="0" w:space="0" w:color="auto"/>
              </w:divBdr>
            </w:div>
          </w:divsChild>
        </w:div>
        <w:div w:id="1912541018">
          <w:marLeft w:val="0"/>
          <w:marRight w:val="0"/>
          <w:marTop w:val="0"/>
          <w:marBottom w:val="0"/>
          <w:divBdr>
            <w:top w:val="none" w:sz="0" w:space="0" w:color="auto"/>
            <w:left w:val="none" w:sz="0" w:space="0" w:color="auto"/>
            <w:bottom w:val="none" w:sz="0" w:space="0" w:color="auto"/>
            <w:right w:val="none" w:sz="0" w:space="0" w:color="auto"/>
          </w:divBdr>
          <w:divsChild>
            <w:div w:id="1240555713">
              <w:marLeft w:val="0"/>
              <w:marRight w:val="0"/>
              <w:marTop w:val="0"/>
              <w:marBottom w:val="0"/>
              <w:divBdr>
                <w:top w:val="none" w:sz="0" w:space="0" w:color="auto"/>
                <w:left w:val="none" w:sz="0" w:space="0" w:color="auto"/>
                <w:bottom w:val="none" w:sz="0" w:space="0" w:color="auto"/>
                <w:right w:val="none" w:sz="0" w:space="0" w:color="auto"/>
              </w:divBdr>
            </w:div>
          </w:divsChild>
        </w:div>
        <w:div w:id="1938059805">
          <w:marLeft w:val="0"/>
          <w:marRight w:val="0"/>
          <w:marTop w:val="0"/>
          <w:marBottom w:val="0"/>
          <w:divBdr>
            <w:top w:val="none" w:sz="0" w:space="0" w:color="auto"/>
            <w:left w:val="none" w:sz="0" w:space="0" w:color="auto"/>
            <w:bottom w:val="none" w:sz="0" w:space="0" w:color="auto"/>
            <w:right w:val="none" w:sz="0" w:space="0" w:color="auto"/>
          </w:divBdr>
          <w:divsChild>
            <w:div w:id="606155689">
              <w:marLeft w:val="0"/>
              <w:marRight w:val="0"/>
              <w:marTop w:val="0"/>
              <w:marBottom w:val="0"/>
              <w:divBdr>
                <w:top w:val="none" w:sz="0" w:space="0" w:color="auto"/>
                <w:left w:val="none" w:sz="0" w:space="0" w:color="auto"/>
                <w:bottom w:val="none" w:sz="0" w:space="0" w:color="auto"/>
                <w:right w:val="none" w:sz="0" w:space="0" w:color="auto"/>
              </w:divBdr>
            </w:div>
          </w:divsChild>
        </w:div>
        <w:div w:id="1977635634">
          <w:marLeft w:val="0"/>
          <w:marRight w:val="0"/>
          <w:marTop w:val="0"/>
          <w:marBottom w:val="0"/>
          <w:divBdr>
            <w:top w:val="none" w:sz="0" w:space="0" w:color="auto"/>
            <w:left w:val="none" w:sz="0" w:space="0" w:color="auto"/>
            <w:bottom w:val="none" w:sz="0" w:space="0" w:color="auto"/>
            <w:right w:val="none" w:sz="0" w:space="0" w:color="auto"/>
          </w:divBdr>
          <w:divsChild>
            <w:div w:id="54285271">
              <w:marLeft w:val="0"/>
              <w:marRight w:val="0"/>
              <w:marTop w:val="0"/>
              <w:marBottom w:val="0"/>
              <w:divBdr>
                <w:top w:val="none" w:sz="0" w:space="0" w:color="auto"/>
                <w:left w:val="none" w:sz="0" w:space="0" w:color="auto"/>
                <w:bottom w:val="none" w:sz="0" w:space="0" w:color="auto"/>
                <w:right w:val="none" w:sz="0" w:space="0" w:color="auto"/>
              </w:divBdr>
            </w:div>
          </w:divsChild>
        </w:div>
        <w:div w:id="1986229437">
          <w:marLeft w:val="0"/>
          <w:marRight w:val="0"/>
          <w:marTop w:val="0"/>
          <w:marBottom w:val="0"/>
          <w:divBdr>
            <w:top w:val="none" w:sz="0" w:space="0" w:color="auto"/>
            <w:left w:val="none" w:sz="0" w:space="0" w:color="auto"/>
            <w:bottom w:val="none" w:sz="0" w:space="0" w:color="auto"/>
            <w:right w:val="none" w:sz="0" w:space="0" w:color="auto"/>
          </w:divBdr>
          <w:divsChild>
            <w:div w:id="2133359060">
              <w:marLeft w:val="0"/>
              <w:marRight w:val="0"/>
              <w:marTop w:val="0"/>
              <w:marBottom w:val="0"/>
              <w:divBdr>
                <w:top w:val="none" w:sz="0" w:space="0" w:color="auto"/>
                <w:left w:val="none" w:sz="0" w:space="0" w:color="auto"/>
                <w:bottom w:val="none" w:sz="0" w:space="0" w:color="auto"/>
                <w:right w:val="none" w:sz="0" w:space="0" w:color="auto"/>
              </w:divBdr>
            </w:div>
          </w:divsChild>
        </w:div>
        <w:div w:id="1986814923">
          <w:marLeft w:val="0"/>
          <w:marRight w:val="0"/>
          <w:marTop w:val="0"/>
          <w:marBottom w:val="0"/>
          <w:divBdr>
            <w:top w:val="none" w:sz="0" w:space="0" w:color="auto"/>
            <w:left w:val="none" w:sz="0" w:space="0" w:color="auto"/>
            <w:bottom w:val="none" w:sz="0" w:space="0" w:color="auto"/>
            <w:right w:val="none" w:sz="0" w:space="0" w:color="auto"/>
          </w:divBdr>
          <w:divsChild>
            <w:div w:id="268707442">
              <w:marLeft w:val="0"/>
              <w:marRight w:val="0"/>
              <w:marTop w:val="0"/>
              <w:marBottom w:val="0"/>
              <w:divBdr>
                <w:top w:val="none" w:sz="0" w:space="0" w:color="auto"/>
                <w:left w:val="none" w:sz="0" w:space="0" w:color="auto"/>
                <w:bottom w:val="none" w:sz="0" w:space="0" w:color="auto"/>
                <w:right w:val="none" w:sz="0" w:space="0" w:color="auto"/>
              </w:divBdr>
            </w:div>
          </w:divsChild>
        </w:div>
        <w:div w:id="1987121344">
          <w:marLeft w:val="0"/>
          <w:marRight w:val="0"/>
          <w:marTop w:val="0"/>
          <w:marBottom w:val="0"/>
          <w:divBdr>
            <w:top w:val="none" w:sz="0" w:space="0" w:color="auto"/>
            <w:left w:val="none" w:sz="0" w:space="0" w:color="auto"/>
            <w:bottom w:val="none" w:sz="0" w:space="0" w:color="auto"/>
            <w:right w:val="none" w:sz="0" w:space="0" w:color="auto"/>
          </w:divBdr>
          <w:divsChild>
            <w:div w:id="674574496">
              <w:marLeft w:val="0"/>
              <w:marRight w:val="0"/>
              <w:marTop w:val="0"/>
              <w:marBottom w:val="0"/>
              <w:divBdr>
                <w:top w:val="none" w:sz="0" w:space="0" w:color="auto"/>
                <w:left w:val="none" w:sz="0" w:space="0" w:color="auto"/>
                <w:bottom w:val="none" w:sz="0" w:space="0" w:color="auto"/>
                <w:right w:val="none" w:sz="0" w:space="0" w:color="auto"/>
              </w:divBdr>
            </w:div>
          </w:divsChild>
        </w:div>
        <w:div w:id="1991211719">
          <w:marLeft w:val="0"/>
          <w:marRight w:val="0"/>
          <w:marTop w:val="0"/>
          <w:marBottom w:val="0"/>
          <w:divBdr>
            <w:top w:val="none" w:sz="0" w:space="0" w:color="auto"/>
            <w:left w:val="none" w:sz="0" w:space="0" w:color="auto"/>
            <w:bottom w:val="none" w:sz="0" w:space="0" w:color="auto"/>
            <w:right w:val="none" w:sz="0" w:space="0" w:color="auto"/>
          </w:divBdr>
          <w:divsChild>
            <w:div w:id="761800133">
              <w:marLeft w:val="0"/>
              <w:marRight w:val="0"/>
              <w:marTop w:val="0"/>
              <w:marBottom w:val="0"/>
              <w:divBdr>
                <w:top w:val="none" w:sz="0" w:space="0" w:color="auto"/>
                <w:left w:val="none" w:sz="0" w:space="0" w:color="auto"/>
                <w:bottom w:val="none" w:sz="0" w:space="0" w:color="auto"/>
                <w:right w:val="none" w:sz="0" w:space="0" w:color="auto"/>
              </w:divBdr>
            </w:div>
          </w:divsChild>
        </w:div>
        <w:div w:id="2001276285">
          <w:marLeft w:val="0"/>
          <w:marRight w:val="0"/>
          <w:marTop w:val="0"/>
          <w:marBottom w:val="0"/>
          <w:divBdr>
            <w:top w:val="none" w:sz="0" w:space="0" w:color="auto"/>
            <w:left w:val="none" w:sz="0" w:space="0" w:color="auto"/>
            <w:bottom w:val="none" w:sz="0" w:space="0" w:color="auto"/>
            <w:right w:val="none" w:sz="0" w:space="0" w:color="auto"/>
          </w:divBdr>
          <w:divsChild>
            <w:div w:id="1479608714">
              <w:marLeft w:val="0"/>
              <w:marRight w:val="0"/>
              <w:marTop w:val="0"/>
              <w:marBottom w:val="0"/>
              <w:divBdr>
                <w:top w:val="none" w:sz="0" w:space="0" w:color="auto"/>
                <w:left w:val="none" w:sz="0" w:space="0" w:color="auto"/>
                <w:bottom w:val="none" w:sz="0" w:space="0" w:color="auto"/>
                <w:right w:val="none" w:sz="0" w:space="0" w:color="auto"/>
              </w:divBdr>
            </w:div>
          </w:divsChild>
        </w:div>
        <w:div w:id="2011324184">
          <w:marLeft w:val="0"/>
          <w:marRight w:val="0"/>
          <w:marTop w:val="0"/>
          <w:marBottom w:val="0"/>
          <w:divBdr>
            <w:top w:val="none" w:sz="0" w:space="0" w:color="auto"/>
            <w:left w:val="none" w:sz="0" w:space="0" w:color="auto"/>
            <w:bottom w:val="none" w:sz="0" w:space="0" w:color="auto"/>
            <w:right w:val="none" w:sz="0" w:space="0" w:color="auto"/>
          </w:divBdr>
          <w:divsChild>
            <w:div w:id="2128499204">
              <w:marLeft w:val="0"/>
              <w:marRight w:val="0"/>
              <w:marTop w:val="0"/>
              <w:marBottom w:val="0"/>
              <w:divBdr>
                <w:top w:val="none" w:sz="0" w:space="0" w:color="auto"/>
                <w:left w:val="none" w:sz="0" w:space="0" w:color="auto"/>
                <w:bottom w:val="none" w:sz="0" w:space="0" w:color="auto"/>
                <w:right w:val="none" w:sz="0" w:space="0" w:color="auto"/>
              </w:divBdr>
            </w:div>
          </w:divsChild>
        </w:div>
        <w:div w:id="2023163090">
          <w:marLeft w:val="0"/>
          <w:marRight w:val="0"/>
          <w:marTop w:val="0"/>
          <w:marBottom w:val="0"/>
          <w:divBdr>
            <w:top w:val="none" w:sz="0" w:space="0" w:color="auto"/>
            <w:left w:val="none" w:sz="0" w:space="0" w:color="auto"/>
            <w:bottom w:val="none" w:sz="0" w:space="0" w:color="auto"/>
            <w:right w:val="none" w:sz="0" w:space="0" w:color="auto"/>
          </w:divBdr>
          <w:divsChild>
            <w:div w:id="753405389">
              <w:marLeft w:val="0"/>
              <w:marRight w:val="0"/>
              <w:marTop w:val="0"/>
              <w:marBottom w:val="0"/>
              <w:divBdr>
                <w:top w:val="none" w:sz="0" w:space="0" w:color="auto"/>
                <w:left w:val="none" w:sz="0" w:space="0" w:color="auto"/>
                <w:bottom w:val="none" w:sz="0" w:space="0" w:color="auto"/>
                <w:right w:val="none" w:sz="0" w:space="0" w:color="auto"/>
              </w:divBdr>
            </w:div>
          </w:divsChild>
        </w:div>
        <w:div w:id="2041201203">
          <w:marLeft w:val="0"/>
          <w:marRight w:val="0"/>
          <w:marTop w:val="0"/>
          <w:marBottom w:val="0"/>
          <w:divBdr>
            <w:top w:val="none" w:sz="0" w:space="0" w:color="auto"/>
            <w:left w:val="none" w:sz="0" w:space="0" w:color="auto"/>
            <w:bottom w:val="none" w:sz="0" w:space="0" w:color="auto"/>
            <w:right w:val="none" w:sz="0" w:space="0" w:color="auto"/>
          </w:divBdr>
          <w:divsChild>
            <w:div w:id="162668910">
              <w:marLeft w:val="0"/>
              <w:marRight w:val="0"/>
              <w:marTop w:val="0"/>
              <w:marBottom w:val="0"/>
              <w:divBdr>
                <w:top w:val="none" w:sz="0" w:space="0" w:color="auto"/>
                <w:left w:val="none" w:sz="0" w:space="0" w:color="auto"/>
                <w:bottom w:val="none" w:sz="0" w:space="0" w:color="auto"/>
                <w:right w:val="none" w:sz="0" w:space="0" w:color="auto"/>
              </w:divBdr>
            </w:div>
          </w:divsChild>
        </w:div>
        <w:div w:id="2100171526">
          <w:marLeft w:val="0"/>
          <w:marRight w:val="0"/>
          <w:marTop w:val="0"/>
          <w:marBottom w:val="0"/>
          <w:divBdr>
            <w:top w:val="none" w:sz="0" w:space="0" w:color="auto"/>
            <w:left w:val="none" w:sz="0" w:space="0" w:color="auto"/>
            <w:bottom w:val="none" w:sz="0" w:space="0" w:color="auto"/>
            <w:right w:val="none" w:sz="0" w:space="0" w:color="auto"/>
          </w:divBdr>
          <w:divsChild>
            <w:div w:id="526137815">
              <w:marLeft w:val="0"/>
              <w:marRight w:val="0"/>
              <w:marTop w:val="0"/>
              <w:marBottom w:val="0"/>
              <w:divBdr>
                <w:top w:val="none" w:sz="0" w:space="0" w:color="auto"/>
                <w:left w:val="none" w:sz="0" w:space="0" w:color="auto"/>
                <w:bottom w:val="none" w:sz="0" w:space="0" w:color="auto"/>
                <w:right w:val="none" w:sz="0" w:space="0" w:color="auto"/>
              </w:divBdr>
            </w:div>
          </w:divsChild>
        </w:div>
        <w:div w:id="2108889026">
          <w:marLeft w:val="0"/>
          <w:marRight w:val="0"/>
          <w:marTop w:val="0"/>
          <w:marBottom w:val="0"/>
          <w:divBdr>
            <w:top w:val="none" w:sz="0" w:space="0" w:color="auto"/>
            <w:left w:val="none" w:sz="0" w:space="0" w:color="auto"/>
            <w:bottom w:val="none" w:sz="0" w:space="0" w:color="auto"/>
            <w:right w:val="none" w:sz="0" w:space="0" w:color="auto"/>
          </w:divBdr>
          <w:divsChild>
            <w:div w:id="528376719">
              <w:marLeft w:val="0"/>
              <w:marRight w:val="0"/>
              <w:marTop w:val="0"/>
              <w:marBottom w:val="0"/>
              <w:divBdr>
                <w:top w:val="none" w:sz="0" w:space="0" w:color="auto"/>
                <w:left w:val="none" w:sz="0" w:space="0" w:color="auto"/>
                <w:bottom w:val="none" w:sz="0" w:space="0" w:color="auto"/>
                <w:right w:val="none" w:sz="0" w:space="0" w:color="auto"/>
              </w:divBdr>
            </w:div>
          </w:divsChild>
        </w:div>
        <w:div w:id="2113091499">
          <w:marLeft w:val="0"/>
          <w:marRight w:val="0"/>
          <w:marTop w:val="0"/>
          <w:marBottom w:val="0"/>
          <w:divBdr>
            <w:top w:val="none" w:sz="0" w:space="0" w:color="auto"/>
            <w:left w:val="none" w:sz="0" w:space="0" w:color="auto"/>
            <w:bottom w:val="none" w:sz="0" w:space="0" w:color="auto"/>
            <w:right w:val="none" w:sz="0" w:space="0" w:color="auto"/>
          </w:divBdr>
          <w:divsChild>
            <w:div w:id="17265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03264">
      <w:bodyDiv w:val="1"/>
      <w:marLeft w:val="0"/>
      <w:marRight w:val="0"/>
      <w:marTop w:val="0"/>
      <w:marBottom w:val="0"/>
      <w:divBdr>
        <w:top w:val="none" w:sz="0" w:space="0" w:color="auto"/>
        <w:left w:val="none" w:sz="0" w:space="0" w:color="auto"/>
        <w:bottom w:val="none" w:sz="0" w:space="0" w:color="auto"/>
        <w:right w:val="none" w:sz="0" w:space="0" w:color="auto"/>
      </w:divBdr>
      <w:divsChild>
        <w:div w:id="1724331783">
          <w:marLeft w:val="0"/>
          <w:marRight w:val="0"/>
          <w:marTop w:val="0"/>
          <w:marBottom w:val="0"/>
          <w:divBdr>
            <w:top w:val="none" w:sz="0" w:space="0" w:color="auto"/>
            <w:left w:val="none" w:sz="0" w:space="0" w:color="auto"/>
            <w:bottom w:val="none" w:sz="0" w:space="0" w:color="auto"/>
            <w:right w:val="none" w:sz="0" w:space="0" w:color="auto"/>
          </w:divBdr>
        </w:div>
        <w:div w:id="1982691175">
          <w:marLeft w:val="0"/>
          <w:marRight w:val="0"/>
          <w:marTop w:val="0"/>
          <w:marBottom w:val="0"/>
          <w:divBdr>
            <w:top w:val="none" w:sz="0" w:space="0" w:color="auto"/>
            <w:left w:val="none" w:sz="0" w:space="0" w:color="auto"/>
            <w:bottom w:val="none" w:sz="0" w:space="0" w:color="auto"/>
            <w:right w:val="none" w:sz="0" w:space="0" w:color="auto"/>
          </w:divBdr>
          <w:divsChild>
            <w:div w:id="84349108">
              <w:marLeft w:val="0"/>
              <w:marRight w:val="0"/>
              <w:marTop w:val="0"/>
              <w:marBottom w:val="0"/>
              <w:divBdr>
                <w:top w:val="none" w:sz="0" w:space="0" w:color="auto"/>
                <w:left w:val="none" w:sz="0" w:space="0" w:color="auto"/>
                <w:bottom w:val="none" w:sz="0" w:space="0" w:color="auto"/>
                <w:right w:val="none" w:sz="0" w:space="0" w:color="auto"/>
              </w:divBdr>
            </w:div>
            <w:div w:id="86343358">
              <w:marLeft w:val="0"/>
              <w:marRight w:val="0"/>
              <w:marTop w:val="0"/>
              <w:marBottom w:val="0"/>
              <w:divBdr>
                <w:top w:val="none" w:sz="0" w:space="0" w:color="auto"/>
                <w:left w:val="none" w:sz="0" w:space="0" w:color="auto"/>
                <w:bottom w:val="none" w:sz="0" w:space="0" w:color="auto"/>
                <w:right w:val="none" w:sz="0" w:space="0" w:color="auto"/>
              </w:divBdr>
            </w:div>
            <w:div w:id="136341576">
              <w:marLeft w:val="0"/>
              <w:marRight w:val="0"/>
              <w:marTop w:val="0"/>
              <w:marBottom w:val="0"/>
              <w:divBdr>
                <w:top w:val="none" w:sz="0" w:space="0" w:color="auto"/>
                <w:left w:val="none" w:sz="0" w:space="0" w:color="auto"/>
                <w:bottom w:val="none" w:sz="0" w:space="0" w:color="auto"/>
                <w:right w:val="none" w:sz="0" w:space="0" w:color="auto"/>
              </w:divBdr>
            </w:div>
            <w:div w:id="492255488">
              <w:marLeft w:val="0"/>
              <w:marRight w:val="0"/>
              <w:marTop w:val="0"/>
              <w:marBottom w:val="0"/>
              <w:divBdr>
                <w:top w:val="none" w:sz="0" w:space="0" w:color="auto"/>
                <w:left w:val="none" w:sz="0" w:space="0" w:color="auto"/>
                <w:bottom w:val="none" w:sz="0" w:space="0" w:color="auto"/>
                <w:right w:val="none" w:sz="0" w:space="0" w:color="auto"/>
              </w:divBdr>
            </w:div>
            <w:div w:id="1279409853">
              <w:marLeft w:val="0"/>
              <w:marRight w:val="0"/>
              <w:marTop w:val="0"/>
              <w:marBottom w:val="0"/>
              <w:divBdr>
                <w:top w:val="none" w:sz="0" w:space="0" w:color="auto"/>
                <w:left w:val="none" w:sz="0" w:space="0" w:color="auto"/>
                <w:bottom w:val="none" w:sz="0" w:space="0" w:color="auto"/>
                <w:right w:val="none" w:sz="0" w:space="0" w:color="auto"/>
              </w:divBdr>
            </w:div>
            <w:div w:id="1399480723">
              <w:marLeft w:val="0"/>
              <w:marRight w:val="0"/>
              <w:marTop w:val="0"/>
              <w:marBottom w:val="0"/>
              <w:divBdr>
                <w:top w:val="none" w:sz="0" w:space="0" w:color="auto"/>
                <w:left w:val="none" w:sz="0" w:space="0" w:color="auto"/>
                <w:bottom w:val="none" w:sz="0" w:space="0" w:color="auto"/>
                <w:right w:val="none" w:sz="0" w:space="0" w:color="auto"/>
              </w:divBdr>
            </w:div>
            <w:div w:id="1662849936">
              <w:marLeft w:val="0"/>
              <w:marRight w:val="0"/>
              <w:marTop w:val="0"/>
              <w:marBottom w:val="0"/>
              <w:divBdr>
                <w:top w:val="none" w:sz="0" w:space="0" w:color="auto"/>
                <w:left w:val="none" w:sz="0" w:space="0" w:color="auto"/>
                <w:bottom w:val="none" w:sz="0" w:space="0" w:color="auto"/>
                <w:right w:val="none" w:sz="0" w:space="0" w:color="auto"/>
              </w:divBdr>
            </w:div>
            <w:div w:id="16793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1741">
      <w:bodyDiv w:val="1"/>
      <w:marLeft w:val="0"/>
      <w:marRight w:val="0"/>
      <w:marTop w:val="0"/>
      <w:marBottom w:val="0"/>
      <w:divBdr>
        <w:top w:val="none" w:sz="0" w:space="0" w:color="auto"/>
        <w:left w:val="none" w:sz="0" w:space="0" w:color="auto"/>
        <w:bottom w:val="none" w:sz="0" w:space="0" w:color="auto"/>
        <w:right w:val="none" w:sz="0" w:space="0" w:color="auto"/>
      </w:divBdr>
    </w:div>
    <w:div w:id="871921944">
      <w:bodyDiv w:val="1"/>
      <w:marLeft w:val="0"/>
      <w:marRight w:val="0"/>
      <w:marTop w:val="0"/>
      <w:marBottom w:val="0"/>
      <w:divBdr>
        <w:top w:val="none" w:sz="0" w:space="0" w:color="auto"/>
        <w:left w:val="none" w:sz="0" w:space="0" w:color="auto"/>
        <w:bottom w:val="none" w:sz="0" w:space="0" w:color="auto"/>
        <w:right w:val="none" w:sz="0" w:space="0" w:color="auto"/>
      </w:divBdr>
    </w:div>
    <w:div w:id="896554691">
      <w:bodyDiv w:val="1"/>
      <w:marLeft w:val="0"/>
      <w:marRight w:val="0"/>
      <w:marTop w:val="0"/>
      <w:marBottom w:val="0"/>
      <w:divBdr>
        <w:top w:val="none" w:sz="0" w:space="0" w:color="auto"/>
        <w:left w:val="none" w:sz="0" w:space="0" w:color="auto"/>
        <w:bottom w:val="none" w:sz="0" w:space="0" w:color="auto"/>
        <w:right w:val="none" w:sz="0" w:space="0" w:color="auto"/>
      </w:divBdr>
    </w:div>
    <w:div w:id="906569705">
      <w:bodyDiv w:val="1"/>
      <w:marLeft w:val="0"/>
      <w:marRight w:val="0"/>
      <w:marTop w:val="0"/>
      <w:marBottom w:val="0"/>
      <w:divBdr>
        <w:top w:val="none" w:sz="0" w:space="0" w:color="auto"/>
        <w:left w:val="none" w:sz="0" w:space="0" w:color="auto"/>
        <w:bottom w:val="none" w:sz="0" w:space="0" w:color="auto"/>
        <w:right w:val="none" w:sz="0" w:space="0" w:color="auto"/>
      </w:divBdr>
    </w:div>
    <w:div w:id="908661585">
      <w:bodyDiv w:val="1"/>
      <w:marLeft w:val="0"/>
      <w:marRight w:val="0"/>
      <w:marTop w:val="0"/>
      <w:marBottom w:val="0"/>
      <w:divBdr>
        <w:top w:val="none" w:sz="0" w:space="0" w:color="auto"/>
        <w:left w:val="none" w:sz="0" w:space="0" w:color="auto"/>
        <w:bottom w:val="none" w:sz="0" w:space="0" w:color="auto"/>
        <w:right w:val="none" w:sz="0" w:space="0" w:color="auto"/>
      </w:divBdr>
      <w:divsChild>
        <w:div w:id="36322732">
          <w:marLeft w:val="0"/>
          <w:marRight w:val="0"/>
          <w:marTop w:val="0"/>
          <w:marBottom w:val="0"/>
          <w:divBdr>
            <w:top w:val="none" w:sz="0" w:space="0" w:color="auto"/>
            <w:left w:val="none" w:sz="0" w:space="0" w:color="auto"/>
            <w:bottom w:val="none" w:sz="0" w:space="0" w:color="auto"/>
            <w:right w:val="none" w:sz="0" w:space="0" w:color="auto"/>
          </w:divBdr>
        </w:div>
        <w:div w:id="159514820">
          <w:marLeft w:val="0"/>
          <w:marRight w:val="0"/>
          <w:marTop w:val="0"/>
          <w:marBottom w:val="0"/>
          <w:divBdr>
            <w:top w:val="none" w:sz="0" w:space="0" w:color="auto"/>
            <w:left w:val="none" w:sz="0" w:space="0" w:color="auto"/>
            <w:bottom w:val="none" w:sz="0" w:space="0" w:color="auto"/>
            <w:right w:val="none" w:sz="0" w:space="0" w:color="auto"/>
          </w:divBdr>
        </w:div>
        <w:div w:id="559948314">
          <w:marLeft w:val="0"/>
          <w:marRight w:val="0"/>
          <w:marTop w:val="0"/>
          <w:marBottom w:val="0"/>
          <w:divBdr>
            <w:top w:val="none" w:sz="0" w:space="0" w:color="auto"/>
            <w:left w:val="none" w:sz="0" w:space="0" w:color="auto"/>
            <w:bottom w:val="none" w:sz="0" w:space="0" w:color="auto"/>
            <w:right w:val="none" w:sz="0" w:space="0" w:color="auto"/>
          </w:divBdr>
        </w:div>
        <w:div w:id="653682834">
          <w:marLeft w:val="0"/>
          <w:marRight w:val="0"/>
          <w:marTop w:val="0"/>
          <w:marBottom w:val="0"/>
          <w:divBdr>
            <w:top w:val="none" w:sz="0" w:space="0" w:color="auto"/>
            <w:left w:val="none" w:sz="0" w:space="0" w:color="auto"/>
            <w:bottom w:val="none" w:sz="0" w:space="0" w:color="auto"/>
            <w:right w:val="none" w:sz="0" w:space="0" w:color="auto"/>
          </w:divBdr>
        </w:div>
        <w:div w:id="728302525">
          <w:marLeft w:val="0"/>
          <w:marRight w:val="0"/>
          <w:marTop w:val="0"/>
          <w:marBottom w:val="0"/>
          <w:divBdr>
            <w:top w:val="none" w:sz="0" w:space="0" w:color="auto"/>
            <w:left w:val="none" w:sz="0" w:space="0" w:color="auto"/>
            <w:bottom w:val="none" w:sz="0" w:space="0" w:color="auto"/>
            <w:right w:val="none" w:sz="0" w:space="0" w:color="auto"/>
          </w:divBdr>
        </w:div>
        <w:div w:id="820390454">
          <w:marLeft w:val="0"/>
          <w:marRight w:val="0"/>
          <w:marTop w:val="0"/>
          <w:marBottom w:val="0"/>
          <w:divBdr>
            <w:top w:val="none" w:sz="0" w:space="0" w:color="auto"/>
            <w:left w:val="none" w:sz="0" w:space="0" w:color="auto"/>
            <w:bottom w:val="none" w:sz="0" w:space="0" w:color="auto"/>
            <w:right w:val="none" w:sz="0" w:space="0" w:color="auto"/>
          </w:divBdr>
        </w:div>
        <w:div w:id="922878020">
          <w:marLeft w:val="0"/>
          <w:marRight w:val="0"/>
          <w:marTop w:val="0"/>
          <w:marBottom w:val="0"/>
          <w:divBdr>
            <w:top w:val="none" w:sz="0" w:space="0" w:color="auto"/>
            <w:left w:val="none" w:sz="0" w:space="0" w:color="auto"/>
            <w:bottom w:val="none" w:sz="0" w:space="0" w:color="auto"/>
            <w:right w:val="none" w:sz="0" w:space="0" w:color="auto"/>
          </w:divBdr>
        </w:div>
        <w:div w:id="1032728360">
          <w:marLeft w:val="0"/>
          <w:marRight w:val="0"/>
          <w:marTop w:val="0"/>
          <w:marBottom w:val="0"/>
          <w:divBdr>
            <w:top w:val="none" w:sz="0" w:space="0" w:color="auto"/>
            <w:left w:val="none" w:sz="0" w:space="0" w:color="auto"/>
            <w:bottom w:val="none" w:sz="0" w:space="0" w:color="auto"/>
            <w:right w:val="none" w:sz="0" w:space="0" w:color="auto"/>
          </w:divBdr>
        </w:div>
        <w:div w:id="1083525086">
          <w:marLeft w:val="0"/>
          <w:marRight w:val="0"/>
          <w:marTop w:val="0"/>
          <w:marBottom w:val="0"/>
          <w:divBdr>
            <w:top w:val="none" w:sz="0" w:space="0" w:color="auto"/>
            <w:left w:val="none" w:sz="0" w:space="0" w:color="auto"/>
            <w:bottom w:val="none" w:sz="0" w:space="0" w:color="auto"/>
            <w:right w:val="none" w:sz="0" w:space="0" w:color="auto"/>
          </w:divBdr>
        </w:div>
        <w:div w:id="1353219456">
          <w:marLeft w:val="0"/>
          <w:marRight w:val="0"/>
          <w:marTop w:val="0"/>
          <w:marBottom w:val="0"/>
          <w:divBdr>
            <w:top w:val="none" w:sz="0" w:space="0" w:color="auto"/>
            <w:left w:val="none" w:sz="0" w:space="0" w:color="auto"/>
            <w:bottom w:val="none" w:sz="0" w:space="0" w:color="auto"/>
            <w:right w:val="none" w:sz="0" w:space="0" w:color="auto"/>
          </w:divBdr>
        </w:div>
        <w:div w:id="1457522647">
          <w:marLeft w:val="0"/>
          <w:marRight w:val="0"/>
          <w:marTop w:val="0"/>
          <w:marBottom w:val="0"/>
          <w:divBdr>
            <w:top w:val="none" w:sz="0" w:space="0" w:color="auto"/>
            <w:left w:val="none" w:sz="0" w:space="0" w:color="auto"/>
            <w:bottom w:val="none" w:sz="0" w:space="0" w:color="auto"/>
            <w:right w:val="none" w:sz="0" w:space="0" w:color="auto"/>
          </w:divBdr>
        </w:div>
        <w:div w:id="1525291759">
          <w:marLeft w:val="0"/>
          <w:marRight w:val="0"/>
          <w:marTop w:val="0"/>
          <w:marBottom w:val="0"/>
          <w:divBdr>
            <w:top w:val="none" w:sz="0" w:space="0" w:color="auto"/>
            <w:left w:val="none" w:sz="0" w:space="0" w:color="auto"/>
            <w:bottom w:val="none" w:sz="0" w:space="0" w:color="auto"/>
            <w:right w:val="none" w:sz="0" w:space="0" w:color="auto"/>
          </w:divBdr>
        </w:div>
        <w:div w:id="1586497310">
          <w:marLeft w:val="0"/>
          <w:marRight w:val="0"/>
          <w:marTop w:val="0"/>
          <w:marBottom w:val="0"/>
          <w:divBdr>
            <w:top w:val="none" w:sz="0" w:space="0" w:color="auto"/>
            <w:left w:val="none" w:sz="0" w:space="0" w:color="auto"/>
            <w:bottom w:val="none" w:sz="0" w:space="0" w:color="auto"/>
            <w:right w:val="none" w:sz="0" w:space="0" w:color="auto"/>
          </w:divBdr>
        </w:div>
        <w:div w:id="1673100418">
          <w:marLeft w:val="0"/>
          <w:marRight w:val="0"/>
          <w:marTop w:val="0"/>
          <w:marBottom w:val="0"/>
          <w:divBdr>
            <w:top w:val="none" w:sz="0" w:space="0" w:color="auto"/>
            <w:left w:val="none" w:sz="0" w:space="0" w:color="auto"/>
            <w:bottom w:val="none" w:sz="0" w:space="0" w:color="auto"/>
            <w:right w:val="none" w:sz="0" w:space="0" w:color="auto"/>
          </w:divBdr>
        </w:div>
        <w:div w:id="1754274044">
          <w:marLeft w:val="0"/>
          <w:marRight w:val="0"/>
          <w:marTop w:val="0"/>
          <w:marBottom w:val="0"/>
          <w:divBdr>
            <w:top w:val="none" w:sz="0" w:space="0" w:color="auto"/>
            <w:left w:val="none" w:sz="0" w:space="0" w:color="auto"/>
            <w:bottom w:val="none" w:sz="0" w:space="0" w:color="auto"/>
            <w:right w:val="none" w:sz="0" w:space="0" w:color="auto"/>
          </w:divBdr>
        </w:div>
        <w:div w:id="1859813203">
          <w:marLeft w:val="0"/>
          <w:marRight w:val="0"/>
          <w:marTop w:val="0"/>
          <w:marBottom w:val="0"/>
          <w:divBdr>
            <w:top w:val="none" w:sz="0" w:space="0" w:color="auto"/>
            <w:left w:val="none" w:sz="0" w:space="0" w:color="auto"/>
            <w:bottom w:val="none" w:sz="0" w:space="0" w:color="auto"/>
            <w:right w:val="none" w:sz="0" w:space="0" w:color="auto"/>
          </w:divBdr>
        </w:div>
        <w:div w:id="2066945412">
          <w:marLeft w:val="0"/>
          <w:marRight w:val="0"/>
          <w:marTop w:val="0"/>
          <w:marBottom w:val="0"/>
          <w:divBdr>
            <w:top w:val="none" w:sz="0" w:space="0" w:color="auto"/>
            <w:left w:val="none" w:sz="0" w:space="0" w:color="auto"/>
            <w:bottom w:val="none" w:sz="0" w:space="0" w:color="auto"/>
            <w:right w:val="none" w:sz="0" w:space="0" w:color="auto"/>
          </w:divBdr>
        </w:div>
      </w:divsChild>
    </w:div>
    <w:div w:id="910583851">
      <w:bodyDiv w:val="1"/>
      <w:marLeft w:val="0"/>
      <w:marRight w:val="0"/>
      <w:marTop w:val="0"/>
      <w:marBottom w:val="0"/>
      <w:divBdr>
        <w:top w:val="none" w:sz="0" w:space="0" w:color="auto"/>
        <w:left w:val="none" w:sz="0" w:space="0" w:color="auto"/>
        <w:bottom w:val="none" w:sz="0" w:space="0" w:color="auto"/>
        <w:right w:val="none" w:sz="0" w:space="0" w:color="auto"/>
      </w:divBdr>
    </w:div>
    <w:div w:id="926351428">
      <w:bodyDiv w:val="1"/>
      <w:marLeft w:val="0"/>
      <w:marRight w:val="0"/>
      <w:marTop w:val="0"/>
      <w:marBottom w:val="0"/>
      <w:divBdr>
        <w:top w:val="none" w:sz="0" w:space="0" w:color="auto"/>
        <w:left w:val="none" w:sz="0" w:space="0" w:color="auto"/>
        <w:bottom w:val="none" w:sz="0" w:space="0" w:color="auto"/>
        <w:right w:val="none" w:sz="0" w:space="0" w:color="auto"/>
      </w:divBdr>
      <w:divsChild>
        <w:div w:id="555239735">
          <w:marLeft w:val="0"/>
          <w:marRight w:val="0"/>
          <w:marTop w:val="0"/>
          <w:marBottom w:val="0"/>
          <w:divBdr>
            <w:top w:val="none" w:sz="0" w:space="0" w:color="auto"/>
            <w:left w:val="none" w:sz="0" w:space="0" w:color="auto"/>
            <w:bottom w:val="none" w:sz="0" w:space="0" w:color="auto"/>
            <w:right w:val="none" w:sz="0" w:space="0" w:color="auto"/>
          </w:divBdr>
        </w:div>
        <w:div w:id="1463305766">
          <w:marLeft w:val="0"/>
          <w:marRight w:val="0"/>
          <w:marTop w:val="0"/>
          <w:marBottom w:val="0"/>
          <w:divBdr>
            <w:top w:val="none" w:sz="0" w:space="0" w:color="auto"/>
            <w:left w:val="none" w:sz="0" w:space="0" w:color="auto"/>
            <w:bottom w:val="none" w:sz="0" w:space="0" w:color="auto"/>
            <w:right w:val="none" w:sz="0" w:space="0" w:color="auto"/>
          </w:divBdr>
        </w:div>
      </w:divsChild>
    </w:div>
    <w:div w:id="937297831">
      <w:bodyDiv w:val="1"/>
      <w:marLeft w:val="0"/>
      <w:marRight w:val="0"/>
      <w:marTop w:val="0"/>
      <w:marBottom w:val="0"/>
      <w:divBdr>
        <w:top w:val="none" w:sz="0" w:space="0" w:color="auto"/>
        <w:left w:val="none" w:sz="0" w:space="0" w:color="auto"/>
        <w:bottom w:val="none" w:sz="0" w:space="0" w:color="auto"/>
        <w:right w:val="none" w:sz="0" w:space="0" w:color="auto"/>
      </w:divBdr>
    </w:div>
    <w:div w:id="955402278">
      <w:bodyDiv w:val="1"/>
      <w:marLeft w:val="0"/>
      <w:marRight w:val="0"/>
      <w:marTop w:val="0"/>
      <w:marBottom w:val="0"/>
      <w:divBdr>
        <w:top w:val="none" w:sz="0" w:space="0" w:color="auto"/>
        <w:left w:val="none" w:sz="0" w:space="0" w:color="auto"/>
        <w:bottom w:val="none" w:sz="0" w:space="0" w:color="auto"/>
        <w:right w:val="none" w:sz="0" w:space="0" w:color="auto"/>
      </w:divBdr>
    </w:div>
    <w:div w:id="962341613">
      <w:bodyDiv w:val="1"/>
      <w:marLeft w:val="0"/>
      <w:marRight w:val="0"/>
      <w:marTop w:val="0"/>
      <w:marBottom w:val="0"/>
      <w:divBdr>
        <w:top w:val="none" w:sz="0" w:space="0" w:color="auto"/>
        <w:left w:val="none" w:sz="0" w:space="0" w:color="auto"/>
        <w:bottom w:val="none" w:sz="0" w:space="0" w:color="auto"/>
        <w:right w:val="none" w:sz="0" w:space="0" w:color="auto"/>
      </w:divBdr>
    </w:div>
    <w:div w:id="968819445">
      <w:bodyDiv w:val="1"/>
      <w:marLeft w:val="0"/>
      <w:marRight w:val="0"/>
      <w:marTop w:val="0"/>
      <w:marBottom w:val="0"/>
      <w:divBdr>
        <w:top w:val="none" w:sz="0" w:space="0" w:color="auto"/>
        <w:left w:val="none" w:sz="0" w:space="0" w:color="auto"/>
        <w:bottom w:val="none" w:sz="0" w:space="0" w:color="auto"/>
        <w:right w:val="none" w:sz="0" w:space="0" w:color="auto"/>
      </w:divBdr>
    </w:div>
    <w:div w:id="974145240">
      <w:bodyDiv w:val="1"/>
      <w:marLeft w:val="0"/>
      <w:marRight w:val="0"/>
      <w:marTop w:val="0"/>
      <w:marBottom w:val="0"/>
      <w:divBdr>
        <w:top w:val="none" w:sz="0" w:space="0" w:color="auto"/>
        <w:left w:val="none" w:sz="0" w:space="0" w:color="auto"/>
        <w:bottom w:val="none" w:sz="0" w:space="0" w:color="auto"/>
        <w:right w:val="none" w:sz="0" w:space="0" w:color="auto"/>
      </w:divBdr>
    </w:div>
    <w:div w:id="989749146">
      <w:bodyDiv w:val="1"/>
      <w:marLeft w:val="0"/>
      <w:marRight w:val="0"/>
      <w:marTop w:val="0"/>
      <w:marBottom w:val="0"/>
      <w:divBdr>
        <w:top w:val="none" w:sz="0" w:space="0" w:color="auto"/>
        <w:left w:val="none" w:sz="0" w:space="0" w:color="auto"/>
        <w:bottom w:val="none" w:sz="0" w:space="0" w:color="auto"/>
        <w:right w:val="none" w:sz="0" w:space="0" w:color="auto"/>
      </w:divBdr>
    </w:div>
    <w:div w:id="996571726">
      <w:bodyDiv w:val="1"/>
      <w:marLeft w:val="0"/>
      <w:marRight w:val="0"/>
      <w:marTop w:val="0"/>
      <w:marBottom w:val="0"/>
      <w:divBdr>
        <w:top w:val="none" w:sz="0" w:space="0" w:color="auto"/>
        <w:left w:val="none" w:sz="0" w:space="0" w:color="auto"/>
        <w:bottom w:val="none" w:sz="0" w:space="0" w:color="auto"/>
        <w:right w:val="none" w:sz="0" w:space="0" w:color="auto"/>
      </w:divBdr>
      <w:divsChild>
        <w:div w:id="4598443">
          <w:marLeft w:val="0"/>
          <w:marRight w:val="0"/>
          <w:marTop w:val="0"/>
          <w:marBottom w:val="0"/>
          <w:divBdr>
            <w:top w:val="none" w:sz="0" w:space="0" w:color="auto"/>
            <w:left w:val="none" w:sz="0" w:space="0" w:color="auto"/>
            <w:bottom w:val="none" w:sz="0" w:space="0" w:color="auto"/>
            <w:right w:val="none" w:sz="0" w:space="0" w:color="auto"/>
          </w:divBdr>
        </w:div>
        <w:div w:id="25298040">
          <w:marLeft w:val="0"/>
          <w:marRight w:val="0"/>
          <w:marTop w:val="0"/>
          <w:marBottom w:val="0"/>
          <w:divBdr>
            <w:top w:val="none" w:sz="0" w:space="0" w:color="auto"/>
            <w:left w:val="none" w:sz="0" w:space="0" w:color="auto"/>
            <w:bottom w:val="none" w:sz="0" w:space="0" w:color="auto"/>
            <w:right w:val="none" w:sz="0" w:space="0" w:color="auto"/>
          </w:divBdr>
        </w:div>
        <w:div w:id="144786480">
          <w:marLeft w:val="0"/>
          <w:marRight w:val="0"/>
          <w:marTop w:val="0"/>
          <w:marBottom w:val="0"/>
          <w:divBdr>
            <w:top w:val="none" w:sz="0" w:space="0" w:color="auto"/>
            <w:left w:val="none" w:sz="0" w:space="0" w:color="auto"/>
            <w:bottom w:val="none" w:sz="0" w:space="0" w:color="auto"/>
            <w:right w:val="none" w:sz="0" w:space="0" w:color="auto"/>
          </w:divBdr>
        </w:div>
        <w:div w:id="259608954">
          <w:marLeft w:val="0"/>
          <w:marRight w:val="0"/>
          <w:marTop w:val="0"/>
          <w:marBottom w:val="0"/>
          <w:divBdr>
            <w:top w:val="none" w:sz="0" w:space="0" w:color="auto"/>
            <w:left w:val="none" w:sz="0" w:space="0" w:color="auto"/>
            <w:bottom w:val="none" w:sz="0" w:space="0" w:color="auto"/>
            <w:right w:val="none" w:sz="0" w:space="0" w:color="auto"/>
          </w:divBdr>
        </w:div>
        <w:div w:id="342704044">
          <w:marLeft w:val="0"/>
          <w:marRight w:val="0"/>
          <w:marTop w:val="0"/>
          <w:marBottom w:val="0"/>
          <w:divBdr>
            <w:top w:val="none" w:sz="0" w:space="0" w:color="auto"/>
            <w:left w:val="none" w:sz="0" w:space="0" w:color="auto"/>
            <w:bottom w:val="none" w:sz="0" w:space="0" w:color="auto"/>
            <w:right w:val="none" w:sz="0" w:space="0" w:color="auto"/>
          </w:divBdr>
        </w:div>
        <w:div w:id="527717611">
          <w:marLeft w:val="0"/>
          <w:marRight w:val="0"/>
          <w:marTop w:val="0"/>
          <w:marBottom w:val="0"/>
          <w:divBdr>
            <w:top w:val="none" w:sz="0" w:space="0" w:color="auto"/>
            <w:left w:val="none" w:sz="0" w:space="0" w:color="auto"/>
            <w:bottom w:val="none" w:sz="0" w:space="0" w:color="auto"/>
            <w:right w:val="none" w:sz="0" w:space="0" w:color="auto"/>
          </w:divBdr>
        </w:div>
        <w:div w:id="1197044647">
          <w:marLeft w:val="0"/>
          <w:marRight w:val="0"/>
          <w:marTop w:val="0"/>
          <w:marBottom w:val="0"/>
          <w:divBdr>
            <w:top w:val="none" w:sz="0" w:space="0" w:color="auto"/>
            <w:left w:val="none" w:sz="0" w:space="0" w:color="auto"/>
            <w:bottom w:val="none" w:sz="0" w:space="0" w:color="auto"/>
            <w:right w:val="none" w:sz="0" w:space="0" w:color="auto"/>
          </w:divBdr>
        </w:div>
        <w:div w:id="1222402752">
          <w:marLeft w:val="0"/>
          <w:marRight w:val="0"/>
          <w:marTop w:val="0"/>
          <w:marBottom w:val="0"/>
          <w:divBdr>
            <w:top w:val="none" w:sz="0" w:space="0" w:color="auto"/>
            <w:left w:val="none" w:sz="0" w:space="0" w:color="auto"/>
            <w:bottom w:val="none" w:sz="0" w:space="0" w:color="auto"/>
            <w:right w:val="none" w:sz="0" w:space="0" w:color="auto"/>
          </w:divBdr>
        </w:div>
        <w:div w:id="1245409334">
          <w:marLeft w:val="0"/>
          <w:marRight w:val="0"/>
          <w:marTop w:val="0"/>
          <w:marBottom w:val="0"/>
          <w:divBdr>
            <w:top w:val="none" w:sz="0" w:space="0" w:color="auto"/>
            <w:left w:val="none" w:sz="0" w:space="0" w:color="auto"/>
            <w:bottom w:val="none" w:sz="0" w:space="0" w:color="auto"/>
            <w:right w:val="none" w:sz="0" w:space="0" w:color="auto"/>
          </w:divBdr>
        </w:div>
        <w:div w:id="1381323632">
          <w:marLeft w:val="0"/>
          <w:marRight w:val="0"/>
          <w:marTop w:val="0"/>
          <w:marBottom w:val="0"/>
          <w:divBdr>
            <w:top w:val="none" w:sz="0" w:space="0" w:color="auto"/>
            <w:left w:val="none" w:sz="0" w:space="0" w:color="auto"/>
            <w:bottom w:val="none" w:sz="0" w:space="0" w:color="auto"/>
            <w:right w:val="none" w:sz="0" w:space="0" w:color="auto"/>
          </w:divBdr>
        </w:div>
        <w:div w:id="1576627804">
          <w:marLeft w:val="0"/>
          <w:marRight w:val="0"/>
          <w:marTop w:val="0"/>
          <w:marBottom w:val="0"/>
          <w:divBdr>
            <w:top w:val="none" w:sz="0" w:space="0" w:color="auto"/>
            <w:left w:val="none" w:sz="0" w:space="0" w:color="auto"/>
            <w:bottom w:val="none" w:sz="0" w:space="0" w:color="auto"/>
            <w:right w:val="none" w:sz="0" w:space="0" w:color="auto"/>
          </w:divBdr>
        </w:div>
        <w:div w:id="1651061991">
          <w:marLeft w:val="0"/>
          <w:marRight w:val="0"/>
          <w:marTop w:val="0"/>
          <w:marBottom w:val="0"/>
          <w:divBdr>
            <w:top w:val="none" w:sz="0" w:space="0" w:color="auto"/>
            <w:left w:val="none" w:sz="0" w:space="0" w:color="auto"/>
            <w:bottom w:val="none" w:sz="0" w:space="0" w:color="auto"/>
            <w:right w:val="none" w:sz="0" w:space="0" w:color="auto"/>
          </w:divBdr>
        </w:div>
        <w:div w:id="1728872325">
          <w:marLeft w:val="0"/>
          <w:marRight w:val="0"/>
          <w:marTop w:val="0"/>
          <w:marBottom w:val="0"/>
          <w:divBdr>
            <w:top w:val="none" w:sz="0" w:space="0" w:color="auto"/>
            <w:left w:val="none" w:sz="0" w:space="0" w:color="auto"/>
            <w:bottom w:val="none" w:sz="0" w:space="0" w:color="auto"/>
            <w:right w:val="none" w:sz="0" w:space="0" w:color="auto"/>
          </w:divBdr>
        </w:div>
        <w:div w:id="1766656391">
          <w:marLeft w:val="0"/>
          <w:marRight w:val="0"/>
          <w:marTop w:val="0"/>
          <w:marBottom w:val="0"/>
          <w:divBdr>
            <w:top w:val="none" w:sz="0" w:space="0" w:color="auto"/>
            <w:left w:val="none" w:sz="0" w:space="0" w:color="auto"/>
            <w:bottom w:val="none" w:sz="0" w:space="0" w:color="auto"/>
            <w:right w:val="none" w:sz="0" w:space="0" w:color="auto"/>
          </w:divBdr>
        </w:div>
        <w:div w:id="1962415543">
          <w:marLeft w:val="0"/>
          <w:marRight w:val="0"/>
          <w:marTop w:val="0"/>
          <w:marBottom w:val="0"/>
          <w:divBdr>
            <w:top w:val="none" w:sz="0" w:space="0" w:color="auto"/>
            <w:left w:val="none" w:sz="0" w:space="0" w:color="auto"/>
            <w:bottom w:val="none" w:sz="0" w:space="0" w:color="auto"/>
            <w:right w:val="none" w:sz="0" w:space="0" w:color="auto"/>
          </w:divBdr>
        </w:div>
        <w:div w:id="2072191348">
          <w:marLeft w:val="0"/>
          <w:marRight w:val="0"/>
          <w:marTop w:val="0"/>
          <w:marBottom w:val="0"/>
          <w:divBdr>
            <w:top w:val="none" w:sz="0" w:space="0" w:color="auto"/>
            <w:left w:val="none" w:sz="0" w:space="0" w:color="auto"/>
            <w:bottom w:val="none" w:sz="0" w:space="0" w:color="auto"/>
            <w:right w:val="none" w:sz="0" w:space="0" w:color="auto"/>
          </w:divBdr>
        </w:div>
        <w:div w:id="2111074700">
          <w:marLeft w:val="0"/>
          <w:marRight w:val="0"/>
          <w:marTop w:val="0"/>
          <w:marBottom w:val="0"/>
          <w:divBdr>
            <w:top w:val="none" w:sz="0" w:space="0" w:color="auto"/>
            <w:left w:val="none" w:sz="0" w:space="0" w:color="auto"/>
            <w:bottom w:val="none" w:sz="0" w:space="0" w:color="auto"/>
            <w:right w:val="none" w:sz="0" w:space="0" w:color="auto"/>
          </w:divBdr>
        </w:div>
      </w:divsChild>
    </w:div>
    <w:div w:id="1013844313">
      <w:bodyDiv w:val="1"/>
      <w:marLeft w:val="0"/>
      <w:marRight w:val="0"/>
      <w:marTop w:val="0"/>
      <w:marBottom w:val="0"/>
      <w:divBdr>
        <w:top w:val="none" w:sz="0" w:space="0" w:color="auto"/>
        <w:left w:val="none" w:sz="0" w:space="0" w:color="auto"/>
        <w:bottom w:val="none" w:sz="0" w:space="0" w:color="auto"/>
        <w:right w:val="none" w:sz="0" w:space="0" w:color="auto"/>
      </w:divBdr>
      <w:divsChild>
        <w:div w:id="366487860">
          <w:marLeft w:val="0"/>
          <w:marRight w:val="0"/>
          <w:marTop w:val="0"/>
          <w:marBottom w:val="0"/>
          <w:divBdr>
            <w:top w:val="none" w:sz="0" w:space="0" w:color="auto"/>
            <w:left w:val="none" w:sz="0" w:space="0" w:color="auto"/>
            <w:bottom w:val="none" w:sz="0" w:space="0" w:color="auto"/>
            <w:right w:val="none" w:sz="0" w:space="0" w:color="auto"/>
          </w:divBdr>
        </w:div>
        <w:div w:id="875386436">
          <w:marLeft w:val="0"/>
          <w:marRight w:val="0"/>
          <w:marTop w:val="0"/>
          <w:marBottom w:val="0"/>
          <w:divBdr>
            <w:top w:val="none" w:sz="0" w:space="0" w:color="auto"/>
            <w:left w:val="none" w:sz="0" w:space="0" w:color="auto"/>
            <w:bottom w:val="none" w:sz="0" w:space="0" w:color="auto"/>
            <w:right w:val="none" w:sz="0" w:space="0" w:color="auto"/>
          </w:divBdr>
          <w:divsChild>
            <w:div w:id="264265919">
              <w:marLeft w:val="0"/>
              <w:marRight w:val="0"/>
              <w:marTop w:val="0"/>
              <w:marBottom w:val="0"/>
              <w:divBdr>
                <w:top w:val="none" w:sz="0" w:space="0" w:color="auto"/>
                <w:left w:val="none" w:sz="0" w:space="0" w:color="auto"/>
                <w:bottom w:val="none" w:sz="0" w:space="0" w:color="auto"/>
                <w:right w:val="none" w:sz="0" w:space="0" w:color="auto"/>
              </w:divBdr>
            </w:div>
            <w:div w:id="482234882">
              <w:marLeft w:val="0"/>
              <w:marRight w:val="0"/>
              <w:marTop w:val="0"/>
              <w:marBottom w:val="0"/>
              <w:divBdr>
                <w:top w:val="none" w:sz="0" w:space="0" w:color="auto"/>
                <w:left w:val="none" w:sz="0" w:space="0" w:color="auto"/>
                <w:bottom w:val="none" w:sz="0" w:space="0" w:color="auto"/>
                <w:right w:val="none" w:sz="0" w:space="0" w:color="auto"/>
              </w:divBdr>
            </w:div>
            <w:div w:id="653990123">
              <w:marLeft w:val="0"/>
              <w:marRight w:val="0"/>
              <w:marTop w:val="0"/>
              <w:marBottom w:val="0"/>
              <w:divBdr>
                <w:top w:val="none" w:sz="0" w:space="0" w:color="auto"/>
                <w:left w:val="none" w:sz="0" w:space="0" w:color="auto"/>
                <w:bottom w:val="none" w:sz="0" w:space="0" w:color="auto"/>
                <w:right w:val="none" w:sz="0" w:space="0" w:color="auto"/>
              </w:divBdr>
            </w:div>
            <w:div w:id="968779613">
              <w:marLeft w:val="0"/>
              <w:marRight w:val="0"/>
              <w:marTop w:val="0"/>
              <w:marBottom w:val="0"/>
              <w:divBdr>
                <w:top w:val="none" w:sz="0" w:space="0" w:color="auto"/>
                <w:left w:val="none" w:sz="0" w:space="0" w:color="auto"/>
                <w:bottom w:val="none" w:sz="0" w:space="0" w:color="auto"/>
                <w:right w:val="none" w:sz="0" w:space="0" w:color="auto"/>
              </w:divBdr>
            </w:div>
            <w:div w:id="1121920609">
              <w:marLeft w:val="0"/>
              <w:marRight w:val="0"/>
              <w:marTop w:val="0"/>
              <w:marBottom w:val="0"/>
              <w:divBdr>
                <w:top w:val="none" w:sz="0" w:space="0" w:color="auto"/>
                <w:left w:val="none" w:sz="0" w:space="0" w:color="auto"/>
                <w:bottom w:val="none" w:sz="0" w:space="0" w:color="auto"/>
                <w:right w:val="none" w:sz="0" w:space="0" w:color="auto"/>
              </w:divBdr>
            </w:div>
            <w:div w:id="1131283339">
              <w:marLeft w:val="0"/>
              <w:marRight w:val="0"/>
              <w:marTop w:val="0"/>
              <w:marBottom w:val="0"/>
              <w:divBdr>
                <w:top w:val="none" w:sz="0" w:space="0" w:color="auto"/>
                <w:left w:val="none" w:sz="0" w:space="0" w:color="auto"/>
                <w:bottom w:val="none" w:sz="0" w:space="0" w:color="auto"/>
                <w:right w:val="none" w:sz="0" w:space="0" w:color="auto"/>
              </w:divBdr>
            </w:div>
            <w:div w:id="1602837081">
              <w:marLeft w:val="0"/>
              <w:marRight w:val="0"/>
              <w:marTop w:val="0"/>
              <w:marBottom w:val="0"/>
              <w:divBdr>
                <w:top w:val="none" w:sz="0" w:space="0" w:color="auto"/>
                <w:left w:val="none" w:sz="0" w:space="0" w:color="auto"/>
                <w:bottom w:val="none" w:sz="0" w:space="0" w:color="auto"/>
                <w:right w:val="none" w:sz="0" w:space="0" w:color="auto"/>
              </w:divBdr>
            </w:div>
            <w:div w:id="205523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497">
      <w:marLeft w:val="0"/>
      <w:marRight w:val="0"/>
      <w:marTop w:val="0"/>
      <w:marBottom w:val="0"/>
      <w:divBdr>
        <w:top w:val="none" w:sz="0" w:space="0" w:color="auto"/>
        <w:left w:val="none" w:sz="0" w:space="0" w:color="auto"/>
        <w:bottom w:val="none" w:sz="0" w:space="0" w:color="auto"/>
        <w:right w:val="none" w:sz="0" w:space="0" w:color="auto"/>
      </w:divBdr>
    </w:div>
    <w:div w:id="1024013665">
      <w:bodyDiv w:val="1"/>
      <w:marLeft w:val="0"/>
      <w:marRight w:val="0"/>
      <w:marTop w:val="0"/>
      <w:marBottom w:val="0"/>
      <w:divBdr>
        <w:top w:val="none" w:sz="0" w:space="0" w:color="auto"/>
        <w:left w:val="none" w:sz="0" w:space="0" w:color="auto"/>
        <w:bottom w:val="none" w:sz="0" w:space="0" w:color="auto"/>
        <w:right w:val="none" w:sz="0" w:space="0" w:color="auto"/>
      </w:divBdr>
    </w:div>
    <w:div w:id="1032464451">
      <w:bodyDiv w:val="1"/>
      <w:marLeft w:val="0"/>
      <w:marRight w:val="0"/>
      <w:marTop w:val="0"/>
      <w:marBottom w:val="0"/>
      <w:divBdr>
        <w:top w:val="none" w:sz="0" w:space="0" w:color="auto"/>
        <w:left w:val="none" w:sz="0" w:space="0" w:color="auto"/>
        <w:bottom w:val="none" w:sz="0" w:space="0" w:color="auto"/>
        <w:right w:val="none" w:sz="0" w:space="0" w:color="auto"/>
      </w:divBdr>
    </w:div>
    <w:div w:id="1067650460">
      <w:bodyDiv w:val="1"/>
      <w:marLeft w:val="0"/>
      <w:marRight w:val="0"/>
      <w:marTop w:val="0"/>
      <w:marBottom w:val="0"/>
      <w:divBdr>
        <w:top w:val="none" w:sz="0" w:space="0" w:color="auto"/>
        <w:left w:val="none" w:sz="0" w:space="0" w:color="auto"/>
        <w:bottom w:val="none" w:sz="0" w:space="0" w:color="auto"/>
        <w:right w:val="none" w:sz="0" w:space="0" w:color="auto"/>
      </w:divBdr>
      <w:divsChild>
        <w:div w:id="898439718">
          <w:marLeft w:val="0"/>
          <w:marRight w:val="0"/>
          <w:marTop w:val="0"/>
          <w:marBottom w:val="0"/>
          <w:divBdr>
            <w:top w:val="none" w:sz="0" w:space="0" w:color="auto"/>
            <w:left w:val="none" w:sz="0" w:space="0" w:color="auto"/>
            <w:bottom w:val="none" w:sz="0" w:space="0" w:color="auto"/>
            <w:right w:val="none" w:sz="0" w:space="0" w:color="auto"/>
          </w:divBdr>
        </w:div>
        <w:div w:id="1160929612">
          <w:marLeft w:val="0"/>
          <w:marRight w:val="0"/>
          <w:marTop w:val="0"/>
          <w:marBottom w:val="0"/>
          <w:divBdr>
            <w:top w:val="none" w:sz="0" w:space="0" w:color="auto"/>
            <w:left w:val="none" w:sz="0" w:space="0" w:color="auto"/>
            <w:bottom w:val="none" w:sz="0" w:space="0" w:color="auto"/>
            <w:right w:val="none" w:sz="0" w:space="0" w:color="auto"/>
          </w:divBdr>
        </w:div>
      </w:divsChild>
    </w:div>
    <w:div w:id="1068070918">
      <w:bodyDiv w:val="1"/>
      <w:marLeft w:val="0"/>
      <w:marRight w:val="0"/>
      <w:marTop w:val="0"/>
      <w:marBottom w:val="0"/>
      <w:divBdr>
        <w:top w:val="none" w:sz="0" w:space="0" w:color="auto"/>
        <w:left w:val="none" w:sz="0" w:space="0" w:color="auto"/>
        <w:bottom w:val="none" w:sz="0" w:space="0" w:color="auto"/>
        <w:right w:val="none" w:sz="0" w:space="0" w:color="auto"/>
      </w:divBdr>
    </w:div>
    <w:div w:id="1074744193">
      <w:bodyDiv w:val="1"/>
      <w:marLeft w:val="0"/>
      <w:marRight w:val="0"/>
      <w:marTop w:val="0"/>
      <w:marBottom w:val="0"/>
      <w:divBdr>
        <w:top w:val="none" w:sz="0" w:space="0" w:color="auto"/>
        <w:left w:val="none" w:sz="0" w:space="0" w:color="auto"/>
        <w:bottom w:val="none" w:sz="0" w:space="0" w:color="auto"/>
        <w:right w:val="none" w:sz="0" w:space="0" w:color="auto"/>
      </w:divBdr>
    </w:div>
    <w:div w:id="1075594824">
      <w:bodyDiv w:val="1"/>
      <w:marLeft w:val="0"/>
      <w:marRight w:val="0"/>
      <w:marTop w:val="0"/>
      <w:marBottom w:val="0"/>
      <w:divBdr>
        <w:top w:val="none" w:sz="0" w:space="0" w:color="auto"/>
        <w:left w:val="none" w:sz="0" w:space="0" w:color="auto"/>
        <w:bottom w:val="none" w:sz="0" w:space="0" w:color="auto"/>
        <w:right w:val="none" w:sz="0" w:space="0" w:color="auto"/>
      </w:divBdr>
      <w:divsChild>
        <w:div w:id="1742291701">
          <w:marLeft w:val="0"/>
          <w:marRight w:val="0"/>
          <w:marTop w:val="0"/>
          <w:marBottom w:val="0"/>
          <w:divBdr>
            <w:top w:val="none" w:sz="0" w:space="0" w:color="auto"/>
            <w:left w:val="none" w:sz="0" w:space="0" w:color="auto"/>
            <w:bottom w:val="none" w:sz="0" w:space="0" w:color="auto"/>
            <w:right w:val="none" w:sz="0" w:space="0" w:color="auto"/>
          </w:divBdr>
        </w:div>
      </w:divsChild>
    </w:div>
    <w:div w:id="1101031481">
      <w:bodyDiv w:val="1"/>
      <w:marLeft w:val="0"/>
      <w:marRight w:val="0"/>
      <w:marTop w:val="0"/>
      <w:marBottom w:val="0"/>
      <w:divBdr>
        <w:top w:val="none" w:sz="0" w:space="0" w:color="auto"/>
        <w:left w:val="none" w:sz="0" w:space="0" w:color="auto"/>
        <w:bottom w:val="none" w:sz="0" w:space="0" w:color="auto"/>
        <w:right w:val="none" w:sz="0" w:space="0" w:color="auto"/>
      </w:divBdr>
    </w:div>
    <w:div w:id="1103769708">
      <w:bodyDiv w:val="1"/>
      <w:marLeft w:val="0"/>
      <w:marRight w:val="0"/>
      <w:marTop w:val="0"/>
      <w:marBottom w:val="0"/>
      <w:divBdr>
        <w:top w:val="none" w:sz="0" w:space="0" w:color="auto"/>
        <w:left w:val="none" w:sz="0" w:space="0" w:color="auto"/>
        <w:bottom w:val="none" w:sz="0" w:space="0" w:color="auto"/>
        <w:right w:val="none" w:sz="0" w:space="0" w:color="auto"/>
      </w:divBdr>
    </w:div>
    <w:div w:id="1111052120">
      <w:bodyDiv w:val="1"/>
      <w:marLeft w:val="0"/>
      <w:marRight w:val="0"/>
      <w:marTop w:val="0"/>
      <w:marBottom w:val="0"/>
      <w:divBdr>
        <w:top w:val="none" w:sz="0" w:space="0" w:color="auto"/>
        <w:left w:val="none" w:sz="0" w:space="0" w:color="auto"/>
        <w:bottom w:val="none" w:sz="0" w:space="0" w:color="auto"/>
        <w:right w:val="none" w:sz="0" w:space="0" w:color="auto"/>
      </w:divBdr>
      <w:divsChild>
        <w:div w:id="15888099">
          <w:marLeft w:val="0"/>
          <w:marRight w:val="0"/>
          <w:marTop w:val="0"/>
          <w:marBottom w:val="0"/>
          <w:divBdr>
            <w:top w:val="none" w:sz="0" w:space="0" w:color="auto"/>
            <w:left w:val="none" w:sz="0" w:space="0" w:color="auto"/>
            <w:bottom w:val="none" w:sz="0" w:space="0" w:color="auto"/>
            <w:right w:val="none" w:sz="0" w:space="0" w:color="auto"/>
          </w:divBdr>
          <w:divsChild>
            <w:div w:id="1402170269">
              <w:marLeft w:val="0"/>
              <w:marRight w:val="0"/>
              <w:marTop w:val="0"/>
              <w:marBottom w:val="0"/>
              <w:divBdr>
                <w:top w:val="none" w:sz="0" w:space="0" w:color="auto"/>
                <w:left w:val="none" w:sz="0" w:space="0" w:color="auto"/>
                <w:bottom w:val="none" w:sz="0" w:space="0" w:color="auto"/>
                <w:right w:val="none" w:sz="0" w:space="0" w:color="auto"/>
              </w:divBdr>
            </w:div>
          </w:divsChild>
        </w:div>
        <w:div w:id="236938104">
          <w:marLeft w:val="0"/>
          <w:marRight w:val="0"/>
          <w:marTop w:val="0"/>
          <w:marBottom w:val="0"/>
          <w:divBdr>
            <w:top w:val="none" w:sz="0" w:space="0" w:color="auto"/>
            <w:left w:val="none" w:sz="0" w:space="0" w:color="auto"/>
            <w:bottom w:val="none" w:sz="0" w:space="0" w:color="auto"/>
            <w:right w:val="none" w:sz="0" w:space="0" w:color="auto"/>
          </w:divBdr>
          <w:divsChild>
            <w:div w:id="1934974516">
              <w:marLeft w:val="0"/>
              <w:marRight w:val="0"/>
              <w:marTop w:val="0"/>
              <w:marBottom w:val="0"/>
              <w:divBdr>
                <w:top w:val="none" w:sz="0" w:space="0" w:color="auto"/>
                <w:left w:val="none" w:sz="0" w:space="0" w:color="auto"/>
                <w:bottom w:val="none" w:sz="0" w:space="0" w:color="auto"/>
                <w:right w:val="none" w:sz="0" w:space="0" w:color="auto"/>
              </w:divBdr>
            </w:div>
          </w:divsChild>
        </w:div>
        <w:div w:id="497037831">
          <w:marLeft w:val="0"/>
          <w:marRight w:val="0"/>
          <w:marTop w:val="0"/>
          <w:marBottom w:val="0"/>
          <w:divBdr>
            <w:top w:val="none" w:sz="0" w:space="0" w:color="auto"/>
            <w:left w:val="none" w:sz="0" w:space="0" w:color="auto"/>
            <w:bottom w:val="none" w:sz="0" w:space="0" w:color="auto"/>
            <w:right w:val="none" w:sz="0" w:space="0" w:color="auto"/>
          </w:divBdr>
          <w:divsChild>
            <w:div w:id="32192757">
              <w:marLeft w:val="0"/>
              <w:marRight w:val="0"/>
              <w:marTop w:val="0"/>
              <w:marBottom w:val="0"/>
              <w:divBdr>
                <w:top w:val="none" w:sz="0" w:space="0" w:color="auto"/>
                <w:left w:val="none" w:sz="0" w:space="0" w:color="auto"/>
                <w:bottom w:val="none" w:sz="0" w:space="0" w:color="auto"/>
                <w:right w:val="none" w:sz="0" w:space="0" w:color="auto"/>
              </w:divBdr>
            </w:div>
          </w:divsChild>
        </w:div>
        <w:div w:id="747075630">
          <w:marLeft w:val="0"/>
          <w:marRight w:val="0"/>
          <w:marTop w:val="0"/>
          <w:marBottom w:val="0"/>
          <w:divBdr>
            <w:top w:val="none" w:sz="0" w:space="0" w:color="auto"/>
            <w:left w:val="none" w:sz="0" w:space="0" w:color="auto"/>
            <w:bottom w:val="none" w:sz="0" w:space="0" w:color="auto"/>
            <w:right w:val="none" w:sz="0" w:space="0" w:color="auto"/>
          </w:divBdr>
          <w:divsChild>
            <w:div w:id="1996373384">
              <w:marLeft w:val="0"/>
              <w:marRight w:val="0"/>
              <w:marTop w:val="0"/>
              <w:marBottom w:val="0"/>
              <w:divBdr>
                <w:top w:val="none" w:sz="0" w:space="0" w:color="auto"/>
                <w:left w:val="none" w:sz="0" w:space="0" w:color="auto"/>
                <w:bottom w:val="none" w:sz="0" w:space="0" w:color="auto"/>
                <w:right w:val="none" w:sz="0" w:space="0" w:color="auto"/>
              </w:divBdr>
            </w:div>
          </w:divsChild>
        </w:div>
        <w:div w:id="882054829">
          <w:marLeft w:val="0"/>
          <w:marRight w:val="0"/>
          <w:marTop w:val="0"/>
          <w:marBottom w:val="0"/>
          <w:divBdr>
            <w:top w:val="none" w:sz="0" w:space="0" w:color="auto"/>
            <w:left w:val="none" w:sz="0" w:space="0" w:color="auto"/>
            <w:bottom w:val="none" w:sz="0" w:space="0" w:color="auto"/>
            <w:right w:val="none" w:sz="0" w:space="0" w:color="auto"/>
          </w:divBdr>
          <w:divsChild>
            <w:div w:id="1839072191">
              <w:marLeft w:val="0"/>
              <w:marRight w:val="0"/>
              <w:marTop w:val="0"/>
              <w:marBottom w:val="0"/>
              <w:divBdr>
                <w:top w:val="none" w:sz="0" w:space="0" w:color="auto"/>
                <w:left w:val="none" w:sz="0" w:space="0" w:color="auto"/>
                <w:bottom w:val="none" w:sz="0" w:space="0" w:color="auto"/>
                <w:right w:val="none" w:sz="0" w:space="0" w:color="auto"/>
              </w:divBdr>
            </w:div>
          </w:divsChild>
        </w:div>
        <w:div w:id="888110058">
          <w:marLeft w:val="0"/>
          <w:marRight w:val="0"/>
          <w:marTop w:val="0"/>
          <w:marBottom w:val="0"/>
          <w:divBdr>
            <w:top w:val="none" w:sz="0" w:space="0" w:color="auto"/>
            <w:left w:val="none" w:sz="0" w:space="0" w:color="auto"/>
            <w:bottom w:val="none" w:sz="0" w:space="0" w:color="auto"/>
            <w:right w:val="none" w:sz="0" w:space="0" w:color="auto"/>
          </w:divBdr>
          <w:divsChild>
            <w:div w:id="905992053">
              <w:marLeft w:val="0"/>
              <w:marRight w:val="0"/>
              <w:marTop w:val="0"/>
              <w:marBottom w:val="0"/>
              <w:divBdr>
                <w:top w:val="none" w:sz="0" w:space="0" w:color="auto"/>
                <w:left w:val="none" w:sz="0" w:space="0" w:color="auto"/>
                <w:bottom w:val="none" w:sz="0" w:space="0" w:color="auto"/>
                <w:right w:val="none" w:sz="0" w:space="0" w:color="auto"/>
              </w:divBdr>
            </w:div>
          </w:divsChild>
        </w:div>
        <w:div w:id="991451037">
          <w:marLeft w:val="0"/>
          <w:marRight w:val="0"/>
          <w:marTop w:val="0"/>
          <w:marBottom w:val="0"/>
          <w:divBdr>
            <w:top w:val="none" w:sz="0" w:space="0" w:color="auto"/>
            <w:left w:val="none" w:sz="0" w:space="0" w:color="auto"/>
            <w:bottom w:val="none" w:sz="0" w:space="0" w:color="auto"/>
            <w:right w:val="none" w:sz="0" w:space="0" w:color="auto"/>
          </w:divBdr>
          <w:divsChild>
            <w:div w:id="1150057102">
              <w:marLeft w:val="0"/>
              <w:marRight w:val="0"/>
              <w:marTop w:val="0"/>
              <w:marBottom w:val="0"/>
              <w:divBdr>
                <w:top w:val="none" w:sz="0" w:space="0" w:color="auto"/>
                <w:left w:val="none" w:sz="0" w:space="0" w:color="auto"/>
                <w:bottom w:val="none" w:sz="0" w:space="0" w:color="auto"/>
                <w:right w:val="none" w:sz="0" w:space="0" w:color="auto"/>
              </w:divBdr>
            </w:div>
          </w:divsChild>
        </w:div>
        <w:div w:id="1004164894">
          <w:marLeft w:val="0"/>
          <w:marRight w:val="0"/>
          <w:marTop w:val="0"/>
          <w:marBottom w:val="0"/>
          <w:divBdr>
            <w:top w:val="none" w:sz="0" w:space="0" w:color="auto"/>
            <w:left w:val="none" w:sz="0" w:space="0" w:color="auto"/>
            <w:bottom w:val="none" w:sz="0" w:space="0" w:color="auto"/>
            <w:right w:val="none" w:sz="0" w:space="0" w:color="auto"/>
          </w:divBdr>
          <w:divsChild>
            <w:div w:id="492917220">
              <w:marLeft w:val="0"/>
              <w:marRight w:val="0"/>
              <w:marTop w:val="0"/>
              <w:marBottom w:val="0"/>
              <w:divBdr>
                <w:top w:val="none" w:sz="0" w:space="0" w:color="auto"/>
                <w:left w:val="none" w:sz="0" w:space="0" w:color="auto"/>
                <w:bottom w:val="none" w:sz="0" w:space="0" w:color="auto"/>
                <w:right w:val="none" w:sz="0" w:space="0" w:color="auto"/>
              </w:divBdr>
            </w:div>
          </w:divsChild>
        </w:div>
        <w:div w:id="1013530301">
          <w:marLeft w:val="0"/>
          <w:marRight w:val="0"/>
          <w:marTop w:val="0"/>
          <w:marBottom w:val="0"/>
          <w:divBdr>
            <w:top w:val="none" w:sz="0" w:space="0" w:color="auto"/>
            <w:left w:val="none" w:sz="0" w:space="0" w:color="auto"/>
            <w:bottom w:val="none" w:sz="0" w:space="0" w:color="auto"/>
            <w:right w:val="none" w:sz="0" w:space="0" w:color="auto"/>
          </w:divBdr>
          <w:divsChild>
            <w:div w:id="1131283354">
              <w:marLeft w:val="0"/>
              <w:marRight w:val="0"/>
              <w:marTop w:val="0"/>
              <w:marBottom w:val="0"/>
              <w:divBdr>
                <w:top w:val="none" w:sz="0" w:space="0" w:color="auto"/>
                <w:left w:val="none" w:sz="0" w:space="0" w:color="auto"/>
                <w:bottom w:val="none" w:sz="0" w:space="0" w:color="auto"/>
                <w:right w:val="none" w:sz="0" w:space="0" w:color="auto"/>
              </w:divBdr>
            </w:div>
          </w:divsChild>
        </w:div>
        <w:div w:id="1118331549">
          <w:marLeft w:val="0"/>
          <w:marRight w:val="0"/>
          <w:marTop w:val="0"/>
          <w:marBottom w:val="0"/>
          <w:divBdr>
            <w:top w:val="none" w:sz="0" w:space="0" w:color="auto"/>
            <w:left w:val="none" w:sz="0" w:space="0" w:color="auto"/>
            <w:bottom w:val="none" w:sz="0" w:space="0" w:color="auto"/>
            <w:right w:val="none" w:sz="0" w:space="0" w:color="auto"/>
          </w:divBdr>
          <w:divsChild>
            <w:div w:id="174611381">
              <w:marLeft w:val="0"/>
              <w:marRight w:val="0"/>
              <w:marTop w:val="0"/>
              <w:marBottom w:val="0"/>
              <w:divBdr>
                <w:top w:val="none" w:sz="0" w:space="0" w:color="auto"/>
                <w:left w:val="none" w:sz="0" w:space="0" w:color="auto"/>
                <w:bottom w:val="none" w:sz="0" w:space="0" w:color="auto"/>
                <w:right w:val="none" w:sz="0" w:space="0" w:color="auto"/>
              </w:divBdr>
            </w:div>
          </w:divsChild>
        </w:div>
        <w:div w:id="1233544140">
          <w:marLeft w:val="0"/>
          <w:marRight w:val="0"/>
          <w:marTop w:val="0"/>
          <w:marBottom w:val="0"/>
          <w:divBdr>
            <w:top w:val="none" w:sz="0" w:space="0" w:color="auto"/>
            <w:left w:val="none" w:sz="0" w:space="0" w:color="auto"/>
            <w:bottom w:val="none" w:sz="0" w:space="0" w:color="auto"/>
            <w:right w:val="none" w:sz="0" w:space="0" w:color="auto"/>
          </w:divBdr>
          <w:divsChild>
            <w:div w:id="622463926">
              <w:marLeft w:val="0"/>
              <w:marRight w:val="0"/>
              <w:marTop w:val="0"/>
              <w:marBottom w:val="0"/>
              <w:divBdr>
                <w:top w:val="none" w:sz="0" w:space="0" w:color="auto"/>
                <w:left w:val="none" w:sz="0" w:space="0" w:color="auto"/>
                <w:bottom w:val="none" w:sz="0" w:space="0" w:color="auto"/>
                <w:right w:val="none" w:sz="0" w:space="0" w:color="auto"/>
              </w:divBdr>
            </w:div>
          </w:divsChild>
        </w:div>
        <w:div w:id="1318924784">
          <w:marLeft w:val="0"/>
          <w:marRight w:val="0"/>
          <w:marTop w:val="0"/>
          <w:marBottom w:val="0"/>
          <w:divBdr>
            <w:top w:val="none" w:sz="0" w:space="0" w:color="auto"/>
            <w:left w:val="none" w:sz="0" w:space="0" w:color="auto"/>
            <w:bottom w:val="none" w:sz="0" w:space="0" w:color="auto"/>
            <w:right w:val="none" w:sz="0" w:space="0" w:color="auto"/>
          </w:divBdr>
          <w:divsChild>
            <w:div w:id="378210406">
              <w:marLeft w:val="0"/>
              <w:marRight w:val="0"/>
              <w:marTop w:val="0"/>
              <w:marBottom w:val="0"/>
              <w:divBdr>
                <w:top w:val="none" w:sz="0" w:space="0" w:color="auto"/>
                <w:left w:val="none" w:sz="0" w:space="0" w:color="auto"/>
                <w:bottom w:val="none" w:sz="0" w:space="0" w:color="auto"/>
                <w:right w:val="none" w:sz="0" w:space="0" w:color="auto"/>
              </w:divBdr>
            </w:div>
          </w:divsChild>
        </w:div>
        <w:div w:id="1485656363">
          <w:marLeft w:val="0"/>
          <w:marRight w:val="0"/>
          <w:marTop w:val="0"/>
          <w:marBottom w:val="0"/>
          <w:divBdr>
            <w:top w:val="none" w:sz="0" w:space="0" w:color="auto"/>
            <w:left w:val="none" w:sz="0" w:space="0" w:color="auto"/>
            <w:bottom w:val="none" w:sz="0" w:space="0" w:color="auto"/>
            <w:right w:val="none" w:sz="0" w:space="0" w:color="auto"/>
          </w:divBdr>
          <w:divsChild>
            <w:div w:id="1115324377">
              <w:marLeft w:val="0"/>
              <w:marRight w:val="0"/>
              <w:marTop w:val="0"/>
              <w:marBottom w:val="0"/>
              <w:divBdr>
                <w:top w:val="none" w:sz="0" w:space="0" w:color="auto"/>
                <w:left w:val="none" w:sz="0" w:space="0" w:color="auto"/>
                <w:bottom w:val="none" w:sz="0" w:space="0" w:color="auto"/>
                <w:right w:val="none" w:sz="0" w:space="0" w:color="auto"/>
              </w:divBdr>
            </w:div>
          </w:divsChild>
        </w:div>
        <w:div w:id="1542744218">
          <w:marLeft w:val="0"/>
          <w:marRight w:val="0"/>
          <w:marTop w:val="0"/>
          <w:marBottom w:val="0"/>
          <w:divBdr>
            <w:top w:val="none" w:sz="0" w:space="0" w:color="auto"/>
            <w:left w:val="none" w:sz="0" w:space="0" w:color="auto"/>
            <w:bottom w:val="none" w:sz="0" w:space="0" w:color="auto"/>
            <w:right w:val="none" w:sz="0" w:space="0" w:color="auto"/>
          </w:divBdr>
          <w:divsChild>
            <w:div w:id="645938139">
              <w:marLeft w:val="0"/>
              <w:marRight w:val="0"/>
              <w:marTop w:val="0"/>
              <w:marBottom w:val="0"/>
              <w:divBdr>
                <w:top w:val="none" w:sz="0" w:space="0" w:color="auto"/>
                <w:left w:val="none" w:sz="0" w:space="0" w:color="auto"/>
                <w:bottom w:val="none" w:sz="0" w:space="0" w:color="auto"/>
                <w:right w:val="none" w:sz="0" w:space="0" w:color="auto"/>
              </w:divBdr>
            </w:div>
          </w:divsChild>
        </w:div>
        <w:div w:id="1559366602">
          <w:marLeft w:val="0"/>
          <w:marRight w:val="0"/>
          <w:marTop w:val="0"/>
          <w:marBottom w:val="0"/>
          <w:divBdr>
            <w:top w:val="none" w:sz="0" w:space="0" w:color="auto"/>
            <w:left w:val="none" w:sz="0" w:space="0" w:color="auto"/>
            <w:bottom w:val="none" w:sz="0" w:space="0" w:color="auto"/>
            <w:right w:val="none" w:sz="0" w:space="0" w:color="auto"/>
          </w:divBdr>
          <w:divsChild>
            <w:div w:id="2054192609">
              <w:marLeft w:val="0"/>
              <w:marRight w:val="0"/>
              <w:marTop w:val="0"/>
              <w:marBottom w:val="0"/>
              <w:divBdr>
                <w:top w:val="none" w:sz="0" w:space="0" w:color="auto"/>
                <w:left w:val="none" w:sz="0" w:space="0" w:color="auto"/>
                <w:bottom w:val="none" w:sz="0" w:space="0" w:color="auto"/>
                <w:right w:val="none" w:sz="0" w:space="0" w:color="auto"/>
              </w:divBdr>
            </w:div>
          </w:divsChild>
        </w:div>
        <w:div w:id="1585532373">
          <w:marLeft w:val="0"/>
          <w:marRight w:val="0"/>
          <w:marTop w:val="0"/>
          <w:marBottom w:val="0"/>
          <w:divBdr>
            <w:top w:val="none" w:sz="0" w:space="0" w:color="auto"/>
            <w:left w:val="none" w:sz="0" w:space="0" w:color="auto"/>
            <w:bottom w:val="none" w:sz="0" w:space="0" w:color="auto"/>
            <w:right w:val="none" w:sz="0" w:space="0" w:color="auto"/>
          </w:divBdr>
          <w:divsChild>
            <w:div w:id="1085229200">
              <w:marLeft w:val="0"/>
              <w:marRight w:val="0"/>
              <w:marTop w:val="0"/>
              <w:marBottom w:val="0"/>
              <w:divBdr>
                <w:top w:val="none" w:sz="0" w:space="0" w:color="auto"/>
                <w:left w:val="none" w:sz="0" w:space="0" w:color="auto"/>
                <w:bottom w:val="none" w:sz="0" w:space="0" w:color="auto"/>
                <w:right w:val="none" w:sz="0" w:space="0" w:color="auto"/>
              </w:divBdr>
            </w:div>
          </w:divsChild>
        </w:div>
        <w:div w:id="1659845887">
          <w:marLeft w:val="0"/>
          <w:marRight w:val="0"/>
          <w:marTop w:val="0"/>
          <w:marBottom w:val="0"/>
          <w:divBdr>
            <w:top w:val="none" w:sz="0" w:space="0" w:color="auto"/>
            <w:left w:val="none" w:sz="0" w:space="0" w:color="auto"/>
            <w:bottom w:val="none" w:sz="0" w:space="0" w:color="auto"/>
            <w:right w:val="none" w:sz="0" w:space="0" w:color="auto"/>
          </w:divBdr>
          <w:divsChild>
            <w:div w:id="792289813">
              <w:marLeft w:val="0"/>
              <w:marRight w:val="0"/>
              <w:marTop w:val="0"/>
              <w:marBottom w:val="0"/>
              <w:divBdr>
                <w:top w:val="none" w:sz="0" w:space="0" w:color="auto"/>
                <w:left w:val="none" w:sz="0" w:space="0" w:color="auto"/>
                <w:bottom w:val="none" w:sz="0" w:space="0" w:color="auto"/>
                <w:right w:val="none" w:sz="0" w:space="0" w:color="auto"/>
              </w:divBdr>
            </w:div>
          </w:divsChild>
        </w:div>
        <w:div w:id="1686856168">
          <w:marLeft w:val="0"/>
          <w:marRight w:val="0"/>
          <w:marTop w:val="0"/>
          <w:marBottom w:val="0"/>
          <w:divBdr>
            <w:top w:val="none" w:sz="0" w:space="0" w:color="auto"/>
            <w:left w:val="none" w:sz="0" w:space="0" w:color="auto"/>
            <w:bottom w:val="none" w:sz="0" w:space="0" w:color="auto"/>
            <w:right w:val="none" w:sz="0" w:space="0" w:color="auto"/>
          </w:divBdr>
          <w:divsChild>
            <w:div w:id="1627462867">
              <w:marLeft w:val="0"/>
              <w:marRight w:val="0"/>
              <w:marTop w:val="0"/>
              <w:marBottom w:val="0"/>
              <w:divBdr>
                <w:top w:val="none" w:sz="0" w:space="0" w:color="auto"/>
                <w:left w:val="none" w:sz="0" w:space="0" w:color="auto"/>
                <w:bottom w:val="none" w:sz="0" w:space="0" w:color="auto"/>
                <w:right w:val="none" w:sz="0" w:space="0" w:color="auto"/>
              </w:divBdr>
            </w:div>
          </w:divsChild>
        </w:div>
        <w:div w:id="1788351553">
          <w:marLeft w:val="0"/>
          <w:marRight w:val="0"/>
          <w:marTop w:val="0"/>
          <w:marBottom w:val="0"/>
          <w:divBdr>
            <w:top w:val="none" w:sz="0" w:space="0" w:color="auto"/>
            <w:left w:val="none" w:sz="0" w:space="0" w:color="auto"/>
            <w:bottom w:val="none" w:sz="0" w:space="0" w:color="auto"/>
            <w:right w:val="none" w:sz="0" w:space="0" w:color="auto"/>
          </w:divBdr>
          <w:divsChild>
            <w:div w:id="864565108">
              <w:marLeft w:val="0"/>
              <w:marRight w:val="0"/>
              <w:marTop w:val="0"/>
              <w:marBottom w:val="0"/>
              <w:divBdr>
                <w:top w:val="none" w:sz="0" w:space="0" w:color="auto"/>
                <w:left w:val="none" w:sz="0" w:space="0" w:color="auto"/>
                <w:bottom w:val="none" w:sz="0" w:space="0" w:color="auto"/>
                <w:right w:val="none" w:sz="0" w:space="0" w:color="auto"/>
              </w:divBdr>
            </w:div>
          </w:divsChild>
        </w:div>
        <w:div w:id="2111047457">
          <w:marLeft w:val="0"/>
          <w:marRight w:val="0"/>
          <w:marTop w:val="0"/>
          <w:marBottom w:val="0"/>
          <w:divBdr>
            <w:top w:val="none" w:sz="0" w:space="0" w:color="auto"/>
            <w:left w:val="none" w:sz="0" w:space="0" w:color="auto"/>
            <w:bottom w:val="none" w:sz="0" w:space="0" w:color="auto"/>
            <w:right w:val="none" w:sz="0" w:space="0" w:color="auto"/>
          </w:divBdr>
          <w:divsChild>
            <w:div w:id="1040325427">
              <w:marLeft w:val="0"/>
              <w:marRight w:val="0"/>
              <w:marTop w:val="0"/>
              <w:marBottom w:val="0"/>
              <w:divBdr>
                <w:top w:val="none" w:sz="0" w:space="0" w:color="auto"/>
                <w:left w:val="none" w:sz="0" w:space="0" w:color="auto"/>
                <w:bottom w:val="none" w:sz="0" w:space="0" w:color="auto"/>
                <w:right w:val="none" w:sz="0" w:space="0" w:color="auto"/>
              </w:divBdr>
            </w:div>
          </w:divsChild>
        </w:div>
        <w:div w:id="2113813443">
          <w:marLeft w:val="0"/>
          <w:marRight w:val="0"/>
          <w:marTop w:val="0"/>
          <w:marBottom w:val="0"/>
          <w:divBdr>
            <w:top w:val="none" w:sz="0" w:space="0" w:color="auto"/>
            <w:left w:val="none" w:sz="0" w:space="0" w:color="auto"/>
            <w:bottom w:val="none" w:sz="0" w:space="0" w:color="auto"/>
            <w:right w:val="none" w:sz="0" w:space="0" w:color="auto"/>
          </w:divBdr>
          <w:divsChild>
            <w:div w:id="2746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813">
      <w:bodyDiv w:val="1"/>
      <w:marLeft w:val="0"/>
      <w:marRight w:val="0"/>
      <w:marTop w:val="0"/>
      <w:marBottom w:val="0"/>
      <w:divBdr>
        <w:top w:val="none" w:sz="0" w:space="0" w:color="auto"/>
        <w:left w:val="none" w:sz="0" w:space="0" w:color="auto"/>
        <w:bottom w:val="none" w:sz="0" w:space="0" w:color="auto"/>
        <w:right w:val="none" w:sz="0" w:space="0" w:color="auto"/>
      </w:divBdr>
    </w:div>
    <w:div w:id="1125850187">
      <w:bodyDiv w:val="1"/>
      <w:marLeft w:val="0"/>
      <w:marRight w:val="0"/>
      <w:marTop w:val="0"/>
      <w:marBottom w:val="0"/>
      <w:divBdr>
        <w:top w:val="none" w:sz="0" w:space="0" w:color="auto"/>
        <w:left w:val="none" w:sz="0" w:space="0" w:color="auto"/>
        <w:bottom w:val="none" w:sz="0" w:space="0" w:color="auto"/>
        <w:right w:val="none" w:sz="0" w:space="0" w:color="auto"/>
      </w:divBdr>
    </w:div>
    <w:div w:id="1137189575">
      <w:bodyDiv w:val="1"/>
      <w:marLeft w:val="0"/>
      <w:marRight w:val="0"/>
      <w:marTop w:val="0"/>
      <w:marBottom w:val="0"/>
      <w:divBdr>
        <w:top w:val="none" w:sz="0" w:space="0" w:color="auto"/>
        <w:left w:val="none" w:sz="0" w:space="0" w:color="auto"/>
        <w:bottom w:val="none" w:sz="0" w:space="0" w:color="auto"/>
        <w:right w:val="none" w:sz="0" w:space="0" w:color="auto"/>
      </w:divBdr>
    </w:div>
    <w:div w:id="1139685258">
      <w:bodyDiv w:val="1"/>
      <w:marLeft w:val="0"/>
      <w:marRight w:val="0"/>
      <w:marTop w:val="0"/>
      <w:marBottom w:val="0"/>
      <w:divBdr>
        <w:top w:val="none" w:sz="0" w:space="0" w:color="auto"/>
        <w:left w:val="none" w:sz="0" w:space="0" w:color="auto"/>
        <w:bottom w:val="none" w:sz="0" w:space="0" w:color="auto"/>
        <w:right w:val="none" w:sz="0" w:space="0" w:color="auto"/>
      </w:divBdr>
    </w:div>
    <w:div w:id="1154444846">
      <w:bodyDiv w:val="1"/>
      <w:marLeft w:val="0"/>
      <w:marRight w:val="0"/>
      <w:marTop w:val="0"/>
      <w:marBottom w:val="0"/>
      <w:divBdr>
        <w:top w:val="none" w:sz="0" w:space="0" w:color="auto"/>
        <w:left w:val="none" w:sz="0" w:space="0" w:color="auto"/>
        <w:bottom w:val="none" w:sz="0" w:space="0" w:color="auto"/>
        <w:right w:val="none" w:sz="0" w:space="0" w:color="auto"/>
      </w:divBdr>
    </w:div>
    <w:div w:id="1158501045">
      <w:bodyDiv w:val="1"/>
      <w:marLeft w:val="0"/>
      <w:marRight w:val="0"/>
      <w:marTop w:val="0"/>
      <w:marBottom w:val="0"/>
      <w:divBdr>
        <w:top w:val="none" w:sz="0" w:space="0" w:color="auto"/>
        <w:left w:val="none" w:sz="0" w:space="0" w:color="auto"/>
        <w:bottom w:val="none" w:sz="0" w:space="0" w:color="auto"/>
        <w:right w:val="none" w:sz="0" w:space="0" w:color="auto"/>
      </w:divBdr>
      <w:divsChild>
        <w:div w:id="47922911">
          <w:marLeft w:val="0"/>
          <w:marRight w:val="0"/>
          <w:marTop w:val="0"/>
          <w:marBottom w:val="0"/>
          <w:divBdr>
            <w:top w:val="none" w:sz="0" w:space="0" w:color="auto"/>
            <w:left w:val="none" w:sz="0" w:space="0" w:color="auto"/>
            <w:bottom w:val="none" w:sz="0" w:space="0" w:color="auto"/>
            <w:right w:val="none" w:sz="0" w:space="0" w:color="auto"/>
          </w:divBdr>
          <w:divsChild>
            <w:div w:id="1227373005">
              <w:marLeft w:val="0"/>
              <w:marRight w:val="0"/>
              <w:marTop w:val="0"/>
              <w:marBottom w:val="0"/>
              <w:divBdr>
                <w:top w:val="none" w:sz="0" w:space="0" w:color="auto"/>
                <w:left w:val="none" w:sz="0" w:space="0" w:color="auto"/>
                <w:bottom w:val="none" w:sz="0" w:space="0" w:color="auto"/>
                <w:right w:val="none" w:sz="0" w:space="0" w:color="auto"/>
              </w:divBdr>
            </w:div>
          </w:divsChild>
        </w:div>
        <w:div w:id="49426438">
          <w:marLeft w:val="0"/>
          <w:marRight w:val="0"/>
          <w:marTop w:val="0"/>
          <w:marBottom w:val="0"/>
          <w:divBdr>
            <w:top w:val="none" w:sz="0" w:space="0" w:color="auto"/>
            <w:left w:val="none" w:sz="0" w:space="0" w:color="auto"/>
            <w:bottom w:val="none" w:sz="0" w:space="0" w:color="auto"/>
            <w:right w:val="none" w:sz="0" w:space="0" w:color="auto"/>
          </w:divBdr>
          <w:divsChild>
            <w:div w:id="107504073">
              <w:marLeft w:val="0"/>
              <w:marRight w:val="0"/>
              <w:marTop w:val="0"/>
              <w:marBottom w:val="0"/>
              <w:divBdr>
                <w:top w:val="none" w:sz="0" w:space="0" w:color="auto"/>
                <w:left w:val="none" w:sz="0" w:space="0" w:color="auto"/>
                <w:bottom w:val="none" w:sz="0" w:space="0" w:color="auto"/>
                <w:right w:val="none" w:sz="0" w:space="0" w:color="auto"/>
              </w:divBdr>
            </w:div>
          </w:divsChild>
        </w:div>
        <w:div w:id="472213580">
          <w:marLeft w:val="0"/>
          <w:marRight w:val="0"/>
          <w:marTop w:val="0"/>
          <w:marBottom w:val="0"/>
          <w:divBdr>
            <w:top w:val="none" w:sz="0" w:space="0" w:color="auto"/>
            <w:left w:val="none" w:sz="0" w:space="0" w:color="auto"/>
            <w:bottom w:val="none" w:sz="0" w:space="0" w:color="auto"/>
            <w:right w:val="none" w:sz="0" w:space="0" w:color="auto"/>
          </w:divBdr>
          <w:divsChild>
            <w:div w:id="723452752">
              <w:marLeft w:val="0"/>
              <w:marRight w:val="0"/>
              <w:marTop w:val="0"/>
              <w:marBottom w:val="0"/>
              <w:divBdr>
                <w:top w:val="none" w:sz="0" w:space="0" w:color="auto"/>
                <w:left w:val="none" w:sz="0" w:space="0" w:color="auto"/>
                <w:bottom w:val="none" w:sz="0" w:space="0" w:color="auto"/>
                <w:right w:val="none" w:sz="0" w:space="0" w:color="auto"/>
              </w:divBdr>
            </w:div>
          </w:divsChild>
        </w:div>
        <w:div w:id="574701881">
          <w:marLeft w:val="0"/>
          <w:marRight w:val="0"/>
          <w:marTop w:val="0"/>
          <w:marBottom w:val="0"/>
          <w:divBdr>
            <w:top w:val="none" w:sz="0" w:space="0" w:color="auto"/>
            <w:left w:val="none" w:sz="0" w:space="0" w:color="auto"/>
            <w:bottom w:val="none" w:sz="0" w:space="0" w:color="auto"/>
            <w:right w:val="none" w:sz="0" w:space="0" w:color="auto"/>
          </w:divBdr>
          <w:divsChild>
            <w:div w:id="1675834733">
              <w:marLeft w:val="0"/>
              <w:marRight w:val="0"/>
              <w:marTop w:val="0"/>
              <w:marBottom w:val="0"/>
              <w:divBdr>
                <w:top w:val="none" w:sz="0" w:space="0" w:color="auto"/>
                <w:left w:val="none" w:sz="0" w:space="0" w:color="auto"/>
                <w:bottom w:val="none" w:sz="0" w:space="0" w:color="auto"/>
                <w:right w:val="none" w:sz="0" w:space="0" w:color="auto"/>
              </w:divBdr>
            </w:div>
          </w:divsChild>
        </w:div>
        <w:div w:id="791704156">
          <w:marLeft w:val="0"/>
          <w:marRight w:val="0"/>
          <w:marTop w:val="0"/>
          <w:marBottom w:val="0"/>
          <w:divBdr>
            <w:top w:val="none" w:sz="0" w:space="0" w:color="auto"/>
            <w:left w:val="none" w:sz="0" w:space="0" w:color="auto"/>
            <w:bottom w:val="none" w:sz="0" w:space="0" w:color="auto"/>
            <w:right w:val="none" w:sz="0" w:space="0" w:color="auto"/>
          </w:divBdr>
          <w:divsChild>
            <w:div w:id="1958950443">
              <w:marLeft w:val="0"/>
              <w:marRight w:val="0"/>
              <w:marTop w:val="0"/>
              <w:marBottom w:val="0"/>
              <w:divBdr>
                <w:top w:val="none" w:sz="0" w:space="0" w:color="auto"/>
                <w:left w:val="none" w:sz="0" w:space="0" w:color="auto"/>
                <w:bottom w:val="none" w:sz="0" w:space="0" w:color="auto"/>
                <w:right w:val="none" w:sz="0" w:space="0" w:color="auto"/>
              </w:divBdr>
            </w:div>
          </w:divsChild>
        </w:div>
        <w:div w:id="894316344">
          <w:marLeft w:val="0"/>
          <w:marRight w:val="0"/>
          <w:marTop w:val="0"/>
          <w:marBottom w:val="0"/>
          <w:divBdr>
            <w:top w:val="none" w:sz="0" w:space="0" w:color="auto"/>
            <w:left w:val="none" w:sz="0" w:space="0" w:color="auto"/>
            <w:bottom w:val="none" w:sz="0" w:space="0" w:color="auto"/>
            <w:right w:val="none" w:sz="0" w:space="0" w:color="auto"/>
          </w:divBdr>
          <w:divsChild>
            <w:div w:id="107890995">
              <w:marLeft w:val="0"/>
              <w:marRight w:val="0"/>
              <w:marTop w:val="0"/>
              <w:marBottom w:val="0"/>
              <w:divBdr>
                <w:top w:val="none" w:sz="0" w:space="0" w:color="auto"/>
                <w:left w:val="none" w:sz="0" w:space="0" w:color="auto"/>
                <w:bottom w:val="none" w:sz="0" w:space="0" w:color="auto"/>
                <w:right w:val="none" w:sz="0" w:space="0" w:color="auto"/>
              </w:divBdr>
            </w:div>
          </w:divsChild>
        </w:div>
        <w:div w:id="1034161159">
          <w:marLeft w:val="0"/>
          <w:marRight w:val="0"/>
          <w:marTop w:val="0"/>
          <w:marBottom w:val="0"/>
          <w:divBdr>
            <w:top w:val="none" w:sz="0" w:space="0" w:color="auto"/>
            <w:left w:val="none" w:sz="0" w:space="0" w:color="auto"/>
            <w:bottom w:val="none" w:sz="0" w:space="0" w:color="auto"/>
            <w:right w:val="none" w:sz="0" w:space="0" w:color="auto"/>
          </w:divBdr>
          <w:divsChild>
            <w:div w:id="1187793903">
              <w:marLeft w:val="0"/>
              <w:marRight w:val="0"/>
              <w:marTop w:val="0"/>
              <w:marBottom w:val="0"/>
              <w:divBdr>
                <w:top w:val="none" w:sz="0" w:space="0" w:color="auto"/>
                <w:left w:val="none" w:sz="0" w:space="0" w:color="auto"/>
                <w:bottom w:val="none" w:sz="0" w:space="0" w:color="auto"/>
                <w:right w:val="none" w:sz="0" w:space="0" w:color="auto"/>
              </w:divBdr>
            </w:div>
          </w:divsChild>
        </w:div>
        <w:div w:id="1045061074">
          <w:marLeft w:val="0"/>
          <w:marRight w:val="0"/>
          <w:marTop w:val="0"/>
          <w:marBottom w:val="0"/>
          <w:divBdr>
            <w:top w:val="none" w:sz="0" w:space="0" w:color="auto"/>
            <w:left w:val="none" w:sz="0" w:space="0" w:color="auto"/>
            <w:bottom w:val="none" w:sz="0" w:space="0" w:color="auto"/>
            <w:right w:val="none" w:sz="0" w:space="0" w:color="auto"/>
          </w:divBdr>
          <w:divsChild>
            <w:div w:id="625506931">
              <w:marLeft w:val="0"/>
              <w:marRight w:val="0"/>
              <w:marTop w:val="0"/>
              <w:marBottom w:val="0"/>
              <w:divBdr>
                <w:top w:val="none" w:sz="0" w:space="0" w:color="auto"/>
                <w:left w:val="none" w:sz="0" w:space="0" w:color="auto"/>
                <w:bottom w:val="none" w:sz="0" w:space="0" w:color="auto"/>
                <w:right w:val="none" w:sz="0" w:space="0" w:color="auto"/>
              </w:divBdr>
            </w:div>
          </w:divsChild>
        </w:div>
        <w:div w:id="1059400821">
          <w:marLeft w:val="0"/>
          <w:marRight w:val="0"/>
          <w:marTop w:val="0"/>
          <w:marBottom w:val="0"/>
          <w:divBdr>
            <w:top w:val="none" w:sz="0" w:space="0" w:color="auto"/>
            <w:left w:val="none" w:sz="0" w:space="0" w:color="auto"/>
            <w:bottom w:val="none" w:sz="0" w:space="0" w:color="auto"/>
            <w:right w:val="none" w:sz="0" w:space="0" w:color="auto"/>
          </w:divBdr>
          <w:divsChild>
            <w:div w:id="1901865772">
              <w:marLeft w:val="0"/>
              <w:marRight w:val="0"/>
              <w:marTop w:val="0"/>
              <w:marBottom w:val="0"/>
              <w:divBdr>
                <w:top w:val="none" w:sz="0" w:space="0" w:color="auto"/>
                <w:left w:val="none" w:sz="0" w:space="0" w:color="auto"/>
                <w:bottom w:val="none" w:sz="0" w:space="0" w:color="auto"/>
                <w:right w:val="none" w:sz="0" w:space="0" w:color="auto"/>
              </w:divBdr>
            </w:div>
          </w:divsChild>
        </w:div>
        <w:div w:id="1130393739">
          <w:marLeft w:val="0"/>
          <w:marRight w:val="0"/>
          <w:marTop w:val="0"/>
          <w:marBottom w:val="0"/>
          <w:divBdr>
            <w:top w:val="none" w:sz="0" w:space="0" w:color="auto"/>
            <w:left w:val="none" w:sz="0" w:space="0" w:color="auto"/>
            <w:bottom w:val="none" w:sz="0" w:space="0" w:color="auto"/>
            <w:right w:val="none" w:sz="0" w:space="0" w:color="auto"/>
          </w:divBdr>
          <w:divsChild>
            <w:div w:id="2131703346">
              <w:marLeft w:val="0"/>
              <w:marRight w:val="0"/>
              <w:marTop w:val="0"/>
              <w:marBottom w:val="0"/>
              <w:divBdr>
                <w:top w:val="none" w:sz="0" w:space="0" w:color="auto"/>
                <w:left w:val="none" w:sz="0" w:space="0" w:color="auto"/>
                <w:bottom w:val="none" w:sz="0" w:space="0" w:color="auto"/>
                <w:right w:val="none" w:sz="0" w:space="0" w:color="auto"/>
              </w:divBdr>
            </w:div>
          </w:divsChild>
        </w:div>
        <w:div w:id="1493334283">
          <w:marLeft w:val="0"/>
          <w:marRight w:val="0"/>
          <w:marTop w:val="0"/>
          <w:marBottom w:val="0"/>
          <w:divBdr>
            <w:top w:val="none" w:sz="0" w:space="0" w:color="auto"/>
            <w:left w:val="none" w:sz="0" w:space="0" w:color="auto"/>
            <w:bottom w:val="none" w:sz="0" w:space="0" w:color="auto"/>
            <w:right w:val="none" w:sz="0" w:space="0" w:color="auto"/>
          </w:divBdr>
          <w:divsChild>
            <w:div w:id="913392086">
              <w:marLeft w:val="0"/>
              <w:marRight w:val="0"/>
              <w:marTop w:val="0"/>
              <w:marBottom w:val="0"/>
              <w:divBdr>
                <w:top w:val="none" w:sz="0" w:space="0" w:color="auto"/>
                <w:left w:val="none" w:sz="0" w:space="0" w:color="auto"/>
                <w:bottom w:val="none" w:sz="0" w:space="0" w:color="auto"/>
                <w:right w:val="none" w:sz="0" w:space="0" w:color="auto"/>
              </w:divBdr>
            </w:div>
          </w:divsChild>
        </w:div>
        <w:div w:id="1554729722">
          <w:marLeft w:val="0"/>
          <w:marRight w:val="0"/>
          <w:marTop w:val="0"/>
          <w:marBottom w:val="0"/>
          <w:divBdr>
            <w:top w:val="none" w:sz="0" w:space="0" w:color="auto"/>
            <w:left w:val="none" w:sz="0" w:space="0" w:color="auto"/>
            <w:bottom w:val="none" w:sz="0" w:space="0" w:color="auto"/>
            <w:right w:val="none" w:sz="0" w:space="0" w:color="auto"/>
          </w:divBdr>
          <w:divsChild>
            <w:div w:id="120850471">
              <w:marLeft w:val="0"/>
              <w:marRight w:val="0"/>
              <w:marTop w:val="0"/>
              <w:marBottom w:val="0"/>
              <w:divBdr>
                <w:top w:val="none" w:sz="0" w:space="0" w:color="auto"/>
                <w:left w:val="none" w:sz="0" w:space="0" w:color="auto"/>
                <w:bottom w:val="none" w:sz="0" w:space="0" w:color="auto"/>
                <w:right w:val="none" w:sz="0" w:space="0" w:color="auto"/>
              </w:divBdr>
            </w:div>
          </w:divsChild>
        </w:div>
        <w:div w:id="1560941946">
          <w:marLeft w:val="0"/>
          <w:marRight w:val="0"/>
          <w:marTop w:val="0"/>
          <w:marBottom w:val="0"/>
          <w:divBdr>
            <w:top w:val="none" w:sz="0" w:space="0" w:color="auto"/>
            <w:left w:val="none" w:sz="0" w:space="0" w:color="auto"/>
            <w:bottom w:val="none" w:sz="0" w:space="0" w:color="auto"/>
            <w:right w:val="none" w:sz="0" w:space="0" w:color="auto"/>
          </w:divBdr>
          <w:divsChild>
            <w:div w:id="1896887372">
              <w:marLeft w:val="0"/>
              <w:marRight w:val="0"/>
              <w:marTop w:val="0"/>
              <w:marBottom w:val="0"/>
              <w:divBdr>
                <w:top w:val="none" w:sz="0" w:space="0" w:color="auto"/>
                <w:left w:val="none" w:sz="0" w:space="0" w:color="auto"/>
                <w:bottom w:val="none" w:sz="0" w:space="0" w:color="auto"/>
                <w:right w:val="none" w:sz="0" w:space="0" w:color="auto"/>
              </w:divBdr>
            </w:div>
          </w:divsChild>
        </w:div>
        <w:div w:id="1601910017">
          <w:marLeft w:val="0"/>
          <w:marRight w:val="0"/>
          <w:marTop w:val="0"/>
          <w:marBottom w:val="0"/>
          <w:divBdr>
            <w:top w:val="none" w:sz="0" w:space="0" w:color="auto"/>
            <w:left w:val="none" w:sz="0" w:space="0" w:color="auto"/>
            <w:bottom w:val="none" w:sz="0" w:space="0" w:color="auto"/>
            <w:right w:val="none" w:sz="0" w:space="0" w:color="auto"/>
          </w:divBdr>
          <w:divsChild>
            <w:div w:id="1962110432">
              <w:marLeft w:val="0"/>
              <w:marRight w:val="0"/>
              <w:marTop w:val="0"/>
              <w:marBottom w:val="0"/>
              <w:divBdr>
                <w:top w:val="none" w:sz="0" w:space="0" w:color="auto"/>
                <w:left w:val="none" w:sz="0" w:space="0" w:color="auto"/>
                <w:bottom w:val="none" w:sz="0" w:space="0" w:color="auto"/>
                <w:right w:val="none" w:sz="0" w:space="0" w:color="auto"/>
              </w:divBdr>
            </w:div>
          </w:divsChild>
        </w:div>
        <w:div w:id="1644501777">
          <w:marLeft w:val="0"/>
          <w:marRight w:val="0"/>
          <w:marTop w:val="0"/>
          <w:marBottom w:val="0"/>
          <w:divBdr>
            <w:top w:val="none" w:sz="0" w:space="0" w:color="auto"/>
            <w:left w:val="none" w:sz="0" w:space="0" w:color="auto"/>
            <w:bottom w:val="none" w:sz="0" w:space="0" w:color="auto"/>
            <w:right w:val="none" w:sz="0" w:space="0" w:color="auto"/>
          </w:divBdr>
          <w:divsChild>
            <w:div w:id="1931617452">
              <w:marLeft w:val="0"/>
              <w:marRight w:val="0"/>
              <w:marTop w:val="0"/>
              <w:marBottom w:val="0"/>
              <w:divBdr>
                <w:top w:val="none" w:sz="0" w:space="0" w:color="auto"/>
                <w:left w:val="none" w:sz="0" w:space="0" w:color="auto"/>
                <w:bottom w:val="none" w:sz="0" w:space="0" w:color="auto"/>
                <w:right w:val="none" w:sz="0" w:space="0" w:color="auto"/>
              </w:divBdr>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325014731">
              <w:marLeft w:val="0"/>
              <w:marRight w:val="0"/>
              <w:marTop w:val="0"/>
              <w:marBottom w:val="0"/>
              <w:divBdr>
                <w:top w:val="none" w:sz="0" w:space="0" w:color="auto"/>
                <w:left w:val="none" w:sz="0" w:space="0" w:color="auto"/>
                <w:bottom w:val="none" w:sz="0" w:space="0" w:color="auto"/>
                <w:right w:val="none" w:sz="0" w:space="0" w:color="auto"/>
              </w:divBdr>
            </w:div>
          </w:divsChild>
        </w:div>
        <w:div w:id="1754546048">
          <w:marLeft w:val="0"/>
          <w:marRight w:val="0"/>
          <w:marTop w:val="0"/>
          <w:marBottom w:val="0"/>
          <w:divBdr>
            <w:top w:val="none" w:sz="0" w:space="0" w:color="auto"/>
            <w:left w:val="none" w:sz="0" w:space="0" w:color="auto"/>
            <w:bottom w:val="none" w:sz="0" w:space="0" w:color="auto"/>
            <w:right w:val="none" w:sz="0" w:space="0" w:color="auto"/>
          </w:divBdr>
          <w:divsChild>
            <w:div w:id="244535091">
              <w:marLeft w:val="0"/>
              <w:marRight w:val="0"/>
              <w:marTop w:val="0"/>
              <w:marBottom w:val="0"/>
              <w:divBdr>
                <w:top w:val="none" w:sz="0" w:space="0" w:color="auto"/>
                <w:left w:val="none" w:sz="0" w:space="0" w:color="auto"/>
                <w:bottom w:val="none" w:sz="0" w:space="0" w:color="auto"/>
                <w:right w:val="none" w:sz="0" w:space="0" w:color="auto"/>
              </w:divBdr>
            </w:div>
          </w:divsChild>
        </w:div>
        <w:div w:id="1815298254">
          <w:marLeft w:val="0"/>
          <w:marRight w:val="0"/>
          <w:marTop w:val="0"/>
          <w:marBottom w:val="0"/>
          <w:divBdr>
            <w:top w:val="none" w:sz="0" w:space="0" w:color="auto"/>
            <w:left w:val="none" w:sz="0" w:space="0" w:color="auto"/>
            <w:bottom w:val="none" w:sz="0" w:space="0" w:color="auto"/>
            <w:right w:val="none" w:sz="0" w:space="0" w:color="auto"/>
          </w:divBdr>
          <w:divsChild>
            <w:div w:id="1083525965">
              <w:marLeft w:val="0"/>
              <w:marRight w:val="0"/>
              <w:marTop w:val="0"/>
              <w:marBottom w:val="0"/>
              <w:divBdr>
                <w:top w:val="none" w:sz="0" w:space="0" w:color="auto"/>
                <w:left w:val="none" w:sz="0" w:space="0" w:color="auto"/>
                <w:bottom w:val="none" w:sz="0" w:space="0" w:color="auto"/>
                <w:right w:val="none" w:sz="0" w:space="0" w:color="auto"/>
              </w:divBdr>
            </w:div>
          </w:divsChild>
        </w:div>
        <w:div w:id="1866672506">
          <w:marLeft w:val="0"/>
          <w:marRight w:val="0"/>
          <w:marTop w:val="0"/>
          <w:marBottom w:val="0"/>
          <w:divBdr>
            <w:top w:val="none" w:sz="0" w:space="0" w:color="auto"/>
            <w:left w:val="none" w:sz="0" w:space="0" w:color="auto"/>
            <w:bottom w:val="none" w:sz="0" w:space="0" w:color="auto"/>
            <w:right w:val="none" w:sz="0" w:space="0" w:color="auto"/>
          </w:divBdr>
          <w:divsChild>
            <w:div w:id="139344856">
              <w:marLeft w:val="0"/>
              <w:marRight w:val="0"/>
              <w:marTop w:val="0"/>
              <w:marBottom w:val="0"/>
              <w:divBdr>
                <w:top w:val="none" w:sz="0" w:space="0" w:color="auto"/>
                <w:left w:val="none" w:sz="0" w:space="0" w:color="auto"/>
                <w:bottom w:val="none" w:sz="0" w:space="0" w:color="auto"/>
                <w:right w:val="none" w:sz="0" w:space="0" w:color="auto"/>
              </w:divBdr>
            </w:div>
          </w:divsChild>
        </w:div>
        <w:div w:id="2055812409">
          <w:marLeft w:val="0"/>
          <w:marRight w:val="0"/>
          <w:marTop w:val="0"/>
          <w:marBottom w:val="0"/>
          <w:divBdr>
            <w:top w:val="none" w:sz="0" w:space="0" w:color="auto"/>
            <w:left w:val="none" w:sz="0" w:space="0" w:color="auto"/>
            <w:bottom w:val="none" w:sz="0" w:space="0" w:color="auto"/>
            <w:right w:val="none" w:sz="0" w:space="0" w:color="auto"/>
          </w:divBdr>
          <w:divsChild>
            <w:div w:id="124741762">
              <w:marLeft w:val="0"/>
              <w:marRight w:val="0"/>
              <w:marTop w:val="0"/>
              <w:marBottom w:val="0"/>
              <w:divBdr>
                <w:top w:val="none" w:sz="0" w:space="0" w:color="auto"/>
                <w:left w:val="none" w:sz="0" w:space="0" w:color="auto"/>
                <w:bottom w:val="none" w:sz="0" w:space="0" w:color="auto"/>
                <w:right w:val="none" w:sz="0" w:space="0" w:color="auto"/>
              </w:divBdr>
            </w:div>
          </w:divsChild>
        </w:div>
        <w:div w:id="2056080265">
          <w:marLeft w:val="0"/>
          <w:marRight w:val="0"/>
          <w:marTop w:val="0"/>
          <w:marBottom w:val="0"/>
          <w:divBdr>
            <w:top w:val="none" w:sz="0" w:space="0" w:color="auto"/>
            <w:left w:val="none" w:sz="0" w:space="0" w:color="auto"/>
            <w:bottom w:val="none" w:sz="0" w:space="0" w:color="auto"/>
            <w:right w:val="none" w:sz="0" w:space="0" w:color="auto"/>
          </w:divBdr>
          <w:divsChild>
            <w:div w:id="10285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2884">
      <w:bodyDiv w:val="1"/>
      <w:marLeft w:val="0"/>
      <w:marRight w:val="0"/>
      <w:marTop w:val="0"/>
      <w:marBottom w:val="0"/>
      <w:divBdr>
        <w:top w:val="none" w:sz="0" w:space="0" w:color="auto"/>
        <w:left w:val="none" w:sz="0" w:space="0" w:color="auto"/>
        <w:bottom w:val="none" w:sz="0" w:space="0" w:color="auto"/>
        <w:right w:val="none" w:sz="0" w:space="0" w:color="auto"/>
      </w:divBdr>
      <w:divsChild>
        <w:div w:id="1499149357">
          <w:marLeft w:val="0"/>
          <w:marRight w:val="0"/>
          <w:marTop w:val="0"/>
          <w:marBottom w:val="0"/>
          <w:divBdr>
            <w:top w:val="none" w:sz="0" w:space="0" w:color="auto"/>
            <w:left w:val="none" w:sz="0" w:space="0" w:color="auto"/>
            <w:bottom w:val="none" w:sz="0" w:space="0" w:color="auto"/>
            <w:right w:val="none" w:sz="0" w:space="0" w:color="auto"/>
          </w:divBdr>
        </w:div>
      </w:divsChild>
    </w:div>
    <w:div w:id="1170679982">
      <w:bodyDiv w:val="1"/>
      <w:marLeft w:val="0"/>
      <w:marRight w:val="0"/>
      <w:marTop w:val="0"/>
      <w:marBottom w:val="0"/>
      <w:divBdr>
        <w:top w:val="none" w:sz="0" w:space="0" w:color="auto"/>
        <w:left w:val="none" w:sz="0" w:space="0" w:color="auto"/>
        <w:bottom w:val="none" w:sz="0" w:space="0" w:color="auto"/>
        <w:right w:val="none" w:sz="0" w:space="0" w:color="auto"/>
      </w:divBdr>
      <w:divsChild>
        <w:div w:id="472647869">
          <w:marLeft w:val="0"/>
          <w:marRight w:val="0"/>
          <w:marTop w:val="0"/>
          <w:marBottom w:val="0"/>
          <w:divBdr>
            <w:top w:val="none" w:sz="0" w:space="0" w:color="auto"/>
            <w:left w:val="none" w:sz="0" w:space="0" w:color="auto"/>
            <w:bottom w:val="none" w:sz="0" w:space="0" w:color="auto"/>
            <w:right w:val="none" w:sz="0" w:space="0" w:color="auto"/>
          </w:divBdr>
        </w:div>
      </w:divsChild>
    </w:div>
    <w:div w:id="1173301278">
      <w:bodyDiv w:val="1"/>
      <w:marLeft w:val="0"/>
      <w:marRight w:val="0"/>
      <w:marTop w:val="0"/>
      <w:marBottom w:val="0"/>
      <w:divBdr>
        <w:top w:val="none" w:sz="0" w:space="0" w:color="auto"/>
        <w:left w:val="none" w:sz="0" w:space="0" w:color="auto"/>
        <w:bottom w:val="none" w:sz="0" w:space="0" w:color="auto"/>
        <w:right w:val="none" w:sz="0" w:space="0" w:color="auto"/>
      </w:divBdr>
      <w:divsChild>
        <w:div w:id="28069858">
          <w:marLeft w:val="0"/>
          <w:marRight w:val="0"/>
          <w:marTop w:val="0"/>
          <w:marBottom w:val="0"/>
          <w:divBdr>
            <w:top w:val="none" w:sz="0" w:space="0" w:color="auto"/>
            <w:left w:val="none" w:sz="0" w:space="0" w:color="auto"/>
            <w:bottom w:val="none" w:sz="0" w:space="0" w:color="auto"/>
            <w:right w:val="none" w:sz="0" w:space="0" w:color="auto"/>
          </w:divBdr>
          <w:divsChild>
            <w:div w:id="138426609">
              <w:marLeft w:val="0"/>
              <w:marRight w:val="0"/>
              <w:marTop w:val="0"/>
              <w:marBottom w:val="0"/>
              <w:divBdr>
                <w:top w:val="none" w:sz="0" w:space="0" w:color="auto"/>
                <w:left w:val="none" w:sz="0" w:space="0" w:color="auto"/>
                <w:bottom w:val="none" w:sz="0" w:space="0" w:color="auto"/>
                <w:right w:val="none" w:sz="0" w:space="0" w:color="auto"/>
              </w:divBdr>
            </w:div>
          </w:divsChild>
        </w:div>
        <w:div w:id="64691530">
          <w:marLeft w:val="0"/>
          <w:marRight w:val="0"/>
          <w:marTop w:val="0"/>
          <w:marBottom w:val="0"/>
          <w:divBdr>
            <w:top w:val="none" w:sz="0" w:space="0" w:color="auto"/>
            <w:left w:val="none" w:sz="0" w:space="0" w:color="auto"/>
            <w:bottom w:val="none" w:sz="0" w:space="0" w:color="auto"/>
            <w:right w:val="none" w:sz="0" w:space="0" w:color="auto"/>
          </w:divBdr>
          <w:divsChild>
            <w:div w:id="504561727">
              <w:marLeft w:val="0"/>
              <w:marRight w:val="0"/>
              <w:marTop w:val="0"/>
              <w:marBottom w:val="0"/>
              <w:divBdr>
                <w:top w:val="none" w:sz="0" w:space="0" w:color="auto"/>
                <w:left w:val="none" w:sz="0" w:space="0" w:color="auto"/>
                <w:bottom w:val="none" w:sz="0" w:space="0" w:color="auto"/>
                <w:right w:val="none" w:sz="0" w:space="0" w:color="auto"/>
              </w:divBdr>
            </w:div>
          </w:divsChild>
        </w:div>
        <w:div w:id="74128060">
          <w:marLeft w:val="0"/>
          <w:marRight w:val="0"/>
          <w:marTop w:val="0"/>
          <w:marBottom w:val="0"/>
          <w:divBdr>
            <w:top w:val="none" w:sz="0" w:space="0" w:color="auto"/>
            <w:left w:val="none" w:sz="0" w:space="0" w:color="auto"/>
            <w:bottom w:val="none" w:sz="0" w:space="0" w:color="auto"/>
            <w:right w:val="none" w:sz="0" w:space="0" w:color="auto"/>
          </w:divBdr>
          <w:divsChild>
            <w:div w:id="100151523">
              <w:marLeft w:val="0"/>
              <w:marRight w:val="0"/>
              <w:marTop w:val="0"/>
              <w:marBottom w:val="0"/>
              <w:divBdr>
                <w:top w:val="none" w:sz="0" w:space="0" w:color="auto"/>
                <w:left w:val="none" w:sz="0" w:space="0" w:color="auto"/>
                <w:bottom w:val="none" w:sz="0" w:space="0" w:color="auto"/>
                <w:right w:val="none" w:sz="0" w:space="0" w:color="auto"/>
              </w:divBdr>
            </w:div>
          </w:divsChild>
        </w:div>
        <w:div w:id="298342922">
          <w:marLeft w:val="0"/>
          <w:marRight w:val="0"/>
          <w:marTop w:val="0"/>
          <w:marBottom w:val="0"/>
          <w:divBdr>
            <w:top w:val="none" w:sz="0" w:space="0" w:color="auto"/>
            <w:left w:val="none" w:sz="0" w:space="0" w:color="auto"/>
            <w:bottom w:val="none" w:sz="0" w:space="0" w:color="auto"/>
            <w:right w:val="none" w:sz="0" w:space="0" w:color="auto"/>
          </w:divBdr>
          <w:divsChild>
            <w:div w:id="1822575391">
              <w:marLeft w:val="0"/>
              <w:marRight w:val="0"/>
              <w:marTop w:val="0"/>
              <w:marBottom w:val="0"/>
              <w:divBdr>
                <w:top w:val="none" w:sz="0" w:space="0" w:color="auto"/>
                <w:left w:val="none" w:sz="0" w:space="0" w:color="auto"/>
                <w:bottom w:val="none" w:sz="0" w:space="0" w:color="auto"/>
                <w:right w:val="none" w:sz="0" w:space="0" w:color="auto"/>
              </w:divBdr>
            </w:div>
          </w:divsChild>
        </w:div>
        <w:div w:id="367683049">
          <w:marLeft w:val="0"/>
          <w:marRight w:val="0"/>
          <w:marTop w:val="0"/>
          <w:marBottom w:val="0"/>
          <w:divBdr>
            <w:top w:val="none" w:sz="0" w:space="0" w:color="auto"/>
            <w:left w:val="none" w:sz="0" w:space="0" w:color="auto"/>
            <w:bottom w:val="none" w:sz="0" w:space="0" w:color="auto"/>
            <w:right w:val="none" w:sz="0" w:space="0" w:color="auto"/>
          </w:divBdr>
          <w:divsChild>
            <w:div w:id="1834563008">
              <w:marLeft w:val="0"/>
              <w:marRight w:val="0"/>
              <w:marTop w:val="0"/>
              <w:marBottom w:val="0"/>
              <w:divBdr>
                <w:top w:val="none" w:sz="0" w:space="0" w:color="auto"/>
                <w:left w:val="none" w:sz="0" w:space="0" w:color="auto"/>
                <w:bottom w:val="none" w:sz="0" w:space="0" w:color="auto"/>
                <w:right w:val="none" w:sz="0" w:space="0" w:color="auto"/>
              </w:divBdr>
            </w:div>
          </w:divsChild>
        </w:div>
        <w:div w:id="382604565">
          <w:marLeft w:val="0"/>
          <w:marRight w:val="0"/>
          <w:marTop w:val="0"/>
          <w:marBottom w:val="0"/>
          <w:divBdr>
            <w:top w:val="none" w:sz="0" w:space="0" w:color="auto"/>
            <w:left w:val="none" w:sz="0" w:space="0" w:color="auto"/>
            <w:bottom w:val="none" w:sz="0" w:space="0" w:color="auto"/>
            <w:right w:val="none" w:sz="0" w:space="0" w:color="auto"/>
          </w:divBdr>
          <w:divsChild>
            <w:div w:id="10491966">
              <w:marLeft w:val="0"/>
              <w:marRight w:val="0"/>
              <w:marTop w:val="0"/>
              <w:marBottom w:val="0"/>
              <w:divBdr>
                <w:top w:val="none" w:sz="0" w:space="0" w:color="auto"/>
                <w:left w:val="none" w:sz="0" w:space="0" w:color="auto"/>
                <w:bottom w:val="none" w:sz="0" w:space="0" w:color="auto"/>
                <w:right w:val="none" w:sz="0" w:space="0" w:color="auto"/>
              </w:divBdr>
            </w:div>
          </w:divsChild>
        </w:div>
        <w:div w:id="402338848">
          <w:marLeft w:val="0"/>
          <w:marRight w:val="0"/>
          <w:marTop w:val="0"/>
          <w:marBottom w:val="0"/>
          <w:divBdr>
            <w:top w:val="none" w:sz="0" w:space="0" w:color="auto"/>
            <w:left w:val="none" w:sz="0" w:space="0" w:color="auto"/>
            <w:bottom w:val="none" w:sz="0" w:space="0" w:color="auto"/>
            <w:right w:val="none" w:sz="0" w:space="0" w:color="auto"/>
          </w:divBdr>
          <w:divsChild>
            <w:div w:id="1814447079">
              <w:marLeft w:val="0"/>
              <w:marRight w:val="0"/>
              <w:marTop w:val="0"/>
              <w:marBottom w:val="0"/>
              <w:divBdr>
                <w:top w:val="none" w:sz="0" w:space="0" w:color="auto"/>
                <w:left w:val="none" w:sz="0" w:space="0" w:color="auto"/>
                <w:bottom w:val="none" w:sz="0" w:space="0" w:color="auto"/>
                <w:right w:val="none" w:sz="0" w:space="0" w:color="auto"/>
              </w:divBdr>
            </w:div>
          </w:divsChild>
        </w:div>
        <w:div w:id="599991178">
          <w:marLeft w:val="0"/>
          <w:marRight w:val="0"/>
          <w:marTop w:val="0"/>
          <w:marBottom w:val="0"/>
          <w:divBdr>
            <w:top w:val="none" w:sz="0" w:space="0" w:color="auto"/>
            <w:left w:val="none" w:sz="0" w:space="0" w:color="auto"/>
            <w:bottom w:val="none" w:sz="0" w:space="0" w:color="auto"/>
            <w:right w:val="none" w:sz="0" w:space="0" w:color="auto"/>
          </w:divBdr>
          <w:divsChild>
            <w:div w:id="2084060135">
              <w:marLeft w:val="0"/>
              <w:marRight w:val="0"/>
              <w:marTop w:val="0"/>
              <w:marBottom w:val="0"/>
              <w:divBdr>
                <w:top w:val="none" w:sz="0" w:space="0" w:color="auto"/>
                <w:left w:val="none" w:sz="0" w:space="0" w:color="auto"/>
                <w:bottom w:val="none" w:sz="0" w:space="0" w:color="auto"/>
                <w:right w:val="none" w:sz="0" w:space="0" w:color="auto"/>
              </w:divBdr>
            </w:div>
          </w:divsChild>
        </w:div>
        <w:div w:id="624045229">
          <w:marLeft w:val="0"/>
          <w:marRight w:val="0"/>
          <w:marTop w:val="0"/>
          <w:marBottom w:val="0"/>
          <w:divBdr>
            <w:top w:val="none" w:sz="0" w:space="0" w:color="auto"/>
            <w:left w:val="none" w:sz="0" w:space="0" w:color="auto"/>
            <w:bottom w:val="none" w:sz="0" w:space="0" w:color="auto"/>
            <w:right w:val="none" w:sz="0" w:space="0" w:color="auto"/>
          </w:divBdr>
          <w:divsChild>
            <w:div w:id="1310936734">
              <w:marLeft w:val="0"/>
              <w:marRight w:val="0"/>
              <w:marTop w:val="0"/>
              <w:marBottom w:val="0"/>
              <w:divBdr>
                <w:top w:val="none" w:sz="0" w:space="0" w:color="auto"/>
                <w:left w:val="none" w:sz="0" w:space="0" w:color="auto"/>
                <w:bottom w:val="none" w:sz="0" w:space="0" w:color="auto"/>
                <w:right w:val="none" w:sz="0" w:space="0" w:color="auto"/>
              </w:divBdr>
            </w:div>
          </w:divsChild>
        </w:div>
        <w:div w:id="871382096">
          <w:marLeft w:val="0"/>
          <w:marRight w:val="0"/>
          <w:marTop w:val="0"/>
          <w:marBottom w:val="0"/>
          <w:divBdr>
            <w:top w:val="none" w:sz="0" w:space="0" w:color="auto"/>
            <w:left w:val="none" w:sz="0" w:space="0" w:color="auto"/>
            <w:bottom w:val="none" w:sz="0" w:space="0" w:color="auto"/>
            <w:right w:val="none" w:sz="0" w:space="0" w:color="auto"/>
          </w:divBdr>
          <w:divsChild>
            <w:div w:id="1554542594">
              <w:marLeft w:val="0"/>
              <w:marRight w:val="0"/>
              <w:marTop w:val="0"/>
              <w:marBottom w:val="0"/>
              <w:divBdr>
                <w:top w:val="none" w:sz="0" w:space="0" w:color="auto"/>
                <w:left w:val="none" w:sz="0" w:space="0" w:color="auto"/>
                <w:bottom w:val="none" w:sz="0" w:space="0" w:color="auto"/>
                <w:right w:val="none" w:sz="0" w:space="0" w:color="auto"/>
              </w:divBdr>
            </w:div>
          </w:divsChild>
        </w:div>
        <w:div w:id="880897034">
          <w:marLeft w:val="0"/>
          <w:marRight w:val="0"/>
          <w:marTop w:val="0"/>
          <w:marBottom w:val="0"/>
          <w:divBdr>
            <w:top w:val="none" w:sz="0" w:space="0" w:color="auto"/>
            <w:left w:val="none" w:sz="0" w:space="0" w:color="auto"/>
            <w:bottom w:val="none" w:sz="0" w:space="0" w:color="auto"/>
            <w:right w:val="none" w:sz="0" w:space="0" w:color="auto"/>
          </w:divBdr>
          <w:divsChild>
            <w:div w:id="1587223562">
              <w:marLeft w:val="0"/>
              <w:marRight w:val="0"/>
              <w:marTop w:val="0"/>
              <w:marBottom w:val="0"/>
              <w:divBdr>
                <w:top w:val="none" w:sz="0" w:space="0" w:color="auto"/>
                <w:left w:val="none" w:sz="0" w:space="0" w:color="auto"/>
                <w:bottom w:val="none" w:sz="0" w:space="0" w:color="auto"/>
                <w:right w:val="none" w:sz="0" w:space="0" w:color="auto"/>
              </w:divBdr>
            </w:div>
          </w:divsChild>
        </w:div>
        <w:div w:id="909343586">
          <w:marLeft w:val="0"/>
          <w:marRight w:val="0"/>
          <w:marTop w:val="0"/>
          <w:marBottom w:val="0"/>
          <w:divBdr>
            <w:top w:val="none" w:sz="0" w:space="0" w:color="auto"/>
            <w:left w:val="none" w:sz="0" w:space="0" w:color="auto"/>
            <w:bottom w:val="none" w:sz="0" w:space="0" w:color="auto"/>
            <w:right w:val="none" w:sz="0" w:space="0" w:color="auto"/>
          </w:divBdr>
          <w:divsChild>
            <w:div w:id="1938710292">
              <w:marLeft w:val="0"/>
              <w:marRight w:val="0"/>
              <w:marTop w:val="0"/>
              <w:marBottom w:val="0"/>
              <w:divBdr>
                <w:top w:val="none" w:sz="0" w:space="0" w:color="auto"/>
                <w:left w:val="none" w:sz="0" w:space="0" w:color="auto"/>
                <w:bottom w:val="none" w:sz="0" w:space="0" w:color="auto"/>
                <w:right w:val="none" w:sz="0" w:space="0" w:color="auto"/>
              </w:divBdr>
            </w:div>
          </w:divsChild>
        </w:div>
        <w:div w:id="1075588687">
          <w:marLeft w:val="0"/>
          <w:marRight w:val="0"/>
          <w:marTop w:val="0"/>
          <w:marBottom w:val="0"/>
          <w:divBdr>
            <w:top w:val="none" w:sz="0" w:space="0" w:color="auto"/>
            <w:left w:val="none" w:sz="0" w:space="0" w:color="auto"/>
            <w:bottom w:val="none" w:sz="0" w:space="0" w:color="auto"/>
            <w:right w:val="none" w:sz="0" w:space="0" w:color="auto"/>
          </w:divBdr>
          <w:divsChild>
            <w:div w:id="1488784153">
              <w:marLeft w:val="0"/>
              <w:marRight w:val="0"/>
              <w:marTop w:val="0"/>
              <w:marBottom w:val="0"/>
              <w:divBdr>
                <w:top w:val="none" w:sz="0" w:space="0" w:color="auto"/>
                <w:left w:val="none" w:sz="0" w:space="0" w:color="auto"/>
                <w:bottom w:val="none" w:sz="0" w:space="0" w:color="auto"/>
                <w:right w:val="none" w:sz="0" w:space="0" w:color="auto"/>
              </w:divBdr>
            </w:div>
          </w:divsChild>
        </w:div>
        <w:div w:id="1296135548">
          <w:marLeft w:val="0"/>
          <w:marRight w:val="0"/>
          <w:marTop w:val="0"/>
          <w:marBottom w:val="0"/>
          <w:divBdr>
            <w:top w:val="none" w:sz="0" w:space="0" w:color="auto"/>
            <w:left w:val="none" w:sz="0" w:space="0" w:color="auto"/>
            <w:bottom w:val="none" w:sz="0" w:space="0" w:color="auto"/>
            <w:right w:val="none" w:sz="0" w:space="0" w:color="auto"/>
          </w:divBdr>
          <w:divsChild>
            <w:div w:id="180634958">
              <w:marLeft w:val="0"/>
              <w:marRight w:val="0"/>
              <w:marTop w:val="0"/>
              <w:marBottom w:val="0"/>
              <w:divBdr>
                <w:top w:val="none" w:sz="0" w:space="0" w:color="auto"/>
                <w:left w:val="none" w:sz="0" w:space="0" w:color="auto"/>
                <w:bottom w:val="none" w:sz="0" w:space="0" w:color="auto"/>
                <w:right w:val="none" w:sz="0" w:space="0" w:color="auto"/>
              </w:divBdr>
            </w:div>
          </w:divsChild>
        </w:div>
        <w:div w:id="1413115808">
          <w:marLeft w:val="0"/>
          <w:marRight w:val="0"/>
          <w:marTop w:val="0"/>
          <w:marBottom w:val="0"/>
          <w:divBdr>
            <w:top w:val="none" w:sz="0" w:space="0" w:color="auto"/>
            <w:left w:val="none" w:sz="0" w:space="0" w:color="auto"/>
            <w:bottom w:val="none" w:sz="0" w:space="0" w:color="auto"/>
            <w:right w:val="none" w:sz="0" w:space="0" w:color="auto"/>
          </w:divBdr>
          <w:divsChild>
            <w:div w:id="1118140530">
              <w:marLeft w:val="0"/>
              <w:marRight w:val="0"/>
              <w:marTop w:val="0"/>
              <w:marBottom w:val="0"/>
              <w:divBdr>
                <w:top w:val="none" w:sz="0" w:space="0" w:color="auto"/>
                <w:left w:val="none" w:sz="0" w:space="0" w:color="auto"/>
                <w:bottom w:val="none" w:sz="0" w:space="0" w:color="auto"/>
                <w:right w:val="none" w:sz="0" w:space="0" w:color="auto"/>
              </w:divBdr>
            </w:div>
          </w:divsChild>
        </w:div>
        <w:div w:id="1564759600">
          <w:marLeft w:val="0"/>
          <w:marRight w:val="0"/>
          <w:marTop w:val="0"/>
          <w:marBottom w:val="0"/>
          <w:divBdr>
            <w:top w:val="none" w:sz="0" w:space="0" w:color="auto"/>
            <w:left w:val="none" w:sz="0" w:space="0" w:color="auto"/>
            <w:bottom w:val="none" w:sz="0" w:space="0" w:color="auto"/>
            <w:right w:val="none" w:sz="0" w:space="0" w:color="auto"/>
          </w:divBdr>
          <w:divsChild>
            <w:div w:id="533035416">
              <w:marLeft w:val="0"/>
              <w:marRight w:val="0"/>
              <w:marTop w:val="0"/>
              <w:marBottom w:val="0"/>
              <w:divBdr>
                <w:top w:val="none" w:sz="0" w:space="0" w:color="auto"/>
                <w:left w:val="none" w:sz="0" w:space="0" w:color="auto"/>
                <w:bottom w:val="none" w:sz="0" w:space="0" w:color="auto"/>
                <w:right w:val="none" w:sz="0" w:space="0" w:color="auto"/>
              </w:divBdr>
            </w:div>
          </w:divsChild>
        </w:div>
        <w:div w:id="1612668821">
          <w:marLeft w:val="0"/>
          <w:marRight w:val="0"/>
          <w:marTop w:val="0"/>
          <w:marBottom w:val="0"/>
          <w:divBdr>
            <w:top w:val="none" w:sz="0" w:space="0" w:color="auto"/>
            <w:left w:val="none" w:sz="0" w:space="0" w:color="auto"/>
            <w:bottom w:val="none" w:sz="0" w:space="0" w:color="auto"/>
            <w:right w:val="none" w:sz="0" w:space="0" w:color="auto"/>
          </w:divBdr>
          <w:divsChild>
            <w:div w:id="1367100687">
              <w:marLeft w:val="0"/>
              <w:marRight w:val="0"/>
              <w:marTop w:val="0"/>
              <w:marBottom w:val="0"/>
              <w:divBdr>
                <w:top w:val="none" w:sz="0" w:space="0" w:color="auto"/>
                <w:left w:val="none" w:sz="0" w:space="0" w:color="auto"/>
                <w:bottom w:val="none" w:sz="0" w:space="0" w:color="auto"/>
                <w:right w:val="none" w:sz="0" w:space="0" w:color="auto"/>
              </w:divBdr>
            </w:div>
          </w:divsChild>
        </w:div>
        <w:div w:id="1616133351">
          <w:marLeft w:val="0"/>
          <w:marRight w:val="0"/>
          <w:marTop w:val="0"/>
          <w:marBottom w:val="0"/>
          <w:divBdr>
            <w:top w:val="none" w:sz="0" w:space="0" w:color="auto"/>
            <w:left w:val="none" w:sz="0" w:space="0" w:color="auto"/>
            <w:bottom w:val="none" w:sz="0" w:space="0" w:color="auto"/>
            <w:right w:val="none" w:sz="0" w:space="0" w:color="auto"/>
          </w:divBdr>
          <w:divsChild>
            <w:div w:id="1653557169">
              <w:marLeft w:val="0"/>
              <w:marRight w:val="0"/>
              <w:marTop w:val="0"/>
              <w:marBottom w:val="0"/>
              <w:divBdr>
                <w:top w:val="none" w:sz="0" w:space="0" w:color="auto"/>
                <w:left w:val="none" w:sz="0" w:space="0" w:color="auto"/>
                <w:bottom w:val="none" w:sz="0" w:space="0" w:color="auto"/>
                <w:right w:val="none" w:sz="0" w:space="0" w:color="auto"/>
              </w:divBdr>
            </w:div>
          </w:divsChild>
        </w:div>
        <w:div w:id="1708678694">
          <w:marLeft w:val="0"/>
          <w:marRight w:val="0"/>
          <w:marTop w:val="0"/>
          <w:marBottom w:val="0"/>
          <w:divBdr>
            <w:top w:val="none" w:sz="0" w:space="0" w:color="auto"/>
            <w:left w:val="none" w:sz="0" w:space="0" w:color="auto"/>
            <w:bottom w:val="none" w:sz="0" w:space="0" w:color="auto"/>
            <w:right w:val="none" w:sz="0" w:space="0" w:color="auto"/>
          </w:divBdr>
          <w:divsChild>
            <w:div w:id="409693951">
              <w:marLeft w:val="0"/>
              <w:marRight w:val="0"/>
              <w:marTop w:val="0"/>
              <w:marBottom w:val="0"/>
              <w:divBdr>
                <w:top w:val="none" w:sz="0" w:space="0" w:color="auto"/>
                <w:left w:val="none" w:sz="0" w:space="0" w:color="auto"/>
                <w:bottom w:val="none" w:sz="0" w:space="0" w:color="auto"/>
                <w:right w:val="none" w:sz="0" w:space="0" w:color="auto"/>
              </w:divBdr>
            </w:div>
          </w:divsChild>
        </w:div>
        <w:div w:id="1833644542">
          <w:marLeft w:val="0"/>
          <w:marRight w:val="0"/>
          <w:marTop w:val="0"/>
          <w:marBottom w:val="0"/>
          <w:divBdr>
            <w:top w:val="none" w:sz="0" w:space="0" w:color="auto"/>
            <w:left w:val="none" w:sz="0" w:space="0" w:color="auto"/>
            <w:bottom w:val="none" w:sz="0" w:space="0" w:color="auto"/>
            <w:right w:val="none" w:sz="0" w:space="0" w:color="auto"/>
          </w:divBdr>
          <w:divsChild>
            <w:div w:id="181012617">
              <w:marLeft w:val="0"/>
              <w:marRight w:val="0"/>
              <w:marTop w:val="0"/>
              <w:marBottom w:val="0"/>
              <w:divBdr>
                <w:top w:val="none" w:sz="0" w:space="0" w:color="auto"/>
                <w:left w:val="none" w:sz="0" w:space="0" w:color="auto"/>
                <w:bottom w:val="none" w:sz="0" w:space="0" w:color="auto"/>
                <w:right w:val="none" w:sz="0" w:space="0" w:color="auto"/>
              </w:divBdr>
            </w:div>
          </w:divsChild>
        </w:div>
        <w:div w:id="2069914147">
          <w:marLeft w:val="0"/>
          <w:marRight w:val="0"/>
          <w:marTop w:val="0"/>
          <w:marBottom w:val="0"/>
          <w:divBdr>
            <w:top w:val="none" w:sz="0" w:space="0" w:color="auto"/>
            <w:left w:val="none" w:sz="0" w:space="0" w:color="auto"/>
            <w:bottom w:val="none" w:sz="0" w:space="0" w:color="auto"/>
            <w:right w:val="none" w:sz="0" w:space="0" w:color="auto"/>
          </w:divBdr>
          <w:divsChild>
            <w:div w:id="4679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6326">
      <w:bodyDiv w:val="1"/>
      <w:marLeft w:val="0"/>
      <w:marRight w:val="0"/>
      <w:marTop w:val="0"/>
      <w:marBottom w:val="0"/>
      <w:divBdr>
        <w:top w:val="none" w:sz="0" w:space="0" w:color="auto"/>
        <w:left w:val="none" w:sz="0" w:space="0" w:color="auto"/>
        <w:bottom w:val="none" w:sz="0" w:space="0" w:color="auto"/>
        <w:right w:val="none" w:sz="0" w:space="0" w:color="auto"/>
      </w:divBdr>
    </w:div>
    <w:div w:id="1194154001">
      <w:bodyDiv w:val="1"/>
      <w:marLeft w:val="0"/>
      <w:marRight w:val="0"/>
      <w:marTop w:val="0"/>
      <w:marBottom w:val="0"/>
      <w:divBdr>
        <w:top w:val="none" w:sz="0" w:space="0" w:color="auto"/>
        <w:left w:val="none" w:sz="0" w:space="0" w:color="auto"/>
        <w:bottom w:val="none" w:sz="0" w:space="0" w:color="auto"/>
        <w:right w:val="none" w:sz="0" w:space="0" w:color="auto"/>
      </w:divBdr>
    </w:div>
    <w:div w:id="1199202641">
      <w:bodyDiv w:val="1"/>
      <w:marLeft w:val="0"/>
      <w:marRight w:val="0"/>
      <w:marTop w:val="0"/>
      <w:marBottom w:val="0"/>
      <w:divBdr>
        <w:top w:val="none" w:sz="0" w:space="0" w:color="auto"/>
        <w:left w:val="none" w:sz="0" w:space="0" w:color="auto"/>
        <w:bottom w:val="none" w:sz="0" w:space="0" w:color="auto"/>
        <w:right w:val="none" w:sz="0" w:space="0" w:color="auto"/>
      </w:divBdr>
    </w:div>
    <w:div w:id="1212382216">
      <w:bodyDiv w:val="1"/>
      <w:marLeft w:val="0"/>
      <w:marRight w:val="0"/>
      <w:marTop w:val="0"/>
      <w:marBottom w:val="0"/>
      <w:divBdr>
        <w:top w:val="none" w:sz="0" w:space="0" w:color="auto"/>
        <w:left w:val="none" w:sz="0" w:space="0" w:color="auto"/>
        <w:bottom w:val="none" w:sz="0" w:space="0" w:color="auto"/>
        <w:right w:val="none" w:sz="0" w:space="0" w:color="auto"/>
      </w:divBdr>
      <w:divsChild>
        <w:div w:id="45958444">
          <w:marLeft w:val="0"/>
          <w:marRight w:val="0"/>
          <w:marTop w:val="0"/>
          <w:marBottom w:val="0"/>
          <w:divBdr>
            <w:top w:val="none" w:sz="0" w:space="0" w:color="auto"/>
            <w:left w:val="none" w:sz="0" w:space="0" w:color="auto"/>
            <w:bottom w:val="none" w:sz="0" w:space="0" w:color="auto"/>
            <w:right w:val="none" w:sz="0" w:space="0" w:color="auto"/>
          </w:divBdr>
        </w:div>
        <w:div w:id="341130180">
          <w:marLeft w:val="0"/>
          <w:marRight w:val="0"/>
          <w:marTop w:val="0"/>
          <w:marBottom w:val="0"/>
          <w:divBdr>
            <w:top w:val="none" w:sz="0" w:space="0" w:color="auto"/>
            <w:left w:val="none" w:sz="0" w:space="0" w:color="auto"/>
            <w:bottom w:val="none" w:sz="0" w:space="0" w:color="auto"/>
            <w:right w:val="none" w:sz="0" w:space="0" w:color="auto"/>
          </w:divBdr>
        </w:div>
        <w:div w:id="805196826">
          <w:marLeft w:val="0"/>
          <w:marRight w:val="0"/>
          <w:marTop w:val="0"/>
          <w:marBottom w:val="0"/>
          <w:divBdr>
            <w:top w:val="none" w:sz="0" w:space="0" w:color="auto"/>
            <w:left w:val="none" w:sz="0" w:space="0" w:color="auto"/>
            <w:bottom w:val="none" w:sz="0" w:space="0" w:color="auto"/>
            <w:right w:val="none" w:sz="0" w:space="0" w:color="auto"/>
          </w:divBdr>
        </w:div>
        <w:div w:id="1478717272">
          <w:marLeft w:val="0"/>
          <w:marRight w:val="0"/>
          <w:marTop w:val="0"/>
          <w:marBottom w:val="0"/>
          <w:divBdr>
            <w:top w:val="none" w:sz="0" w:space="0" w:color="auto"/>
            <w:left w:val="none" w:sz="0" w:space="0" w:color="auto"/>
            <w:bottom w:val="none" w:sz="0" w:space="0" w:color="auto"/>
            <w:right w:val="none" w:sz="0" w:space="0" w:color="auto"/>
          </w:divBdr>
        </w:div>
      </w:divsChild>
    </w:div>
    <w:div w:id="1223642354">
      <w:bodyDiv w:val="1"/>
      <w:marLeft w:val="0"/>
      <w:marRight w:val="0"/>
      <w:marTop w:val="0"/>
      <w:marBottom w:val="0"/>
      <w:divBdr>
        <w:top w:val="none" w:sz="0" w:space="0" w:color="auto"/>
        <w:left w:val="none" w:sz="0" w:space="0" w:color="auto"/>
        <w:bottom w:val="none" w:sz="0" w:space="0" w:color="auto"/>
        <w:right w:val="none" w:sz="0" w:space="0" w:color="auto"/>
      </w:divBdr>
    </w:div>
    <w:div w:id="1230655660">
      <w:bodyDiv w:val="1"/>
      <w:marLeft w:val="0"/>
      <w:marRight w:val="0"/>
      <w:marTop w:val="0"/>
      <w:marBottom w:val="0"/>
      <w:divBdr>
        <w:top w:val="none" w:sz="0" w:space="0" w:color="auto"/>
        <w:left w:val="none" w:sz="0" w:space="0" w:color="auto"/>
        <w:bottom w:val="none" w:sz="0" w:space="0" w:color="auto"/>
        <w:right w:val="none" w:sz="0" w:space="0" w:color="auto"/>
      </w:divBdr>
      <w:divsChild>
        <w:div w:id="387263619">
          <w:marLeft w:val="0"/>
          <w:marRight w:val="0"/>
          <w:marTop w:val="0"/>
          <w:marBottom w:val="0"/>
          <w:divBdr>
            <w:top w:val="none" w:sz="0" w:space="0" w:color="auto"/>
            <w:left w:val="none" w:sz="0" w:space="0" w:color="auto"/>
            <w:bottom w:val="none" w:sz="0" w:space="0" w:color="auto"/>
            <w:right w:val="none" w:sz="0" w:space="0" w:color="auto"/>
          </w:divBdr>
          <w:divsChild>
            <w:div w:id="1658919728">
              <w:marLeft w:val="0"/>
              <w:marRight w:val="0"/>
              <w:marTop w:val="0"/>
              <w:marBottom w:val="0"/>
              <w:divBdr>
                <w:top w:val="none" w:sz="0" w:space="0" w:color="auto"/>
                <w:left w:val="none" w:sz="0" w:space="0" w:color="auto"/>
                <w:bottom w:val="none" w:sz="0" w:space="0" w:color="auto"/>
                <w:right w:val="none" w:sz="0" w:space="0" w:color="auto"/>
              </w:divBdr>
            </w:div>
          </w:divsChild>
        </w:div>
        <w:div w:id="444203413">
          <w:marLeft w:val="0"/>
          <w:marRight w:val="0"/>
          <w:marTop w:val="0"/>
          <w:marBottom w:val="0"/>
          <w:divBdr>
            <w:top w:val="none" w:sz="0" w:space="0" w:color="auto"/>
            <w:left w:val="none" w:sz="0" w:space="0" w:color="auto"/>
            <w:bottom w:val="none" w:sz="0" w:space="0" w:color="auto"/>
            <w:right w:val="none" w:sz="0" w:space="0" w:color="auto"/>
          </w:divBdr>
          <w:divsChild>
            <w:div w:id="605233935">
              <w:marLeft w:val="0"/>
              <w:marRight w:val="0"/>
              <w:marTop w:val="0"/>
              <w:marBottom w:val="0"/>
              <w:divBdr>
                <w:top w:val="none" w:sz="0" w:space="0" w:color="auto"/>
                <w:left w:val="none" w:sz="0" w:space="0" w:color="auto"/>
                <w:bottom w:val="none" w:sz="0" w:space="0" w:color="auto"/>
                <w:right w:val="none" w:sz="0" w:space="0" w:color="auto"/>
              </w:divBdr>
            </w:div>
          </w:divsChild>
        </w:div>
        <w:div w:id="632565578">
          <w:marLeft w:val="0"/>
          <w:marRight w:val="0"/>
          <w:marTop w:val="0"/>
          <w:marBottom w:val="0"/>
          <w:divBdr>
            <w:top w:val="none" w:sz="0" w:space="0" w:color="auto"/>
            <w:left w:val="none" w:sz="0" w:space="0" w:color="auto"/>
            <w:bottom w:val="none" w:sz="0" w:space="0" w:color="auto"/>
            <w:right w:val="none" w:sz="0" w:space="0" w:color="auto"/>
          </w:divBdr>
          <w:divsChild>
            <w:div w:id="519900759">
              <w:marLeft w:val="0"/>
              <w:marRight w:val="0"/>
              <w:marTop w:val="0"/>
              <w:marBottom w:val="0"/>
              <w:divBdr>
                <w:top w:val="none" w:sz="0" w:space="0" w:color="auto"/>
                <w:left w:val="none" w:sz="0" w:space="0" w:color="auto"/>
                <w:bottom w:val="none" w:sz="0" w:space="0" w:color="auto"/>
                <w:right w:val="none" w:sz="0" w:space="0" w:color="auto"/>
              </w:divBdr>
            </w:div>
          </w:divsChild>
        </w:div>
        <w:div w:id="882058537">
          <w:marLeft w:val="0"/>
          <w:marRight w:val="0"/>
          <w:marTop w:val="0"/>
          <w:marBottom w:val="0"/>
          <w:divBdr>
            <w:top w:val="none" w:sz="0" w:space="0" w:color="auto"/>
            <w:left w:val="none" w:sz="0" w:space="0" w:color="auto"/>
            <w:bottom w:val="none" w:sz="0" w:space="0" w:color="auto"/>
            <w:right w:val="none" w:sz="0" w:space="0" w:color="auto"/>
          </w:divBdr>
          <w:divsChild>
            <w:div w:id="1150177287">
              <w:marLeft w:val="0"/>
              <w:marRight w:val="0"/>
              <w:marTop w:val="0"/>
              <w:marBottom w:val="0"/>
              <w:divBdr>
                <w:top w:val="none" w:sz="0" w:space="0" w:color="auto"/>
                <w:left w:val="none" w:sz="0" w:space="0" w:color="auto"/>
                <w:bottom w:val="none" w:sz="0" w:space="0" w:color="auto"/>
                <w:right w:val="none" w:sz="0" w:space="0" w:color="auto"/>
              </w:divBdr>
            </w:div>
          </w:divsChild>
        </w:div>
        <w:div w:id="913860569">
          <w:marLeft w:val="0"/>
          <w:marRight w:val="0"/>
          <w:marTop w:val="0"/>
          <w:marBottom w:val="0"/>
          <w:divBdr>
            <w:top w:val="none" w:sz="0" w:space="0" w:color="auto"/>
            <w:left w:val="none" w:sz="0" w:space="0" w:color="auto"/>
            <w:bottom w:val="none" w:sz="0" w:space="0" w:color="auto"/>
            <w:right w:val="none" w:sz="0" w:space="0" w:color="auto"/>
          </w:divBdr>
          <w:divsChild>
            <w:div w:id="681324325">
              <w:marLeft w:val="0"/>
              <w:marRight w:val="0"/>
              <w:marTop w:val="0"/>
              <w:marBottom w:val="0"/>
              <w:divBdr>
                <w:top w:val="none" w:sz="0" w:space="0" w:color="auto"/>
                <w:left w:val="none" w:sz="0" w:space="0" w:color="auto"/>
                <w:bottom w:val="none" w:sz="0" w:space="0" w:color="auto"/>
                <w:right w:val="none" w:sz="0" w:space="0" w:color="auto"/>
              </w:divBdr>
            </w:div>
          </w:divsChild>
        </w:div>
        <w:div w:id="996762743">
          <w:marLeft w:val="0"/>
          <w:marRight w:val="0"/>
          <w:marTop w:val="0"/>
          <w:marBottom w:val="0"/>
          <w:divBdr>
            <w:top w:val="none" w:sz="0" w:space="0" w:color="auto"/>
            <w:left w:val="none" w:sz="0" w:space="0" w:color="auto"/>
            <w:bottom w:val="none" w:sz="0" w:space="0" w:color="auto"/>
            <w:right w:val="none" w:sz="0" w:space="0" w:color="auto"/>
          </w:divBdr>
          <w:divsChild>
            <w:div w:id="447512099">
              <w:marLeft w:val="0"/>
              <w:marRight w:val="0"/>
              <w:marTop w:val="0"/>
              <w:marBottom w:val="0"/>
              <w:divBdr>
                <w:top w:val="none" w:sz="0" w:space="0" w:color="auto"/>
                <w:left w:val="none" w:sz="0" w:space="0" w:color="auto"/>
                <w:bottom w:val="none" w:sz="0" w:space="0" w:color="auto"/>
                <w:right w:val="none" w:sz="0" w:space="0" w:color="auto"/>
              </w:divBdr>
            </w:div>
          </w:divsChild>
        </w:div>
        <w:div w:id="1075736825">
          <w:marLeft w:val="0"/>
          <w:marRight w:val="0"/>
          <w:marTop w:val="0"/>
          <w:marBottom w:val="0"/>
          <w:divBdr>
            <w:top w:val="none" w:sz="0" w:space="0" w:color="auto"/>
            <w:left w:val="none" w:sz="0" w:space="0" w:color="auto"/>
            <w:bottom w:val="none" w:sz="0" w:space="0" w:color="auto"/>
            <w:right w:val="none" w:sz="0" w:space="0" w:color="auto"/>
          </w:divBdr>
          <w:divsChild>
            <w:div w:id="1797797516">
              <w:marLeft w:val="0"/>
              <w:marRight w:val="0"/>
              <w:marTop w:val="0"/>
              <w:marBottom w:val="0"/>
              <w:divBdr>
                <w:top w:val="none" w:sz="0" w:space="0" w:color="auto"/>
                <w:left w:val="none" w:sz="0" w:space="0" w:color="auto"/>
                <w:bottom w:val="none" w:sz="0" w:space="0" w:color="auto"/>
                <w:right w:val="none" w:sz="0" w:space="0" w:color="auto"/>
              </w:divBdr>
            </w:div>
          </w:divsChild>
        </w:div>
        <w:div w:id="1119225449">
          <w:marLeft w:val="0"/>
          <w:marRight w:val="0"/>
          <w:marTop w:val="0"/>
          <w:marBottom w:val="0"/>
          <w:divBdr>
            <w:top w:val="none" w:sz="0" w:space="0" w:color="auto"/>
            <w:left w:val="none" w:sz="0" w:space="0" w:color="auto"/>
            <w:bottom w:val="none" w:sz="0" w:space="0" w:color="auto"/>
            <w:right w:val="none" w:sz="0" w:space="0" w:color="auto"/>
          </w:divBdr>
          <w:divsChild>
            <w:div w:id="566232880">
              <w:marLeft w:val="0"/>
              <w:marRight w:val="0"/>
              <w:marTop w:val="0"/>
              <w:marBottom w:val="0"/>
              <w:divBdr>
                <w:top w:val="none" w:sz="0" w:space="0" w:color="auto"/>
                <w:left w:val="none" w:sz="0" w:space="0" w:color="auto"/>
                <w:bottom w:val="none" w:sz="0" w:space="0" w:color="auto"/>
                <w:right w:val="none" w:sz="0" w:space="0" w:color="auto"/>
              </w:divBdr>
            </w:div>
          </w:divsChild>
        </w:div>
        <w:div w:id="1157649887">
          <w:marLeft w:val="0"/>
          <w:marRight w:val="0"/>
          <w:marTop w:val="0"/>
          <w:marBottom w:val="0"/>
          <w:divBdr>
            <w:top w:val="none" w:sz="0" w:space="0" w:color="auto"/>
            <w:left w:val="none" w:sz="0" w:space="0" w:color="auto"/>
            <w:bottom w:val="none" w:sz="0" w:space="0" w:color="auto"/>
            <w:right w:val="none" w:sz="0" w:space="0" w:color="auto"/>
          </w:divBdr>
          <w:divsChild>
            <w:div w:id="1136526865">
              <w:marLeft w:val="0"/>
              <w:marRight w:val="0"/>
              <w:marTop w:val="0"/>
              <w:marBottom w:val="0"/>
              <w:divBdr>
                <w:top w:val="none" w:sz="0" w:space="0" w:color="auto"/>
                <w:left w:val="none" w:sz="0" w:space="0" w:color="auto"/>
                <w:bottom w:val="none" w:sz="0" w:space="0" w:color="auto"/>
                <w:right w:val="none" w:sz="0" w:space="0" w:color="auto"/>
              </w:divBdr>
            </w:div>
          </w:divsChild>
        </w:div>
        <w:div w:id="1483278762">
          <w:marLeft w:val="0"/>
          <w:marRight w:val="0"/>
          <w:marTop w:val="0"/>
          <w:marBottom w:val="0"/>
          <w:divBdr>
            <w:top w:val="none" w:sz="0" w:space="0" w:color="auto"/>
            <w:left w:val="none" w:sz="0" w:space="0" w:color="auto"/>
            <w:bottom w:val="none" w:sz="0" w:space="0" w:color="auto"/>
            <w:right w:val="none" w:sz="0" w:space="0" w:color="auto"/>
          </w:divBdr>
          <w:divsChild>
            <w:div w:id="1739281506">
              <w:marLeft w:val="0"/>
              <w:marRight w:val="0"/>
              <w:marTop w:val="0"/>
              <w:marBottom w:val="0"/>
              <w:divBdr>
                <w:top w:val="none" w:sz="0" w:space="0" w:color="auto"/>
                <w:left w:val="none" w:sz="0" w:space="0" w:color="auto"/>
                <w:bottom w:val="none" w:sz="0" w:space="0" w:color="auto"/>
                <w:right w:val="none" w:sz="0" w:space="0" w:color="auto"/>
              </w:divBdr>
            </w:div>
          </w:divsChild>
        </w:div>
        <w:div w:id="1635868630">
          <w:marLeft w:val="0"/>
          <w:marRight w:val="0"/>
          <w:marTop w:val="0"/>
          <w:marBottom w:val="0"/>
          <w:divBdr>
            <w:top w:val="none" w:sz="0" w:space="0" w:color="auto"/>
            <w:left w:val="none" w:sz="0" w:space="0" w:color="auto"/>
            <w:bottom w:val="none" w:sz="0" w:space="0" w:color="auto"/>
            <w:right w:val="none" w:sz="0" w:space="0" w:color="auto"/>
          </w:divBdr>
          <w:divsChild>
            <w:div w:id="571622227">
              <w:marLeft w:val="0"/>
              <w:marRight w:val="0"/>
              <w:marTop w:val="0"/>
              <w:marBottom w:val="0"/>
              <w:divBdr>
                <w:top w:val="none" w:sz="0" w:space="0" w:color="auto"/>
                <w:left w:val="none" w:sz="0" w:space="0" w:color="auto"/>
                <w:bottom w:val="none" w:sz="0" w:space="0" w:color="auto"/>
                <w:right w:val="none" w:sz="0" w:space="0" w:color="auto"/>
              </w:divBdr>
            </w:div>
          </w:divsChild>
        </w:div>
        <w:div w:id="1643073554">
          <w:marLeft w:val="0"/>
          <w:marRight w:val="0"/>
          <w:marTop w:val="0"/>
          <w:marBottom w:val="0"/>
          <w:divBdr>
            <w:top w:val="none" w:sz="0" w:space="0" w:color="auto"/>
            <w:left w:val="none" w:sz="0" w:space="0" w:color="auto"/>
            <w:bottom w:val="none" w:sz="0" w:space="0" w:color="auto"/>
            <w:right w:val="none" w:sz="0" w:space="0" w:color="auto"/>
          </w:divBdr>
          <w:divsChild>
            <w:div w:id="676690024">
              <w:marLeft w:val="0"/>
              <w:marRight w:val="0"/>
              <w:marTop w:val="0"/>
              <w:marBottom w:val="0"/>
              <w:divBdr>
                <w:top w:val="none" w:sz="0" w:space="0" w:color="auto"/>
                <w:left w:val="none" w:sz="0" w:space="0" w:color="auto"/>
                <w:bottom w:val="none" w:sz="0" w:space="0" w:color="auto"/>
                <w:right w:val="none" w:sz="0" w:space="0" w:color="auto"/>
              </w:divBdr>
            </w:div>
          </w:divsChild>
        </w:div>
        <w:div w:id="1702392025">
          <w:marLeft w:val="0"/>
          <w:marRight w:val="0"/>
          <w:marTop w:val="0"/>
          <w:marBottom w:val="0"/>
          <w:divBdr>
            <w:top w:val="none" w:sz="0" w:space="0" w:color="auto"/>
            <w:left w:val="none" w:sz="0" w:space="0" w:color="auto"/>
            <w:bottom w:val="none" w:sz="0" w:space="0" w:color="auto"/>
            <w:right w:val="none" w:sz="0" w:space="0" w:color="auto"/>
          </w:divBdr>
          <w:divsChild>
            <w:div w:id="1552501161">
              <w:marLeft w:val="0"/>
              <w:marRight w:val="0"/>
              <w:marTop w:val="0"/>
              <w:marBottom w:val="0"/>
              <w:divBdr>
                <w:top w:val="none" w:sz="0" w:space="0" w:color="auto"/>
                <w:left w:val="none" w:sz="0" w:space="0" w:color="auto"/>
                <w:bottom w:val="none" w:sz="0" w:space="0" w:color="auto"/>
                <w:right w:val="none" w:sz="0" w:space="0" w:color="auto"/>
              </w:divBdr>
            </w:div>
          </w:divsChild>
        </w:div>
        <w:div w:id="1830248488">
          <w:marLeft w:val="0"/>
          <w:marRight w:val="0"/>
          <w:marTop w:val="0"/>
          <w:marBottom w:val="0"/>
          <w:divBdr>
            <w:top w:val="none" w:sz="0" w:space="0" w:color="auto"/>
            <w:left w:val="none" w:sz="0" w:space="0" w:color="auto"/>
            <w:bottom w:val="none" w:sz="0" w:space="0" w:color="auto"/>
            <w:right w:val="none" w:sz="0" w:space="0" w:color="auto"/>
          </w:divBdr>
          <w:divsChild>
            <w:div w:id="898326941">
              <w:marLeft w:val="0"/>
              <w:marRight w:val="0"/>
              <w:marTop w:val="0"/>
              <w:marBottom w:val="0"/>
              <w:divBdr>
                <w:top w:val="none" w:sz="0" w:space="0" w:color="auto"/>
                <w:left w:val="none" w:sz="0" w:space="0" w:color="auto"/>
                <w:bottom w:val="none" w:sz="0" w:space="0" w:color="auto"/>
                <w:right w:val="none" w:sz="0" w:space="0" w:color="auto"/>
              </w:divBdr>
            </w:div>
          </w:divsChild>
        </w:div>
        <w:div w:id="1901479031">
          <w:marLeft w:val="0"/>
          <w:marRight w:val="0"/>
          <w:marTop w:val="0"/>
          <w:marBottom w:val="0"/>
          <w:divBdr>
            <w:top w:val="none" w:sz="0" w:space="0" w:color="auto"/>
            <w:left w:val="none" w:sz="0" w:space="0" w:color="auto"/>
            <w:bottom w:val="none" w:sz="0" w:space="0" w:color="auto"/>
            <w:right w:val="none" w:sz="0" w:space="0" w:color="auto"/>
          </w:divBdr>
          <w:divsChild>
            <w:div w:id="336346673">
              <w:marLeft w:val="0"/>
              <w:marRight w:val="0"/>
              <w:marTop w:val="0"/>
              <w:marBottom w:val="0"/>
              <w:divBdr>
                <w:top w:val="none" w:sz="0" w:space="0" w:color="auto"/>
                <w:left w:val="none" w:sz="0" w:space="0" w:color="auto"/>
                <w:bottom w:val="none" w:sz="0" w:space="0" w:color="auto"/>
                <w:right w:val="none" w:sz="0" w:space="0" w:color="auto"/>
              </w:divBdr>
            </w:div>
          </w:divsChild>
        </w:div>
        <w:div w:id="2048211015">
          <w:marLeft w:val="0"/>
          <w:marRight w:val="0"/>
          <w:marTop w:val="0"/>
          <w:marBottom w:val="0"/>
          <w:divBdr>
            <w:top w:val="none" w:sz="0" w:space="0" w:color="auto"/>
            <w:left w:val="none" w:sz="0" w:space="0" w:color="auto"/>
            <w:bottom w:val="none" w:sz="0" w:space="0" w:color="auto"/>
            <w:right w:val="none" w:sz="0" w:space="0" w:color="auto"/>
          </w:divBdr>
          <w:divsChild>
            <w:div w:id="340474587">
              <w:marLeft w:val="0"/>
              <w:marRight w:val="0"/>
              <w:marTop w:val="0"/>
              <w:marBottom w:val="0"/>
              <w:divBdr>
                <w:top w:val="none" w:sz="0" w:space="0" w:color="auto"/>
                <w:left w:val="none" w:sz="0" w:space="0" w:color="auto"/>
                <w:bottom w:val="none" w:sz="0" w:space="0" w:color="auto"/>
                <w:right w:val="none" w:sz="0" w:space="0" w:color="auto"/>
              </w:divBdr>
            </w:div>
          </w:divsChild>
        </w:div>
        <w:div w:id="2085955954">
          <w:marLeft w:val="0"/>
          <w:marRight w:val="0"/>
          <w:marTop w:val="0"/>
          <w:marBottom w:val="0"/>
          <w:divBdr>
            <w:top w:val="none" w:sz="0" w:space="0" w:color="auto"/>
            <w:left w:val="none" w:sz="0" w:space="0" w:color="auto"/>
            <w:bottom w:val="none" w:sz="0" w:space="0" w:color="auto"/>
            <w:right w:val="none" w:sz="0" w:space="0" w:color="auto"/>
          </w:divBdr>
          <w:divsChild>
            <w:div w:id="773327132">
              <w:marLeft w:val="0"/>
              <w:marRight w:val="0"/>
              <w:marTop w:val="0"/>
              <w:marBottom w:val="0"/>
              <w:divBdr>
                <w:top w:val="none" w:sz="0" w:space="0" w:color="auto"/>
                <w:left w:val="none" w:sz="0" w:space="0" w:color="auto"/>
                <w:bottom w:val="none" w:sz="0" w:space="0" w:color="auto"/>
                <w:right w:val="none" w:sz="0" w:space="0" w:color="auto"/>
              </w:divBdr>
            </w:div>
          </w:divsChild>
        </w:div>
        <w:div w:id="2129544228">
          <w:marLeft w:val="0"/>
          <w:marRight w:val="0"/>
          <w:marTop w:val="0"/>
          <w:marBottom w:val="0"/>
          <w:divBdr>
            <w:top w:val="none" w:sz="0" w:space="0" w:color="auto"/>
            <w:left w:val="none" w:sz="0" w:space="0" w:color="auto"/>
            <w:bottom w:val="none" w:sz="0" w:space="0" w:color="auto"/>
            <w:right w:val="none" w:sz="0" w:space="0" w:color="auto"/>
          </w:divBdr>
          <w:divsChild>
            <w:div w:id="18236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59819">
      <w:bodyDiv w:val="1"/>
      <w:marLeft w:val="0"/>
      <w:marRight w:val="0"/>
      <w:marTop w:val="0"/>
      <w:marBottom w:val="0"/>
      <w:divBdr>
        <w:top w:val="none" w:sz="0" w:space="0" w:color="auto"/>
        <w:left w:val="none" w:sz="0" w:space="0" w:color="auto"/>
        <w:bottom w:val="none" w:sz="0" w:space="0" w:color="auto"/>
        <w:right w:val="none" w:sz="0" w:space="0" w:color="auto"/>
      </w:divBdr>
      <w:divsChild>
        <w:div w:id="308630906">
          <w:marLeft w:val="0"/>
          <w:marRight w:val="0"/>
          <w:marTop w:val="0"/>
          <w:marBottom w:val="0"/>
          <w:divBdr>
            <w:top w:val="none" w:sz="0" w:space="0" w:color="auto"/>
            <w:left w:val="none" w:sz="0" w:space="0" w:color="auto"/>
            <w:bottom w:val="none" w:sz="0" w:space="0" w:color="auto"/>
            <w:right w:val="none" w:sz="0" w:space="0" w:color="auto"/>
          </w:divBdr>
        </w:div>
        <w:div w:id="1237400812">
          <w:marLeft w:val="0"/>
          <w:marRight w:val="0"/>
          <w:marTop w:val="0"/>
          <w:marBottom w:val="0"/>
          <w:divBdr>
            <w:top w:val="none" w:sz="0" w:space="0" w:color="auto"/>
            <w:left w:val="none" w:sz="0" w:space="0" w:color="auto"/>
            <w:bottom w:val="none" w:sz="0" w:space="0" w:color="auto"/>
            <w:right w:val="none" w:sz="0" w:space="0" w:color="auto"/>
          </w:divBdr>
        </w:div>
      </w:divsChild>
    </w:div>
    <w:div w:id="1234699341">
      <w:bodyDiv w:val="1"/>
      <w:marLeft w:val="0"/>
      <w:marRight w:val="0"/>
      <w:marTop w:val="0"/>
      <w:marBottom w:val="0"/>
      <w:divBdr>
        <w:top w:val="none" w:sz="0" w:space="0" w:color="auto"/>
        <w:left w:val="none" w:sz="0" w:space="0" w:color="auto"/>
        <w:bottom w:val="none" w:sz="0" w:space="0" w:color="auto"/>
        <w:right w:val="none" w:sz="0" w:space="0" w:color="auto"/>
      </w:divBdr>
    </w:div>
    <w:div w:id="1238780291">
      <w:bodyDiv w:val="1"/>
      <w:marLeft w:val="0"/>
      <w:marRight w:val="0"/>
      <w:marTop w:val="0"/>
      <w:marBottom w:val="0"/>
      <w:divBdr>
        <w:top w:val="none" w:sz="0" w:space="0" w:color="auto"/>
        <w:left w:val="none" w:sz="0" w:space="0" w:color="auto"/>
        <w:bottom w:val="none" w:sz="0" w:space="0" w:color="auto"/>
        <w:right w:val="none" w:sz="0" w:space="0" w:color="auto"/>
      </w:divBdr>
    </w:div>
    <w:div w:id="1267926039">
      <w:bodyDiv w:val="1"/>
      <w:marLeft w:val="0"/>
      <w:marRight w:val="0"/>
      <w:marTop w:val="0"/>
      <w:marBottom w:val="0"/>
      <w:divBdr>
        <w:top w:val="none" w:sz="0" w:space="0" w:color="auto"/>
        <w:left w:val="none" w:sz="0" w:space="0" w:color="auto"/>
        <w:bottom w:val="none" w:sz="0" w:space="0" w:color="auto"/>
        <w:right w:val="none" w:sz="0" w:space="0" w:color="auto"/>
      </w:divBdr>
      <w:divsChild>
        <w:div w:id="1034888523">
          <w:marLeft w:val="0"/>
          <w:marRight w:val="0"/>
          <w:marTop w:val="0"/>
          <w:marBottom w:val="0"/>
          <w:divBdr>
            <w:top w:val="none" w:sz="0" w:space="0" w:color="auto"/>
            <w:left w:val="none" w:sz="0" w:space="0" w:color="auto"/>
            <w:bottom w:val="none" w:sz="0" w:space="0" w:color="auto"/>
            <w:right w:val="none" w:sz="0" w:space="0" w:color="auto"/>
          </w:divBdr>
        </w:div>
        <w:div w:id="1554075745">
          <w:marLeft w:val="0"/>
          <w:marRight w:val="0"/>
          <w:marTop w:val="0"/>
          <w:marBottom w:val="0"/>
          <w:divBdr>
            <w:top w:val="none" w:sz="0" w:space="0" w:color="auto"/>
            <w:left w:val="none" w:sz="0" w:space="0" w:color="auto"/>
            <w:bottom w:val="none" w:sz="0" w:space="0" w:color="auto"/>
            <w:right w:val="none" w:sz="0" w:space="0" w:color="auto"/>
          </w:divBdr>
        </w:div>
      </w:divsChild>
    </w:div>
    <w:div w:id="1281499282">
      <w:bodyDiv w:val="1"/>
      <w:marLeft w:val="0"/>
      <w:marRight w:val="0"/>
      <w:marTop w:val="0"/>
      <w:marBottom w:val="0"/>
      <w:divBdr>
        <w:top w:val="none" w:sz="0" w:space="0" w:color="auto"/>
        <w:left w:val="none" w:sz="0" w:space="0" w:color="auto"/>
        <w:bottom w:val="none" w:sz="0" w:space="0" w:color="auto"/>
        <w:right w:val="none" w:sz="0" w:space="0" w:color="auto"/>
      </w:divBdr>
    </w:div>
    <w:div w:id="1289162939">
      <w:bodyDiv w:val="1"/>
      <w:marLeft w:val="0"/>
      <w:marRight w:val="0"/>
      <w:marTop w:val="0"/>
      <w:marBottom w:val="0"/>
      <w:divBdr>
        <w:top w:val="none" w:sz="0" w:space="0" w:color="auto"/>
        <w:left w:val="none" w:sz="0" w:space="0" w:color="auto"/>
        <w:bottom w:val="none" w:sz="0" w:space="0" w:color="auto"/>
        <w:right w:val="none" w:sz="0" w:space="0" w:color="auto"/>
      </w:divBdr>
    </w:div>
    <w:div w:id="1304774734">
      <w:bodyDiv w:val="1"/>
      <w:marLeft w:val="0"/>
      <w:marRight w:val="0"/>
      <w:marTop w:val="0"/>
      <w:marBottom w:val="0"/>
      <w:divBdr>
        <w:top w:val="none" w:sz="0" w:space="0" w:color="auto"/>
        <w:left w:val="none" w:sz="0" w:space="0" w:color="auto"/>
        <w:bottom w:val="none" w:sz="0" w:space="0" w:color="auto"/>
        <w:right w:val="none" w:sz="0" w:space="0" w:color="auto"/>
      </w:divBdr>
    </w:div>
    <w:div w:id="1304971326">
      <w:bodyDiv w:val="1"/>
      <w:marLeft w:val="0"/>
      <w:marRight w:val="0"/>
      <w:marTop w:val="0"/>
      <w:marBottom w:val="0"/>
      <w:divBdr>
        <w:top w:val="none" w:sz="0" w:space="0" w:color="auto"/>
        <w:left w:val="none" w:sz="0" w:space="0" w:color="auto"/>
        <w:bottom w:val="none" w:sz="0" w:space="0" w:color="auto"/>
        <w:right w:val="none" w:sz="0" w:space="0" w:color="auto"/>
      </w:divBdr>
    </w:div>
    <w:div w:id="1338539414">
      <w:bodyDiv w:val="1"/>
      <w:marLeft w:val="0"/>
      <w:marRight w:val="0"/>
      <w:marTop w:val="0"/>
      <w:marBottom w:val="0"/>
      <w:divBdr>
        <w:top w:val="none" w:sz="0" w:space="0" w:color="auto"/>
        <w:left w:val="none" w:sz="0" w:space="0" w:color="auto"/>
        <w:bottom w:val="none" w:sz="0" w:space="0" w:color="auto"/>
        <w:right w:val="none" w:sz="0" w:space="0" w:color="auto"/>
      </w:divBdr>
    </w:div>
    <w:div w:id="1419055463">
      <w:bodyDiv w:val="1"/>
      <w:marLeft w:val="0"/>
      <w:marRight w:val="0"/>
      <w:marTop w:val="0"/>
      <w:marBottom w:val="0"/>
      <w:divBdr>
        <w:top w:val="none" w:sz="0" w:space="0" w:color="auto"/>
        <w:left w:val="none" w:sz="0" w:space="0" w:color="auto"/>
        <w:bottom w:val="none" w:sz="0" w:space="0" w:color="auto"/>
        <w:right w:val="none" w:sz="0" w:space="0" w:color="auto"/>
      </w:divBdr>
    </w:div>
    <w:div w:id="1432773384">
      <w:bodyDiv w:val="1"/>
      <w:marLeft w:val="0"/>
      <w:marRight w:val="0"/>
      <w:marTop w:val="0"/>
      <w:marBottom w:val="0"/>
      <w:divBdr>
        <w:top w:val="none" w:sz="0" w:space="0" w:color="auto"/>
        <w:left w:val="none" w:sz="0" w:space="0" w:color="auto"/>
        <w:bottom w:val="none" w:sz="0" w:space="0" w:color="auto"/>
        <w:right w:val="none" w:sz="0" w:space="0" w:color="auto"/>
      </w:divBdr>
    </w:div>
    <w:div w:id="1436485834">
      <w:bodyDiv w:val="1"/>
      <w:marLeft w:val="0"/>
      <w:marRight w:val="0"/>
      <w:marTop w:val="0"/>
      <w:marBottom w:val="0"/>
      <w:divBdr>
        <w:top w:val="none" w:sz="0" w:space="0" w:color="auto"/>
        <w:left w:val="none" w:sz="0" w:space="0" w:color="auto"/>
        <w:bottom w:val="none" w:sz="0" w:space="0" w:color="auto"/>
        <w:right w:val="none" w:sz="0" w:space="0" w:color="auto"/>
      </w:divBdr>
      <w:divsChild>
        <w:div w:id="191000494">
          <w:marLeft w:val="0"/>
          <w:marRight w:val="0"/>
          <w:marTop w:val="0"/>
          <w:marBottom w:val="0"/>
          <w:divBdr>
            <w:top w:val="none" w:sz="0" w:space="0" w:color="auto"/>
            <w:left w:val="none" w:sz="0" w:space="0" w:color="auto"/>
            <w:bottom w:val="none" w:sz="0" w:space="0" w:color="auto"/>
            <w:right w:val="none" w:sz="0" w:space="0" w:color="auto"/>
          </w:divBdr>
        </w:div>
        <w:div w:id="513038638">
          <w:marLeft w:val="0"/>
          <w:marRight w:val="0"/>
          <w:marTop w:val="0"/>
          <w:marBottom w:val="0"/>
          <w:divBdr>
            <w:top w:val="none" w:sz="0" w:space="0" w:color="auto"/>
            <w:left w:val="none" w:sz="0" w:space="0" w:color="auto"/>
            <w:bottom w:val="none" w:sz="0" w:space="0" w:color="auto"/>
            <w:right w:val="none" w:sz="0" w:space="0" w:color="auto"/>
          </w:divBdr>
        </w:div>
        <w:div w:id="737828883">
          <w:marLeft w:val="0"/>
          <w:marRight w:val="0"/>
          <w:marTop w:val="0"/>
          <w:marBottom w:val="0"/>
          <w:divBdr>
            <w:top w:val="none" w:sz="0" w:space="0" w:color="auto"/>
            <w:left w:val="none" w:sz="0" w:space="0" w:color="auto"/>
            <w:bottom w:val="none" w:sz="0" w:space="0" w:color="auto"/>
            <w:right w:val="none" w:sz="0" w:space="0" w:color="auto"/>
          </w:divBdr>
        </w:div>
        <w:div w:id="804005861">
          <w:marLeft w:val="0"/>
          <w:marRight w:val="0"/>
          <w:marTop w:val="0"/>
          <w:marBottom w:val="0"/>
          <w:divBdr>
            <w:top w:val="none" w:sz="0" w:space="0" w:color="auto"/>
            <w:left w:val="none" w:sz="0" w:space="0" w:color="auto"/>
            <w:bottom w:val="none" w:sz="0" w:space="0" w:color="auto"/>
            <w:right w:val="none" w:sz="0" w:space="0" w:color="auto"/>
          </w:divBdr>
        </w:div>
        <w:div w:id="838694270">
          <w:marLeft w:val="0"/>
          <w:marRight w:val="0"/>
          <w:marTop w:val="0"/>
          <w:marBottom w:val="0"/>
          <w:divBdr>
            <w:top w:val="none" w:sz="0" w:space="0" w:color="auto"/>
            <w:left w:val="none" w:sz="0" w:space="0" w:color="auto"/>
            <w:bottom w:val="none" w:sz="0" w:space="0" w:color="auto"/>
            <w:right w:val="none" w:sz="0" w:space="0" w:color="auto"/>
          </w:divBdr>
        </w:div>
        <w:div w:id="1279793939">
          <w:marLeft w:val="0"/>
          <w:marRight w:val="0"/>
          <w:marTop w:val="0"/>
          <w:marBottom w:val="0"/>
          <w:divBdr>
            <w:top w:val="none" w:sz="0" w:space="0" w:color="auto"/>
            <w:left w:val="none" w:sz="0" w:space="0" w:color="auto"/>
            <w:bottom w:val="none" w:sz="0" w:space="0" w:color="auto"/>
            <w:right w:val="none" w:sz="0" w:space="0" w:color="auto"/>
          </w:divBdr>
        </w:div>
        <w:div w:id="1782995376">
          <w:marLeft w:val="0"/>
          <w:marRight w:val="0"/>
          <w:marTop w:val="0"/>
          <w:marBottom w:val="0"/>
          <w:divBdr>
            <w:top w:val="none" w:sz="0" w:space="0" w:color="auto"/>
            <w:left w:val="none" w:sz="0" w:space="0" w:color="auto"/>
            <w:bottom w:val="none" w:sz="0" w:space="0" w:color="auto"/>
            <w:right w:val="none" w:sz="0" w:space="0" w:color="auto"/>
          </w:divBdr>
        </w:div>
        <w:div w:id="1860191148">
          <w:marLeft w:val="0"/>
          <w:marRight w:val="0"/>
          <w:marTop w:val="0"/>
          <w:marBottom w:val="0"/>
          <w:divBdr>
            <w:top w:val="none" w:sz="0" w:space="0" w:color="auto"/>
            <w:left w:val="none" w:sz="0" w:space="0" w:color="auto"/>
            <w:bottom w:val="none" w:sz="0" w:space="0" w:color="auto"/>
            <w:right w:val="none" w:sz="0" w:space="0" w:color="auto"/>
          </w:divBdr>
        </w:div>
      </w:divsChild>
    </w:div>
    <w:div w:id="1462504638">
      <w:bodyDiv w:val="1"/>
      <w:marLeft w:val="0"/>
      <w:marRight w:val="0"/>
      <w:marTop w:val="0"/>
      <w:marBottom w:val="0"/>
      <w:divBdr>
        <w:top w:val="none" w:sz="0" w:space="0" w:color="auto"/>
        <w:left w:val="none" w:sz="0" w:space="0" w:color="auto"/>
        <w:bottom w:val="none" w:sz="0" w:space="0" w:color="auto"/>
        <w:right w:val="none" w:sz="0" w:space="0" w:color="auto"/>
      </w:divBdr>
    </w:div>
    <w:div w:id="1463158038">
      <w:bodyDiv w:val="1"/>
      <w:marLeft w:val="0"/>
      <w:marRight w:val="0"/>
      <w:marTop w:val="0"/>
      <w:marBottom w:val="0"/>
      <w:divBdr>
        <w:top w:val="none" w:sz="0" w:space="0" w:color="auto"/>
        <w:left w:val="none" w:sz="0" w:space="0" w:color="auto"/>
        <w:bottom w:val="none" w:sz="0" w:space="0" w:color="auto"/>
        <w:right w:val="none" w:sz="0" w:space="0" w:color="auto"/>
      </w:divBdr>
      <w:divsChild>
        <w:div w:id="84960332">
          <w:marLeft w:val="0"/>
          <w:marRight w:val="0"/>
          <w:marTop w:val="0"/>
          <w:marBottom w:val="0"/>
          <w:divBdr>
            <w:top w:val="none" w:sz="0" w:space="0" w:color="auto"/>
            <w:left w:val="none" w:sz="0" w:space="0" w:color="auto"/>
            <w:bottom w:val="none" w:sz="0" w:space="0" w:color="auto"/>
            <w:right w:val="none" w:sz="0" w:space="0" w:color="auto"/>
          </w:divBdr>
        </w:div>
        <w:div w:id="241185990">
          <w:marLeft w:val="0"/>
          <w:marRight w:val="0"/>
          <w:marTop w:val="0"/>
          <w:marBottom w:val="0"/>
          <w:divBdr>
            <w:top w:val="none" w:sz="0" w:space="0" w:color="auto"/>
            <w:left w:val="none" w:sz="0" w:space="0" w:color="auto"/>
            <w:bottom w:val="none" w:sz="0" w:space="0" w:color="auto"/>
            <w:right w:val="none" w:sz="0" w:space="0" w:color="auto"/>
          </w:divBdr>
        </w:div>
        <w:div w:id="423184306">
          <w:marLeft w:val="0"/>
          <w:marRight w:val="0"/>
          <w:marTop w:val="0"/>
          <w:marBottom w:val="0"/>
          <w:divBdr>
            <w:top w:val="none" w:sz="0" w:space="0" w:color="auto"/>
            <w:left w:val="none" w:sz="0" w:space="0" w:color="auto"/>
            <w:bottom w:val="none" w:sz="0" w:space="0" w:color="auto"/>
            <w:right w:val="none" w:sz="0" w:space="0" w:color="auto"/>
          </w:divBdr>
        </w:div>
        <w:div w:id="567500335">
          <w:marLeft w:val="0"/>
          <w:marRight w:val="0"/>
          <w:marTop w:val="0"/>
          <w:marBottom w:val="0"/>
          <w:divBdr>
            <w:top w:val="none" w:sz="0" w:space="0" w:color="auto"/>
            <w:left w:val="none" w:sz="0" w:space="0" w:color="auto"/>
            <w:bottom w:val="none" w:sz="0" w:space="0" w:color="auto"/>
            <w:right w:val="none" w:sz="0" w:space="0" w:color="auto"/>
          </w:divBdr>
        </w:div>
        <w:div w:id="657998693">
          <w:marLeft w:val="0"/>
          <w:marRight w:val="0"/>
          <w:marTop w:val="0"/>
          <w:marBottom w:val="0"/>
          <w:divBdr>
            <w:top w:val="none" w:sz="0" w:space="0" w:color="auto"/>
            <w:left w:val="none" w:sz="0" w:space="0" w:color="auto"/>
            <w:bottom w:val="none" w:sz="0" w:space="0" w:color="auto"/>
            <w:right w:val="none" w:sz="0" w:space="0" w:color="auto"/>
          </w:divBdr>
        </w:div>
        <w:div w:id="694698783">
          <w:marLeft w:val="0"/>
          <w:marRight w:val="0"/>
          <w:marTop w:val="0"/>
          <w:marBottom w:val="0"/>
          <w:divBdr>
            <w:top w:val="none" w:sz="0" w:space="0" w:color="auto"/>
            <w:left w:val="none" w:sz="0" w:space="0" w:color="auto"/>
            <w:bottom w:val="none" w:sz="0" w:space="0" w:color="auto"/>
            <w:right w:val="none" w:sz="0" w:space="0" w:color="auto"/>
          </w:divBdr>
        </w:div>
        <w:div w:id="862523112">
          <w:marLeft w:val="0"/>
          <w:marRight w:val="0"/>
          <w:marTop w:val="0"/>
          <w:marBottom w:val="0"/>
          <w:divBdr>
            <w:top w:val="none" w:sz="0" w:space="0" w:color="auto"/>
            <w:left w:val="none" w:sz="0" w:space="0" w:color="auto"/>
            <w:bottom w:val="none" w:sz="0" w:space="0" w:color="auto"/>
            <w:right w:val="none" w:sz="0" w:space="0" w:color="auto"/>
          </w:divBdr>
        </w:div>
        <w:div w:id="870535144">
          <w:marLeft w:val="0"/>
          <w:marRight w:val="0"/>
          <w:marTop w:val="0"/>
          <w:marBottom w:val="0"/>
          <w:divBdr>
            <w:top w:val="none" w:sz="0" w:space="0" w:color="auto"/>
            <w:left w:val="none" w:sz="0" w:space="0" w:color="auto"/>
            <w:bottom w:val="none" w:sz="0" w:space="0" w:color="auto"/>
            <w:right w:val="none" w:sz="0" w:space="0" w:color="auto"/>
          </w:divBdr>
        </w:div>
        <w:div w:id="963384600">
          <w:marLeft w:val="0"/>
          <w:marRight w:val="0"/>
          <w:marTop w:val="0"/>
          <w:marBottom w:val="0"/>
          <w:divBdr>
            <w:top w:val="none" w:sz="0" w:space="0" w:color="auto"/>
            <w:left w:val="none" w:sz="0" w:space="0" w:color="auto"/>
            <w:bottom w:val="none" w:sz="0" w:space="0" w:color="auto"/>
            <w:right w:val="none" w:sz="0" w:space="0" w:color="auto"/>
          </w:divBdr>
        </w:div>
        <w:div w:id="1031684827">
          <w:marLeft w:val="0"/>
          <w:marRight w:val="0"/>
          <w:marTop w:val="0"/>
          <w:marBottom w:val="0"/>
          <w:divBdr>
            <w:top w:val="none" w:sz="0" w:space="0" w:color="auto"/>
            <w:left w:val="none" w:sz="0" w:space="0" w:color="auto"/>
            <w:bottom w:val="none" w:sz="0" w:space="0" w:color="auto"/>
            <w:right w:val="none" w:sz="0" w:space="0" w:color="auto"/>
          </w:divBdr>
        </w:div>
        <w:div w:id="1262567498">
          <w:marLeft w:val="0"/>
          <w:marRight w:val="0"/>
          <w:marTop w:val="0"/>
          <w:marBottom w:val="0"/>
          <w:divBdr>
            <w:top w:val="none" w:sz="0" w:space="0" w:color="auto"/>
            <w:left w:val="none" w:sz="0" w:space="0" w:color="auto"/>
            <w:bottom w:val="none" w:sz="0" w:space="0" w:color="auto"/>
            <w:right w:val="none" w:sz="0" w:space="0" w:color="auto"/>
          </w:divBdr>
        </w:div>
        <w:div w:id="1263148210">
          <w:marLeft w:val="0"/>
          <w:marRight w:val="0"/>
          <w:marTop w:val="0"/>
          <w:marBottom w:val="0"/>
          <w:divBdr>
            <w:top w:val="none" w:sz="0" w:space="0" w:color="auto"/>
            <w:left w:val="none" w:sz="0" w:space="0" w:color="auto"/>
            <w:bottom w:val="none" w:sz="0" w:space="0" w:color="auto"/>
            <w:right w:val="none" w:sz="0" w:space="0" w:color="auto"/>
          </w:divBdr>
        </w:div>
        <w:div w:id="1421874702">
          <w:marLeft w:val="0"/>
          <w:marRight w:val="0"/>
          <w:marTop w:val="0"/>
          <w:marBottom w:val="0"/>
          <w:divBdr>
            <w:top w:val="none" w:sz="0" w:space="0" w:color="auto"/>
            <w:left w:val="none" w:sz="0" w:space="0" w:color="auto"/>
            <w:bottom w:val="none" w:sz="0" w:space="0" w:color="auto"/>
            <w:right w:val="none" w:sz="0" w:space="0" w:color="auto"/>
          </w:divBdr>
        </w:div>
        <w:div w:id="1595479248">
          <w:marLeft w:val="0"/>
          <w:marRight w:val="0"/>
          <w:marTop w:val="0"/>
          <w:marBottom w:val="0"/>
          <w:divBdr>
            <w:top w:val="none" w:sz="0" w:space="0" w:color="auto"/>
            <w:left w:val="none" w:sz="0" w:space="0" w:color="auto"/>
            <w:bottom w:val="none" w:sz="0" w:space="0" w:color="auto"/>
            <w:right w:val="none" w:sz="0" w:space="0" w:color="auto"/>
          </w:divBdr>
        </w:div>
        <w:div w:id="1716347712">
          <w:marLeft w:val="0"/>
          <w:marRight w:val="0"/>
          <w:marTop w:val="0"/>
          <w:marBottom w:val="0"/>
          <w:divBdr>
            <w:top w:val="none" w:sz="0" w:space="0" w:color="auto"/>
            <w:left w:val="none" w:sz="0" w:space="0" w:color="auto"/>
            <w:bottom w:val="none" w:sz="0" w:space="0" w:color="auto"/>
            <w:right w:val="none" w:sz="0" w:space="0" w:color="auto"/>
          </w:divBdr>
        </w:div>
        <w:div w:id="1764111268">
          <w:marLeft w:val="0"/>
          <w:marRight w:val="0"/>
          <w:marTop w:val="0"/>
          <w:marBottom w:val="0"/>
          <w:divBdr>
            <w:top w:val="none" w:sz="0" w:space="0" w:color="auto"/>
            <w:left w:val="none" w:sz="0" w:space="0" w:color="auto"/>
            <w:bottom w:val="none" w:sz="0" w:space="0" w:color="auto"/>
            <w:right w:val="none" w:sz="0" w:space="0" w:color="auto"/>
          </w:divBdr>
        </w:div>
        <w:div w:id="2030259628">
          <w:marLeft w:val="0"/>
          <w:marRight w:val="0"/>
          <w:marTop w:val="0"/>
          <w:marBottom w:val="0"/>
          <w:divBdr>
            <w:top w:val="none" w:sz="0" w:space="0" w:color="auto"/>
            <w:left w:val="none" w:sz="0" w:space="0" w:color="auto"/>
            <w:bottom w:val="none" w:sz="0" w:space="0" w:color="auto"/>
            <w:right w:val="none" w:sz="0" w:space="0" w:color="auto"/>
          </w:divBdr>
        </w:div>
      </w:divsChild>
    </w:div>
    <w:div w:id="1496915220">
      <w:bodyDiv w:val="1"/>
      <w:marLeft w:val="0"/>
      <w:marRight w:val="0"/>
      <w:marTop w:val="0"/>
      <w:marBottom w:val="0"/>
      <w:divBdr>
        <w:top w:val="none" w:sz="0" w:space="0" w:color="auto"/>
        <w:left w:val="none" w:sz="0" w:space="0" w:color="auto"/>
        <w:bottom w:val="none" w:sz="0" w:space="0" w:color="auto"/>
        <w:right w:val="none" w:sz="0" w:space="0" w:color="auto"/>
      </w:divBdr>
    </w:div>
    <w:div w:id="1522937080">
      <w:bodyDiv w:val="1"/>
      <w:marLeft w:val="0"/>
      <w:marRight w:val="0"/>
      <w:marTop w:val="0"/>
      <w:marBottom w:val="0"/>
      <w:divBdr>
        <w:top w:val="none" w:sz="0" w:space="0" w:color="auto"/>
        <w:left w:val="none" w:sz="0" w:space="0" w:color="auto"/>
        <w:bottom w:val="none" w:sz="0" w:space="0" w:color="auto"/>
        <w:right w:val="none" w:sz="0" w:space="0" w:color="auto"/>
      </w:divBdr>
    </w:div>
    <w:div w:id="1564410007">
      <w:bodyDiv w:val="1"/>
      <w:marLeft w:val="0"/>
      <w:marRight w:val="0"/>
      <w:marTop w:val="0"/>
      <w:marBottom w:val="0"/>
      <w:divBdr>
        <w:top w:val="none" w:sz="0" w:space="0" w:color="auto"/>
        <w:left w:val="none" w:sz="0" w:space="0" w:color="auto"/>
        <w:bottom w:val="none" w:sz="0" w:space="0" w:color="auto"/>
        <w:right w:val="none" w:sz="0" w:space="0" w:color="auto"/>
      </w:divBdr>
    </w:div>
    <w:div w:id="1567568170">
      <w:bodyDiv w:val="1"/>
      <w:marLeft w:val="0"/>
      <w:marRight w:val="0"/>
      <w:marTop w:val="0"/>
      <w:marBottom w:val="0"/>
      <w:divBdr>
        <w:top w:val="none" w:sz="0" w:space="0" w:color="auto"/>
        <w:left w:val="none" w:sz="0" w:space="0" w:color="auto"/>
        <w:bottom w:val="none" w:sz="0" w:space="0" w:color="auto"/>
        <w:right w:val="none" w:sz="0" w:space="0" w:color="auto"/>
      </w:divBdr>
    </w:div>
    <w:div w:id="1574001368">
      <w:bodyDiv w:val="1"/>
      <w:marLeft w:val="0"/>
      <w:marRight w:val="0"/>
      <w:marTop w:val="0"/>
      <w:marBottom w:val="0"/>
      <w:divBdr>
        <w:top w:val="none" w:sz="0" w:space="0" w:color="auto"/>
        <w:left w:val="none" w:sz="0" w:space="0" w:color="auto"/>
        <w:bottom w:val="none" w:sz="0" w:space="0" w:color="auto"/>
        <w:right w:val="none" w:sz="0" w:space="0" w:color="auto"/>
      </w:divBdr>
    </w:div>
    <w:div w:id="1605839107">
      <w:bodyDiv w:val="1"/>
      <w:marLeft w:val="0"/>
      <w:marRight w:val="0"/>
      <w:marTop w:val="0"/>
      <w:marBottom w:val="0"/>
      <w:divBdr>
        <w:top w:val="none" w:sz="0" w:space="0" w:color="auto"/>
        <w:left w:val="none" w:sz="0" w:space="0" w:color="auto"/>
        <w:bottom w:val="none" w:sz="0" w:space="0" w:color="auto"/>
        <w:right w:val="none" w:sz="0" w:space="0" w:color="auto"/>
      </w:divBdr>
      <w:divsChild>
        <w:div w:id="121584720">
          <w:marLeft w:val="0"/>
          <w:marRight w:val="0"/>
          <w:marTop w:val="0"/>
          <w:marBottom w:val="0"/>
          <w:divBdr>
            <w:top w:val="none" w:sz="0" w:space="0" w:color="auto"/>
            <w:left w:val="none" w:sz="0" w:space="0" w:color="auto"/>
            <w:bottom w:val="none" w:sz="0" w:space="0" w:color="auto"/>
            <w:right w:val="none" w:sz="0" w:space="0" w:color="auto"/>
          </w:divBdr>
        </w:div>
        <w:div w:id="184827505">
          <w:marLeft w:val="0"/>
          <w:marRight w:val="0"/>
          <w:marTop w:val="0"/>
          <w:marBottom w:val="0"/>
          <w:divBdr>
            <w:top w:val="none" w:sz="0" w:space="0" w:color="auto"/>
            <w:left w:val="none" w:sz="0" w:space="0" w:color="auto"/>
            <w:bottom w:val="none" w:sz="0" w:space="0" w:color="auto"/>
            <w:right w:val="none" w:sz="0" w:space="0" w:color="auto"/>
          </w:divBdr>
        </w:div>
        <w:div w:id="417750481">
          <w:marLeft w:val="0"/>
          <w:marRight w:val="0"/>
          <w:marTop w:val="0"/>
          <w:marBottom w:val="0"/>
          <w:divBdr>
            <w:top w:val="none" w:sz="0" w:space="0" w:color="auto"/>
            <w:left w:val="none" w:sz="0" w:space="0" w:color="auto"/>
            <w:bottom w:val="none" w:sz="0" w:space="0" w:color="auto"/>
            <w:right w:val="none" w:sz="0" w:space="0" w:color="auto"/>
          </w:divBdr>
          <w:divsChild>
            <w:div w:id="966618083">
              <w:marLeft w:val="-75"/>
              <w:marRight w:val="0"/>
              <w:marTop w:val="30"/>
              <w:marBottom w:val="30"/>
              <w:divBdr>
                <w:top w:val="none" w:sz="0" w:space="0" w:color="auto"/>
                <w:left w:val="none" w:sz="0" w:space="0" w:color="auto"/>
                <w:bottom w:val="none" w:sz="0" w:space="0" w:color="auto"/>
                <w:right w:val="none" w:sz="0" w:space="0" w:color="auto"/>
              </w:divBdr>
              <w:divsChild>
                <w:div w:id="10883606">
                  <w:marLeft w:val="0"/>
                  <w:marRight w:val="0"/>
                  <w:marTop w:val="0"/>
                  <w:marBottom w:val="0"/>
                  <w:divBdr>
                    <w:top w:val="none" w:sz="0" w:space="0" w:color="auto"/>
                    <w:left w:val="none" w:sz="0" w:space="0" w:color="auto"/>
                    <w:bottom w:val="none" w:sz="0" w:space="0" w:color="auto"/>
                    <w:right w:val="none" w:sz="0" w:space="0" w:color="auto"/>
                  </w:divBdr>
                  <w:divsChild>
                    <w:div w:id="1766880204">
                      <w:marLeft w:val="0"/>
                      <w:marRight w:val="0"/>
                      <w:marTop w:val="0"/>
                      <w:marBottom w:val="0"/>
                      <w:divBdr>
                        <w:top w:val="none" w:sz="0" w:space="0" w:color="auto"/>
                        <w:left w:val="none" w:sz="0" w:space="0" w:color="auto"/>
                        <w:bottom w:val="none" w:sz="0" w:space="0" w:color="auto"/>
                        <w:right w:val="none" w:sz="0" w:space="0" w:color="auto"/>
                      </w:divBdr>
                    </w:div>
                  </w:divsChild>
                </w:div>
                <w:div w:id="21173150">
                  <w:marLeft w:val="0"/>
                  <w:marRight w:val="0"/>
                  <w:marTop w:val="0"/>
                  <w:marBottom w:val="0"/>
                  <w:divBdr>
                    <w:top w:val="none" w:sz="0" w:space="0" w:color="auto"/>
                    <w:left w:val="none" w:sz="0" w:space="0" w:color="auto"/>
                    <w:bottom w:val="none" w:sz="0" w:space="0" w:color="auto"/>
                    <w:right w:val="none" w:sz="0" w:space="0" w:color="auto"/>
                  </w:divBdr>
                  <w:divsChild>
                    <w:div w:id="1964605252">
                      <w:marLeft w:val="0"/>
                      <w:marRight w:val="0"/>
                      <w:marTop w:val="0"/>
                      <w:marBottom w:val="0"/>
                      <w:divBdr>
                        <w:top w:val="none" w:sz="0" w:space="0" w:color="auto"/>
                        <w:left w:val="none" w:sz="0" w:space="0" w:color="auto"/>
                        <w:bottom w:val="none" w:sz="0" w:space="0" w:color="auto"/>
                        <w:right w:val="none" w:sz="0" w:space="0" w:color="auto"/>
                      </w:divBdr>
                    </w:div>
                  </w:divsChild>
                </w:div>
                <w:div w:id="135882745">
                  <w:marLeft w:val="0"/>
                  <w:marRight w:val="0"/>
                  <w:marTop w:val="0"/>
                  <w:marBottom w:val="0"/>
                  <w:divBdr>
                    <w:top w:val="none" w:sz="0" w:space="0" w:color="auto"/>
                    <w:left w:val="none" w:sz="0" w:space="0" w:color="auto"/>
                    <w:bottom w:val="none" w:sz="0" w:space="0" w:color="auto"/>
                    <w:right w:val="none" w:sz="0" w:space="0" w:color="auto"/>
                  </w:divBdr>
                  <w:divsChild>
                    <w:div w:id="878125762">
                      <w:marLeft w:val="0"/>
                      <w:marRight w:val="0"/>
                      <w:marTop w:val="0"/>
                      <w:marBottom w:val="0"/>
                      <w:divBdr>
                        <w:top w:val="none" w:sz="0" w:space="0" w:color="auto"/>
                        <w:left w:val="none" w:sz="0" w:space="0" w:color="auto"/>
                        <w:bottom w:val="none" w:sz="0" w:space="0" w:color="auto"/>
                        <w:right w:val="none" w:sz="0" w:space="0" w:color="auto"/>
                      </w:divBdr>
                    </w:div>
                  </w:divsChild>
                </w:div>
                <w:div w:id="151609599">
                  <w:marLeft w:val="0"/>
                  <w:marRight w:val="0"/>
                  <w:marTop w:val="0"/>
                  <w:marBottom w:val="0"/>
                  <w:divBdr>
                    <w:top w:val="none" w:sz="0" w:space="0" w:color="auto"/>
                    <w:left w:val="none" w:sz="0" w:space="0" w:color="auto"/>
                    <w:bottom w:val="none" w:sz="0" w:space="0" w:color="auto"/>
                    <w:right w:val="none" w:sz="0" w:space="0" w:color="auto"/>
                  </w:divBdr>
                  <w:divsChild>
                    <w:div w:id="1719276259">
                      <w:marLeft w:val="0"/>
                      <w:marRight w:val="0"/>
                      <w:marTop w:val="0"/>
                      <w:marBottom w:val="0"/>
                      <w:divBdr>
                        <w:top w:val="none" w:sz="0" w:space="0" w:color="auto"/>
                        <w:left w:val="none" w:sz="0" w:space="0" w:color="auto"/>
                        <w:bottom w:val="none" w:sz="0" w:space="0" w:color="auto"/>
                        <w:right w:val="none" w:sz="0" w:space="0" w:color="auto"/>
                      </w:divBdr>
                    </w:div>
                  </w:divsChild>
                </w:div>
                <w:div w:id="156387702">
                  <w:marLeft w:val="0"/>
                  <w:marRight w:val="0"/>
                  <w:marTop w:val="0"/>
                  <w:marBottom w:val="0"/>
                  <w:divBdr>
                    <w:top w:val="none" w:sz="0" w:space="0" w:color="auto"/>
                    <w:left w:val="none" w:sz="0" w:space="0" w:color="auto"/>
                    <w:bottom w:val="none" w:sz="0" w:space="0" w:color="auto"/>
                    <w:right w:val="none" w:sz="0" w:space="0" w:color="auto"/>
                  </w:divBdr>
                  <w:divsChild>
                    <w:div w:id="2048791603">
                      <w:marLeft w:val="0"/>
                      <w:marRight w:val="0"/>
                      <w:marTop w:val="0"/>
                      <w:marBottom w:val="0"/>
                      <w:divBdr>
                        <w:top w:val="none" w:sz="0" w:space="0" w:color="auto"/>
                        <w:left w:val="none" w:sz="0" w:space="0" w:color="auto"/>
                        <w:bottom w:val="none" w:sz="0" w:space="0" w:color="auto"/>
                        <w:right w:val="none" w:sz="0" w:space="0" w:color="auto"/>
                      </w:divBdr>
                    </w:div>
                  </w:divsChild>
                </w:div>
                <w:div w:id="257522348">
                  <w:marLeft w:val="0"/>
                  <w:marRight w:val="0"/>
                  <w:marTop w:val="0"/>
                  <w:marBottom w:val="0"/>
                  <w:divBdr>
                    <w:top w:val="none" w:sz="0" w:space="0" w:color="auto"/>
                    <w:left w:val="none" w:sz="0" w:space="0" w:color="auto"/>
                    <w:bottom w:val="none" w:sz="0" w:space="0" w:color="auto"/>
                    <w:right w:val="none" w:sz="0" w:space="0" w:color="auto"/>
                  </w:divBdr>
                  <w:divsChild>
                    <w:div w:id="1809006690">
                      <w:marLeft w:val="0"/>
                      <w:marRight w:val="0"/>
                      <w:marTop w:val="0"/>
                      <w:marBottom w:val="0"/>
                      <w:divBdr>
                        <w:top w:val="none" w:sz="0" w:space="0" w:color="auto"/>
                        <w:left w:val="none" w:sz="0" w:space="0" w:color="auto"/>
                        <w:bottom w:val="none" w:sz="0" w:space="0" w:color="auto"/>
                        <w:right w:val="none" w:sz="0" w:space="0" w:color="auto"/>
                      </w:divBdr>
                    </w:div>
                  </w:divsChild>
                </w:div>
                <w:div w:id="321786558">
                  <w:marLeft w:val="0"/>
                  <w:marRight w:val="0"/>
                  <w:marTop w:val="0"/>
                  <w:marBottom w:val="0"/>
                  <w:divBdr>
                    <w:top w:val="none" w:sz="0" w:space="0" w:color="auto"/>
                    <w:left w:val="none" w:sz="0" w:space="0" w:color="auto"/>
                    <w:bottom w:val="none" w:sz="0" w:space="0" w:color="auto"/>
                    <w:right w:val="none" w:sz="0" w:space="0" w:color="auto"/>
                  </w:divBdr>
                  <w:divsChild>
                    <w:div w:id="1087076214">
                      <w:marLeft w:val="0"/>
                      <w:marRight w:val="0"/>
                      <w:marTop w:val="0"/>
                      <w:marBottom w:val="0"/>
                      <w:divBdr>
                        <w:top w:val="none" w:sz="0" w:space="0" w:color="auto"/>
                        <w:left w:val="none" w:sz="0" w:space="0" w:color="auto"/>
                        <w:bottom w:val="none" w:sz="0" w:space="0" w:color="auto"/>
                        <w:right w:val="none" w:sz="0" w:space="0" w:color="auto"/>
                      </w:divBdr>
                    </w:div>
                  </w:divsChild>
                </w:div>
                <w:div w:id="379286313">
                  <w:marLeft w:val="0"/>
                  <w:marRight w:val="0"/>
                  <w:marTop w:val="0"/>
                  <w:marBottom w:val="0"/>
                  <w:divBdr>
                    <w:top w:val="none" w:sz="0" w:space="0" w:color="auto"/>
                    <w:left w:val="none" w:sz="0" w:space="0" w:color="auto"/>
                    <w:bottom w:val="none" w:sz="0" w:space="0" w:color="auto"/>
                    <w:right w:val="none" w:sz="0" w:space="0" w:color="auto"/>
                  </w:divBdr>
                  <w:divsChild>
                    <w:div w:id="1768191979">
                      <w:marLeft w:val="0"/>
                      <w:marRight w:val="0"/>
                      <w:marTop w:val="0"/>
                      <w:marBottom w:val="0"/>
                      <w:divBdr>
                        <w:top w:val="none" w:sz="0" w:space="0" w:color="auto"/>
                        <w:left w:val="none" w:sz="0" w:space="0" w:color="auto"/>
                        <w:bottom w:val="none" w:sz="0" w:space="0" w:color="auto"/>
                        <w:right w:val="none" w:sz="0" w:space="0" w:color="auto"/>
                      </w:divBdr>
                    </w:div>
                  </w:divsChild>
                </w:div>
                <w:div w:id="405735678">
                  <w:marLeft w:val="0"/>
                  <w:marRight w:val="0"/>
                  <w:marTop w:val="0"/>
                  <w:marBottom w:val="0"/>
                  <w:divBdr>
                    <w:top w:val="none" w:sz="0" w:space="0" w:color="auto"/>
                    <w:left w:val="none" w:sz="0" w:space="0" w:color="auto"/>
                    <w:bottom w:val="none" w:sz="0" w:space="0" w:color="auto"/>
                    <w:right w:val="none" w:sz="0" w:space="0" w:color="auto"/>
                  </w:divBdr>
                  <w:divsChild>
                    <w:div w:id="842554658">
                      <w:marLeft w:val="0"/>
                      <w:marRight w:val="0"/>
                      <w:marTop w:val="0"/>
                      <w:marBottom w:val="0"/>
                      <w:divBdr>
                        <w:top w:val="none" w:sz="0" w:space="0" w:color="auto"/>
                        <w:left w:val="none" w:sz="0" w:space="0" w:color="auto"/>
                        <w:bottom w:val="none" w:sz="0" w:space="0" w:color="auto"/>
                        <w:right w:val="none" w:sz="0" w:space="0" w:color="auto"/>
                      </w:divBdr>
                    </w:div>
                  </w:divsChild>
                </w:div>
                <w:div w:id="441457491">
                  <w:marLeft w:val="0"/>
                  <w:marRight w:val="0"/>
                  <w:marTop w:val="0"/>
                  <w:marBottom w:val="0"/>
                  <w:divBdr>
                    <w:top w:val="none" w:sz="0" w:space="0" w:color="auto"/>
                    <w:left w:val="none" w:sz="0" w:space="0" w:color="auto"/>
                    <w:bottom w:val="none" w:sz="0" w:space="0" w:color="auto"/>
                    <w:right w:val="none" w:sz="0" w:space="0" w:color="auto"/>
                  </w:divBdr>
                  <w:divsChild>
                    <w:div w:id="281767551">
                      <w:marLeft w:val="0"/>
                      <w:marRight w:val="0"/>
                      <w:marTop w:val="0"/>
                      <w:marBottom w:val="0"/>
                      <w:divBdr>
                        <w:top w:val="none" w:sz="0" w:space="0" w:color="auto"/>
                        <w:left w:val="none" w:sz="0" w:space="0" w:color="auto"/>
                        <w:bottom w:val="none" w:sz="0" w:space="0" w:color="auto"/>
                        <w:right w:val="none" w:sz="0" w:space="0" w:color="auto"/>
                      </w:divBdr>
                    </w:div>
                  </w:divsChild>
                </w:div>
                <w:div w:id="457921792">
                  <w:marLeft w:val="0"/>
                  <w:marRight w:val="0"/>
                  <w:marTop w:val="0"/>
                  <w:marBottom w:val="0"/>
                  <w:divBdr>
                    <w:top w:val="none" w:sz="0" w:space="0" w:color="auto"/>
                    <w:left w:val="none" w:sz="0" w:space="0" w:color="auto"/>
                    <w:bottom w:val="none" w:sz="0" w:space="0" w:color="auto"/>
                    <w:right w:val="none" w:sz="0" w:space="0" w:color="auto"/>
                  </w:divBdr>
                  <w:divsChild>
                    <w:div w:id="1945109845">
                      <w:marLeft w:val="0"/>
                      <w:marRight w:val="0"/>
                      <w:marTop w:val="0"/>
                      <w:marBottom w:val="0"/>
                      <w:divBdr>
                        <w:top w:val="none" w:sz="0" w:space="0" w:color="auto"/>
                        <w:left w:val="none" w:sz="0" w:space="0" w:color="auto"/>
                        <w:bottom w:val="none" w:sz="0" w:space="0" w:color="auto"/>
                        <w:right w:val="none" w:sz="0" w:space="0" w:color="auto"/>
                      </w:divBdr>
                    </w:div>
                  </w:divsChild>
                </w:div>
                <w:div w:id="488636936">
                  <w:marLeft w:val="0"/>
                  <w:marRight w:val="0"/>
                  <w:marTop w:val="0"/>
                  <w:marBottom w:val="0"/>
                  <w:divBdr>
                    <w:top w:val="none" w:sz="0" w:space="0" w:color="auto"/>
                    <w:left w:val="none" w:sz="0" w:space="0" w:color="auto"/>
                    <w:bottom w:val="none" w:sz="0" w:space="0" w:color="auto"/>
                    <w:right w:val="none" w:sz="0" w:space="0" w:color="auto"/>
                  </w:divBdr>
                  <w:divsChild>
                    <w:div w:id="787893564">
                      <w:marLeft w:val="0"/>
                      <w:marRight w:val="0"/>
                      <w:marTop w:val="0"/>
                      <w:marBottom w:val="0"/>
                      <w:divBdr>
                        <w:top w:val="none" w:sz="0" w:space="0" w:color="auto"/>
                        <w:left w:val="none" w:sz="0" w:space="0" w:color="auto"/>
                        <w:bottom w:val="none" w:sz="0" w:space="0" w:color="auto"/>
                        <w:right w:val="none" w:sz="0" w:space="0" w:color="auto"/>
                      </w:divBdr>
                    </w:div>
                  </w:divsChild>
                </w:div>
                <w:div w:id="548999733">
                  <w:marLeft w:val="0"/>
                  <w:marRight w:val="0"/>
                  <w:marTop w:val="0"/>
                  <w:marBottom w:val="0"/>
                  <w:divBdr>
                    <w:top w:val="none" w:sz="0" w:space="0" w:color="auto"/>
                    <w:left w:val="none" w:sz="0" w:space="0" w:color="auto"/>
                    <w:bottom w:val="none" w:sz="0" w:space="0" w:color="auto"/>
                    <w:right w:val="none" w:sz="0" w:space="0" w:color="auto"/>
                  </w:divBdr>
                  <w:divsChild>
                    <w:div w:id="1434473555">
                      <w:marLeft w:val="0"/>
                      <w:marRight w:val="0"/>
                      <w:marTop w:val="0"/>
                      <w:marBottom w:val="0"/>
                      <w:divBdr>
                        <w:top w:val="none" w:sz="0" w:space="0" w:color="auto"/>
                        <w:left w:val="none" w:sz="0" w:space="0" w:color="auto"/>
                        <w:bottom w:val="none" w:sz="0" w:space="0" w:color="auto"/>
                        <w:right w:val="none" w:sz="0" w:space="0" w:color="auto"/>
                      </w:divBdr>
                    </w:div>
                  </w:divsChild>
                </w:div>
                <w:div w:id="612442092">
                  <w:marLeft w:val="0"/>
                  <w:marRight w:val="0"/>
                  <w:marTop w:val="0"/>
                  <w:marBottom w:val="0"/>
                  <w:divBdr>
                    <w:top w:val="none" w:sz="0" w:space="0" w:color="auto"/>
                    <w:left w:val="none" w:sz="0" w:space="0" w:color="auto"/>
                    <w:bottom w:val="none" w:sz="0" w:space="0" w:color="auto"/>
                    <w:right w:val="none" w:sz="0" w:space="0" w:color="auto"/>
                  </w:divBdr>
                  <w:divsChild>
                    <w:div w:id="1490512984">
                      <w:marLeft w:val="0"/>
                      <w:marRight w:val="0"/>
                      <w:marTop w:val="0"/>
                      <w:marBottom w:val="0"/>
                      <w:divBdr>
                        <w:top w:val="none" w:sz="0" w:space="0" w:color="auto"/>
                        <w:left w:val="none" w:sz="0" w:space="0" w:color="auto"/>
                        <w:bottom w:val="none" w:sz="0" w:space="0" w:color="auto"/>
                        <w:right w:val="none" w:sz="0" w:space="0" w:color="auto"/>
                      </w:divBdr>
                    </w:div>
                  </w:divsChild>
                </w:div>
                <w:div w:id="614210277">
                  <w:marLeft w:val="0"/>
                  <w:marRight w:val="0"/>
                  <w:marTop w:val="0"/>
                  <w:marBottom w:val="0"/>
                  <w:divBdr>
                    <w:top w:val="none" w:sz="0" w:space="0" w:color="auto"/>
                    <w:left w:val="none" w:sz="0" w:space="0" w:color="auto"/>
                    <w:bottom w:val="none" w:sz="0" w:space="0" w:color="auto"/>
                    <w:right w:val="none" w:sz="0" w:space="0" w:color="auto"/>
                  </w:divBdr>
                  <w:divsChild>
                    <w:div w:id="234049696">
                      <w:marLeft w:val="0"/>
                      <w:marRight w:val="0"/>
                      <w:marTop w:val="0"/>
                      <w:marBottom w:val="0"/>
                      <w:divBdr>
                        <w:top w:val="none" w:sz="0" w:space="0" w:color="auto"/>
                        <w:left w:val="none" w:sz="0" w:space="0" w:color="auto"/>
                        <w:bottom w:val="none" w:sz="0" w:space="0" w:color="auto"/>
                        <w:right w:val="none" w:sz="0" w:space="0" w:color="auto"/>
                      </w:divBdr>
                    </w:div>
                  </w:divsChild>
                </w:div>
                <w:div w:id="663432606">
                  <w:marLeft w:val="0"/>
                  <w:marRight w:val="0"/>
                  <w:marTop w:val="0"/>
                  <w:marBottom w:val="0"/>
                  <w:divBdr>
                    <w:top w:val="none" w:sz="0" w:space="0" w:color="auto"/>
                    <w:left w:val="none" w:sz="0" w:space="0" w:color="auto"/>
                    <w:bottom w:val="none" w:sz="0" w:space="0" w:color="auto"/>
                    <w:right w:val="none" w:sz="0" w:space="0" w:color="auto"/>
                  </w:divBdr>
                  <w:divsChild>
                    <w:div w:id="2014645980">
                      <w:marLeft w:val="0"/>
                      <w:marRight w:val="0"/>
                      <w:marTop w:val="0"/>
                      <w:marBottom w:val="0"/>
                      <w:divBdr>
                        <w:top w:val="none" w:sz="0" w:space="0" w:color="auto"/>
                        <w:left w:val="none" w:sz="0" w:space="0" w:color="auto"/>
                        <w:bottom w:val="none" w:sz="0" w:space="0" w:color="auto"/>
                        <w:right w:val="none" w:sz="0" w:space="0" w:color="auto"/>
                      </w:divBdr>
                    </w:div>
                  </w:divsChild>
                </w:div>
                <w:div w:id="735906739">
                  <w:marLeft w:val="0"/>
                  <w:marRight w:val="0"/>
                  <w:marTop w:val="0"/>
                  <w:marBottom w:val="0"/>
                  <w:divBdr>
                    <w:top w:val="none" w:sz="0" w:space="0" w:color="auto"/>
                    <w:left w:val="none" w:sz="0" w:space="0" w:color="auto"/>
                    <w:bottom w:val="none" w:sz="0" w:space="0" w:color="auto"/>
                    <w:right w:val="none" w:sz="0" w:space="0" w:color="auto"/>
                  </w:divBdr>
                  <w:divsChild>
                    <w:div w:id="541359678">
                      <w:marLeft w:val="0"/>
                      <w:marRight w:val="0"/>
                      <w:marTop w:val="0"/>
                      <w:marBottom w:val="0"/>
                      <w:divBdr>
                        <w:top w:val="none" w:sz="0" w:space="0" w:color="auto"/>
                        <w:left w:val="none" w:sz="0" w:space="0" w:color="auto"/>
                        <w:bottom w:val="none" w:sz="0" w:space="0" w:color="auto"/>
                        <w:right w:val="none" w:sz="0" w:space="0" w:color="auto"/>
                      </w:divBdr>
                    </w:div>
                  </w:divsChild>
                </w:div>
                <w:div w:id="752624501">
                  <w:marLeft w:val="0"/>
                  <w:marRight w:val="0"/>
                  <w:marTop w:val="0"/>
                  <w:marBottom w:val="0"/>
                  <w:divBdr>
                    <w:top w:val="none" w:sz="0" w:space="0" w:color="auto"/>
                    <w:left w:val="none" w:sz="0" w:space="0" w:color="auto"/>
                    <w:bottom w:val="none" w:sz="0" w:space="0" w:color="auto"/>
                    <w:right w:val="none" w:sz="0" w:space="0" w:color="auto"/>
                  </w:divBdr>
                  <w:divsChild>
                    <w:div w:id="1304391435">
                      <w:marLeft w:val="0"/>
                      <w:marRight w:val="0"/>
                      <w:marTop w:val="0"/>
                      <w:marBottom w:val="0"/>
                      <w:divBdr>
                        <w:top w:val="none" w:sz="0" w:space="0" w:color="auto"/>
                        <w:left w:val="none" w:sz="0" w:space="0" w:color="auto"/>
                        <w:bottom w:val="none" w:sz="0" w:space="0" w:color="auto"/>
                        <w:right w:val="none" w:sz="0" w:space="0" w:color="auto"/>
                      </w:divBdr>
                    </w:div>
                  </w:divsChild>
                </w:div>
                <w:div w:id="785734268">
                  <w:marLeft w:val="0"/>
                  <w:marRight w:val="0"/>
                  <w:marTop w:val="0"/>
                  <w:marBottom w:val="0"/>
                  <w:divBdr>
                    <w:top w:val="none" w:sz="0" w:space="0" w:color="auto"/>
                    <w:left w:val="none" w:sz="0" w:space="0" w:color="auto"/>
                    <w:bottom w:val="none" w:sz="0" w:space="0" w:color="auto"/>
                    <w:right w:val="none" w:sz="0" w:space="0" w:color="auto"/>
                  </w:divBdr>
                  <w:divsChild>
                    <w:div w:id="998924262">
                      <w:marLeft w:val="0"/>
                      <w:marRight w:val="0"/>
                      <w:marTop w:val="0"/>
                      <w:marBottom w:val="0"/>
                      <w:divBdr>
                        <w:top w:val="none" w:sz="0" w:space="0" w:color="auto"/>
                        <w:left w:val="none" w:sz="0" w:space="0" w:color="auto"/>
                        <w:bottom w:val="none" w:sz="0" w:space="0" w:color="auto"/>
                        <w:right w:val="none" w:sz="0" w:space="0" w:color="auto"/>
                      </w:divBdr>
                    </w:div>
                  </w:divsChild>
                </w:div>
                <w:div w:id="819275073">
                  <w:marLeft w:val="0"/>
                  <w:marRight w:val="0"/>
                  <w:marTop w:val="0"/>
                  <w:marBottom w:val="0"/>
                  <w:divBdr>
                    <w:top w:val="none" w:sz="0" w:space="0" w:color="auto"/>
                    <w:left w:val="none" w:sz="0" w:space="0" w:color="auto"/>
                    <w:bottom w:val="none" w:sz="0" w:space="0" w:color="auto"/>
                    <w:right w:val="none" w:sz="0" w:space="0" w:color="auto"/>
                  </w:divBdr>
                  <w:divsChild>
                    <w:div w:id="1477141085">
                      <w:marLeft w:val="0"/>
                      <w:marRight w:val="0"/>
                      <w:marTop w:val="0"/>
                      <w:marBottom w:val="0"/>
                      <w:divBdr>
                        <w:top w:val="none" w:sz="0" w:space="0" w:color="auto"/>
                        <w:left w:val="none" w:sz="0" w:space="0" w:color="auto"/>
                        <w:bottom w:val="none" w:sz="0" w:space="0" w:color="auto"/>
                        <w:right w:val="none" w:sz="0" w:space="0" w:color="auto"/>
                      </w:divBdr>
                    </w:div>
                  </w:divsChild>
                </w:div>
                <w:div w:id="828861377">
                  <w:marLeft w:val="0"/>
                  <w:marRight w:val="0"/>
                  <w:marTop w:val="0"/>
                  <w:marBottom w:val="0"/>
                  <w:divBdr>
                    <w:top w:val="none" w:sz="0" w:space="0" w:color="auto"/>
                    <w:left w:val="none" w:sz="0" w:space="0" w:color="auto"/>
                    <w:bottom w:val="none" w:sz="0" w:space="0" w:color="auto"/>
                    <w:right w:val="none" w:sz="0" w:space="0" w:color="auto"/>
                  </w:divBdr>
                  <w:divsChild>
                    <w:div w:id="900410392">
                      <w:marLeft w:val="0"/>
                      <w:marRight w:val="0"/>
                      <w:marTop w:val="0"/>
                      <w:marBottom w:val="0"/>
                      <w:divBdr>
                        <w:top w:val="none" w:sz="0" w:space="0" w:color="auto"/>
                        <w:left w:val="none" w:sz="0" w:space="0" w:color="auto"/>
                        <w:bottom w:val="none" w:sz="0" w:space="0" w:color="auto"/>
                        <w:right w:val="none" w:sz="0" w:space="0" w:color="auto"/>
                      </w:divBdr>
                    </w:div>
                  </w:divsChild>
                </w:div>
                <w:div w:id="831871259">
                  <w:marLeft w:val="0"/>
                  <w:marRight w:val="0"/>
                  <w:marTop w:val="0"/>
                  <w:marBottom w:val="0"/>
                  <w:divBdr>
                    <w:top w:val="none" w:sz="0" w:space="0" w:color="auto"/>
                    <w:left w:val="none" w:sz="0" w:space="0" w:color="auto"/>
                    <w:bottom w:val="none" w:sz="0" w:space="0" w:color="auto"/>
                    <w:right w:val="none" w:sz="0" w:space="0" w:color="auto"/>
                  </w:divBdr>
                  <w:divsChild>
                    <w:div w:id="259532090">
                      <w:marLeft w:val="0"/>
                      <w:marRight w:val="0"/>
                      <w:marTop w:val="0"/>
                      <w:marBottom w:val="0"/>
                      <w:divBdr>
                        <w:top w:val="none" w:sz="0" w:space="0" w:color="auto"/>
                        <w:left w:val="none" w:sz="0" w:space="0" w:color="auto"/>
                        <w:bottom w:val="none" w:sz="0" w:space="0" w:color="auto"/>
                        <w:right w:val="none" w:sz="0" w:space="0" w:color="auto"/>
                      </w:divBdr>
                    </w:div>
                  </w:divsChild>
                </w:div>
                <w:div w:id="854882731">
                  <w:marLeft w:val="0"/>
                  <w:marRight w:val="0"/>
                  <w:marTop w:val="0"/>
                  <w:marBottom w:val="0"/>
                  <w:divBdr>
                    <w:top w:val="none" w:sz="0" w:space="0" w:color="auto"/>
                    <w:left w:val="none" w:sz="0" w:space="0" w:color="auto"/>
                    <w:bottom w:val="none" w:sz="0" w:space="0" w:color="auto"/>
                    <w:right w:val="none" w:sz="0" w:space="0" w:color="auto"/>
                  </w:divBdr>
                  <w:divsChild>
                    <w:div w:id="1309244910">
                      <w:marLeft w:val="0"/>
                      <w:marRight w:val="0"/>
                      <w:marTop w:val="0"/>
                      <w:marBottom w:val="0"/>
                      <w:divBdr>
                        <w:top w:val="none" w:sz="0" w:space="0" w:color="auto"/>
                        <w:left w:val="none" w:sz="0" w:space="0" w:color="auto"/>
                        <w:bottom w:val="none" w:sz="0" w:space="0" w:color="auto"/>
                        <w:right w:val="none" w:sz="0" w:space="0" w:color="auto"/>
                      </w:divBdr>
                    </w:div>
                  </w:divsChild>
                </w:div>
                <w:div w:id="872117493">
                  <w:marLeft w:val="0"/>
                  <w:marRight w:val="0"/>
                  <w:marTop w:val="0"/>
                  <w:marBottom w:val="0"/>
                  <w:divBdr>
                    <w:top w:val="none" w:sz="0" w:space="0" w:color="auto"/>
                    <w:left w:val="none" w:sz="0" w:space="0" w:color="auto"/>
                    <w:bottom w:val="none" w:sz="0" w:space="0" w:color="auto"/>
                    <w:right w:val="none" w:sz="0" w:space="0" w:color="auto"/>
                  </w:divBdr>
                  <w:divsChild>
                    <w:div w:id="978219624">
                      <w:marLeft w:val="0"/>
                      <w:marRight w:val="0"/>
                      <w:marTop w:val="0"/>
                      <w:marBottom w:val="0"/>
                      <w:divBdr>
                        <w:top w:val="none" w:sz="0" w:space="0" w:color="auto"/>
                        <w:left w:val="none" w:sz="0" w:space="0" w:color="auto"/>
                        <w:bottom w:val="none" w:sz="0" w:space="0" w:color="auto"/>
                        <w:right w:val="none" w:sz="0" w:space="0" w:color="auto"/>
                      </w:divBdr>
                    </w:div>
                  </w:divsChild>
                </w:div>
                <w:div w:id="894046229">
                  <w:marLeft w:val="0"/>
                  <w:marRight w:val="0"/>
                  <w:marTop w:val="0"/>
                  <w:marBottom w:val="0"/>
                  <w:divBdr>
                    <w:top w:val="none" w:sz="0" w:space="0" w:color="auto"/>
                    <w:left w:val="none" w:sz="0" w:space="0" w:color="auto"/>
                    <w:bottom w:val="none" w:sz="0" w:space="0" w:color="auto"/>
                    <w:right w:val="none" w:sz="0" w:space="0" w:color="auto"/>
                  </w:divBdr>
                  <w:divsChild>
                    <w:div w:id="832530224">
                      <w:marLeft w:val="0"/>
                      <w:marRight w:val="0"/>
                      <w:marTop w:val="0"/>
                      <w:marBottom w:val="0"/>
                      <w:divBdr>
                        <w:top w:val="none" w:sz="0" w:space="0" w:color="auto"/>
                        <w:left w:val="none" w:sz="0" w:space="0" w:color="auto"/>
                        <w:bottom w:val="none" w:sz="0" w:space="0" w:color="auto"/>
                        <w:right w:val="none" w:sz="0" w:space="0" w:color="auto"/>
                      </w:divBdr>
                    </w:div>
                  </w:divsChild>
                </w:div>
                <w:div w:id="909312711">
                  <w:marLeft w:val="0"/>
                  <w:marRight w:val="0"/>
                  <w:marTop w:val="0"/>
                  <w:marBottom w:val="0"/>
                  <w:divBdr>
                    <w:top w:val="none" w:sz="0" w:space="0" w:color="auto"/>
                    <w:left w:val="none" w:sz="0" w:space="0" w:color="auto"/>
                    <w:bottom w:val="none" w:sz="0" w:space="0" w:color="auto"/>
                    <w:right w:val="none" w:sz="0" w:space="0" w:color="auto"/>
                  </w:divBdr>
                  <w:divsChild>
                    <w:div w:id="288821400">
                      <w:marLeft w:val="0"/>
                      <w:marRight w:val="0"/>
                      <w:marTop w:val="0"/>
                      <w:marBottom w:val="0"/>
                      <w:divBdr>
                        <w:top w:val="none" w:sz="0" w:space="0" w:color="auto"/>
                        <w:left w:val="none" w:sz="0" w:space="0" w:color="auto"/>
                        <w:bottom w:val="none" w:sz="0" w:space="0" w:color="auto"/>
                        <w:right w:val="none" w:sz="0" w:space="0" w:color="auto"/>
                      </w:divBdr>
                    </w:div>
                  </w:divsChild>
                </w:div>
                <w:div w:id="920065912">
                  <w:marLeft w:val="0"/>
                  <w:marRight w:val="0"/>
                  <w:marTop w:val="0"/>
                  <w:marBottom w:val="0"/>
                  <w:divBdr>
                    <w:top w:val="none" w:sz="0" w:space="0" w:color="auto"/>
                    <w:left w:val="none" w:sz="0" w:space="0" w:color="auto"/>
                    <w:bottom w:val="none" w:sz="0" w:space="0" w:color="auto"/>
                    <w:right w:val="none" w:sz="0" w:space="0" w:color="auto"/>
                  </w:divBdr>
                  <w:divsChild>
                    <w:div w:id="1269922933">
                      <w:marLeft w:val="0"/>
                      <w:marRight w:val="0"/>
                      <w:marTop w:val="0"/>
                      <w:marBottom w:val="0"/>
                      <w:divBdr>
                        <w:top w:val="none" w:sz="0" w:space="0" w:color="auto"/>
                        <w:left w:val="none" w:sz="0" w:space="0" w:color="auto"/>
                        <w:bottom w:val="none" w:sz="0" w:space="0" w:color="auto"/>
                        <w:right w:val="none" w:sz="0" w:space="0" w:color="auto"/>
                      </w:divBdr>
                    </w:div>
                  </w:divsChild>
                </w:div>
                <w:div w:id="1066148976">
                  <w:marLeft w:val="0"/>
                  <w:marRight w:val="0"/>
                  <w:marTop w:val="0"/>
                  <w:marBottom w:val="0"/>
                  <w:divBdr>
                    <w:top w:val="none" w:sz="0" w:space="0" w:color="auto"/>
                    <w:left w:val="none" w:sz="0" w:space="0" w:color="auto"/>
                    <w:bottom w:val="none" w:sz="0" w:space="0" w:color="auto"/>
                    <w:right w:val="none" w:sz="0" w:space="0" w:color="auto"/>
                  </w:divBdr>
                  <w:divsChild>
                    <w:div w:id="67116369">
                      <w:marLeft w:val="0"/>
                      <w:marRight w:val="0"/>
                      <w:marTop w:val="0"/>
                      <w:marBottom w:val="0"/>
                      <w:divBdr>
                        <w:top w:val="none" w:sz="0" w:space="0" w:color="auto"/>
                        <w:left w:val="none" w:sz="0" w:space="0" w:color="auto"/>
                        <w:bottom w:val="none" w:sz="0" w:space="0" w:color="auto"/>
                        <w:right w:val="none" w:sz="0" w:space="0" w:color="auto"/>
                      </w:divBdr>
                    </w:div>
                  </w:divsChild>
                </w:div>
                <w:div w:id="1074931321">
                  <w:marLeft w:val="0"/>
                  <w:marRight w:val="0"/>
                  <w:marTop w:val="0"/>
                  <w:marBottom w:val="0"/>
                  <w:divBdr>
                    <w:top w:val="none" w:sz="0" w:space="0" w:color="auto"/>
                    <w:left w:val="none" w:sz="0" w:space="0" w:color="auto"/>
                    <w:bottom w:val="none" w:sz="0" w:space="0" w:color="auto"/>
                    <w:right w:val="none" w:sz="0" w:space="0" w:color="auto"/>
                  </w:divBdr>
                  <w:divsChild>
                    <w:div w:id="1586844256">
                      <w:marLeft w:val="0"/>
                      <w:marRight w:val="0"/>
                      <w:marTop w:val="0"/>
                      <w:marBottom w:val="0"/>
                      <w:divBdr>
                        <w:top w:val="none" w:sz="0" w:space="0" w:color="auto"/>
                        <w:left w:val="none" w:sz="0" w:space="0" w:color="auto"/>
                        <w:bottom w:val="none" w:sz="0" w:space="0" w:color="auto"/>
                        <w:right w:val="none" w:sz="0" w:space="0" w:color="auto"/>
                      </w:divBdr>
                    </w:div>
                  </w:divsChild>
                </w:div>
                <w:div w:id="1177887147">
                  <w:marLeft w:val="0"/>
                  <w:marRight w:val="0"/>
                  <w:marTop w:val="0"/>
                  <w:marBottom w:val="0"/>
                  <w:divBdr>
                    <w:top w:val="none" w:sz="0" w:space="0" w:color="auto"/>
                    <w:left w:val="none" w:sz="0" w:space="0" w:color="auto"/>
                    <w:bottom w:val="none" w:sz="0" w:space="0" w:color="auto"/>
                    <w:right w:val="none" w:sz="0" w:space="0" w:color="auto"/>
                  </w:divBdr>
                  <w:divsChild>
                    <w:div w:id="1586496494">
                      <w:marLeft w:val="0"/>
                      <w:marRight w:val="0"/>
                      <w:marTop w:val="0"/>
                      <w:marBottom w:val="0"/>
                      <w:divBdr>
                        <w:top w:val="none" w:sz="0" w:space="0" w:color="auto"/>
                        <w:left w:val="none" w:sz="0" w:space="0" w:color="auto"/>
                        <w:bottom w:val="none" w:sz="0" w:space="0" w:color="auto"/>
                        <w:right w:val="none" w:sz="0" w:space="0" w:color="auto"/>
                      </w:divBdr>
                    </w:div>
                  </w:divsChild>
                </w:div>
                <w:div w:id="1268580356">
                  <w:marLeft w:val="0"/>
                  <w:marRight w:val="0"/>
                  <w:marTop w:val="0"/>
                  <w:marBottom w:val="0"/>
                  <w:divBdr>
                    <w:top w:val="none" w:sz="0" w:space="0" w:color="auto"/>
                    <w:left w:val="none" w:sz="0" w:space="0" w:color="auto"/>
                    <w:bottom w:val="none" w:sz="0" w:space="0" w:color="auto"/>
                    <w:right w:val="none" w:sz="0" w:space="0" w:color="auto"/>
                  </w:divBdr>
                  <w:divsChild>
                    <w:div w:id="1649633219">
                      <w:marLeft w:val="0"/>
                      <w:marRight w:val="0"/>
                      <w:marTop w:val="0"/>
                      <w:marBottom w:val="0"/>
                      <w:divBdr>
                        <w:top w:val="none" w:sz="0" w:space="0" w:color="auto"/>
                        <w:left w:val="none" w:sz="0" w:space="0" w:color="auto"/>
                        <w:bottom w:val="none" w:sz="0" w:space="0" w:color="auto"/>
                        <w:right w:val="none" w:sz="0" w:space="0" w:color="auto"/>
                      </w:divBdr>
                    </w:div>
                  </w:divsChild>
                </w:div>
                <w:div w:id="1282146824">
                  <w:marLeft w:val="0"/>
                  <w:marRight w:val="0"/>
                  <w:marTop w:val="0"/>
                  <w:marBottom w:val="0"/>
                  <w:divBdr>
                    <w:top w:val="none" w:sz="0" w:space="0" w:color="auto"/>
                    <w:left w:val="none" w:sz="0" w:space="0" w:color="auto"/>
                    <w:bottom w:val="none" w:sz="0" w:space="0" w:color="auto"/>
                    <w:right w:val="none" w:sz="0" w:space="0" w:color="auto"/>
                  </w:divBdr>
                  <w:divsChild>
                    <w:div w:id="1774857341">
                      <w:marLeft w:val="0"/>
                      <w:marRight w:val="0"/>
                      <w:marTop w:val="0"/>
                      <w:marBottom w:val="0"/>
                      <w:divBdr>
                        <w:top w:val="none" w:sz="0" w:space="0" w:color="auto"/>
                        <w:left w:val="none" w:sz="0" w:space="0" w:color="auto"/>
                        <w:bottom w:val="none" w:sz="0" w:space="0" w:color="auto"/>
                        <w:right w:val="none" w:sz="0" w:space="0" w:color="auto"/>
                      </w:divBdr>
                    </w:div>
                  </w:divsChild>
                </w:div>
                <w:div w:id="1292443097">
                  <w:marLeft w:val="0"/>
                  <w:marRight w:val="0"/>
                  <w:marTop w:val="0"/>
                  <w:marBottom w:val="0"/>
                  <w:divBdr>
                    <w:top w:val="none" w:sz="0" w:space="0" w:color="auto"/>
                    <w:left w:val="none" w:sz="0" w:space="0" w:color="auto"/>
                    <w:bottom w:val="none" w:sz="0" w:space="0" w:color="auto"/>
                    <w:right w:val="none" w:sz="0" w:space="0" w:color="auto"/>
                  </w:divBdr>
                  <w:divsChild>
                    <w:div w:id="1196574103">
                      <w:marLeft w:val="0"/>
                      <w:marRight w:val="0"/>
                      <w:marTop w:val="0"/>
                      <w:marBottom w:val="0"/>
                      <w:divBdr>
                        <w:top w:val="none" w:sz="0" w:space="0" w:color="auto"/>
                        <w:left w:val="none" w:sz="0" w:space="0" w:color="auto"/>
                        <w:bottom w:val="none" w:sz="0" w:space="0" w:color="auto"/>
                        <w:right w:val="none" w:sz="0" w:space="0" w:color="auto"/>
                      </w:divBdr>
                    </w:div>
                  </w:divsChild>
                </w:div>
                <w:div w:id="1367177544">
                  <w:marLeft w:val="0"/>
                  <w:marRight w:val="0"/>
                  <w:marTop w:val="0"/>
                  <w:marBottom w:val="0"/>
                  <w:divBdr>
                    <w:top w:val="none" w:sz="0" w:space="0" w:color="auto"/>
                    <w:left w:val="none" w:sz="0" w:space="0" w:color="auto"/>
                    <w:bottom w:val="none" w:sz="0" w:space="0" w:color="auto"/>
                    <w:right w:val="none" w:sz="0" w:space="0" w:color="auto"/>
                  </w:divBdr>
                  <w:divsChild>
                    <w:div w:id="1101409679">
                      <w:marLeft w:val="0"/>
                      <w:marRight w:val="0"/>
                      <w:marTop w:val="0"/>
                      <w:marBottom w:val="0"/>
                      <w:divBdr>
                        <w:top w:val="none" w:sz="0" w:space="0" w:color="auto"/>
                        <w:left w:val="none" w:sz="0" w:space="0" w:color="auto"/>
                        <w:bottom w:val="none" w:sz="0" w:space="0" w:color="auto"/>
                        <w:right w:val="none" w:sz="0" w:space="0" w:color="auto"/>
                      </w:divBdr>
                    </w:div>
                  </w:divsChild>
                </w:div>
                <w:div w:id="1407650569">
                  <w:marLeft w:val="0"/>
                  <w:marRight w:val="0"/>
                  <w:marTop w:val="0"/>
                  <w:marBottom w:val="0"/>
                  <w:divBdr>
                    <w:top w:val="none" w:sz="0" w:space="0" w:color="auto"/>
                    <w:left w:val="none" w:sz="0" w:space="0" w:color="auto"/>
                    <w:bottom w:val="none" w:sz="0" w:space="0" w:color="auto"/>
                    <w:right w:val="none" w:sz="0" w:space="0" w:color="auto"/>
                  </w:divBdr>
                  <w:divsChild>
                    <w:div w:id="748119106">
                      <w:marLeft w:val="0"/>
                      <w:marRight w:val="0"/>
                      <w:marTop w:val="0"/>
                      <w:marBottom w:val="0"/>
                      <w:divBdr>
                        <w:top w:val="none" w:sz="0" w:space="0" w:color="auto"/>
                        <w:left w:val="none" w:sz="0" w:space="0" w:color="auto"/>
                        <w:bottom w:val="none" w:sz="0" w:space="0" w:color="auto"/>
                        <w:right w:val="none" w:sz="0" w:space="0" w:color="auto"/>
                      </w:divBdr>
                    </w:div>
                  </w:divsChild>
                </w:div>
                <w:div w:id="1445266275">
                  <w:marLeft w:val="0"/>
                  <w:marRight w:val="0"/>
                  <w:marTop w:val="0"/>
                  <w:marBottom w:val="0"/>
                  <w:divBdr>
                    <w:top w:val="none" w:sz="0" w:space="0" w:color="auto"/>
                    <w:left w:val="none" w:sz="0" w:space="0" w:color="auto"/>
                    <w:bottom w:val="none" w:sz="0" w:space="0" w:color="auto"/>
                    <w:right w:val="none" w:sz="0" w:space="0" w:color="auto"/>
                  </w:divBdr>
                  <w:divsChild>
                    <w:div w:id="417219784">
                      <w:marLeft w:val="0"/>
                      <w:marRight w:val="0"/>
                      <w:marTop w:val="0"/>
                      <w:marBottom w:val="0"/>
                      <w:divBdr>
                        <w:top w:val="none" w:sz="0" w:space="0" w:color="auto"/>
                        <w:left w:val="none" w:sz="0" w:space="0" w:color="auto"/>
                        <w:bottom w:val="none" w:sz="0" w:space="0" w:color="auto"/>
                        <w:right w:val="none" w:sz="0" w:space="0" w:color="auto"/>
                      </w:divBdr>
                    </w:div>
                  </w:divsChild>
                </w:div>
                <w:div w:id="1472013516">
                  <w:marLeft w:val="0"/>
                  <w:marRight w:val="0"/>
                  <w:marTop w:val="0"/>
                  <w:marBottom w:val="0"/>
                  <w:divBdr>
                    <w:top w:val="none" w:sz="0" w:space="0" w:color="auto"/>
                    <w:left w:val="none" w:sz="0" w:space="0" w:color="auto"/>
                    <w:bottom w:val="none" w:sz="0" w:space="0" w:color="auto"/>
                    <w:right w:val="none" w:sz="0" w:space="0" w:color="auto"/>
                  </w:divBdr>
                  <w:divsChild>
                    <w:div w:id="647707361">
                      <w:marLeft w:val="0"/>
                      <w:marRight w:val="0"/>
                      <w:marTop w:val="0"/>
                      <w:marBottom w:val="0"/>
                      <w:divBdr>
                        <w:top w:val="none" w:sz="0" w:space="0" w:color="auto"/>
                        <w:left w:val="none" w:sz="0" w:space="0" w:color="auto"/>
                        <w:bottom w:val="none" w:sz="0" w:space="0" w:color="auto"/>
                        <w:right w:val="none" w:sz="0" w:space="0" w:color="auto"/>
                      </w:divBdr>
                    </w:div>
                  </w:divsChild>
                </w:div>
                <w:div w:id="1497301592">
                  <w:marLeft w:val="0"/>
                  <w:marRight w:val="0"/>
                  <w:marTop w:val="0"/>
                  <w:marBottom w:val="0"/>
                  <w:divBdr>
                    <w:top w:val="none" w:sz="0" w:space="0" w:color="auto"/>
                    <w:left w:val="none" w:sz="0" w:space="0" w:color="auto"/>
                    <w:bottom w:val="none" w:sz="0" w:space="0" w:color="auto"/>
                    <w:right w:val="none" w:sz="0" w:space="0" w:color="auto"/>
                  </w:divBdr>
                  <w:divsChild>
                    <w:div w:id="85542209">
                      <w:marLeft w:val="0"/>
                      <w:marRight w:val="0"/>
                      <w:marTop w:val="0"/>
                      <w:marBottom w:val="0"/>
                      <w:divBdr>
                        <w:top w:val="none" w:sz="0" w:space="0" w:color="auto"/>
                        <w:left w:val="none" w:sz="0" w:space="0" w:color="auto"/>
                        <w:bottom w:val="none" w:sz="0" w:space="0" w:color="auto"/>
                        <w:right w:val="none" w:sz="0" w:space="0" w:color="auto"/>
                      </w:divBdr>
                    </w:div>
                  </w:divsChild>
                </w:div>
                <w:div w:id="1505783138">
                  <w:marLeft w:val="0"/>
                  <w:marRight w:val="0"/>
                  <w:marTop w:val="0"/>
                  <w:marBottom w:val="0"/>
                  <w:divBdr>
                    <w:top w:val="none" w:sz="0" w:space="0" w:color="auto"/>
                    <w:left w:val="none" w:sz="0" w:space="0" w:color="auto"/>
                    <w:bottom w:val="none" w:sz="0" w:space="0" w:color="auto"/>
                    <w:right w:val="none" w:sz="0" w:space="0" w:color="auto"/>
                  </w:divBdr>
                  <w:divsChild>
                    <w:div w:id="272327616">
                      <w:marLeft w:val="0"/>
                      <w:marRight w:val="0"/>
                      <w:marTop w:val="0"/>
                      <w:marBottom w:val="0"/>
                      <w:divBdr>
                        <w:top w:val="none" w:sz="0" w:space="0" w:color="auto"/>
                        <w:left w:val="none" w:sz="0" w:space="0" w:color="auto"/>
                        <w:bottom w:val="none" w:sz="0" w:space="0" w:color="auto"/>
                        <w:right w:val="none" w:sz="0" w:space="0" w:color="auto"/>
                      </w:divBdr>
                    </w:div>
                  </w:divsChild>
                </w:div>
                <w:div w:id="1521309923">
                  <w:marLeft w:val="0"/>
                  <w:marRight w:val="0"/>
                  <w:marTop w:val="0"/>
                  <w:marBottom w:val="0"/>
                  <w:divBdr>
                    <w:top w:val="none" w:sz="0" w:space="0" w:color="auto"/>
                    <w:left w:val="none" w:sz="0" w:space="0" w:color="auto"/>
                    <w:bottom w:val="none" w:sz="0" w:space="0" w:color="auto"/>
                    <w:right w:val="none" w:sz="0" w:space="0" w:color="auto"/>
                  </w:divBdr>
                  <w:divsChild>
                    <w:div w:id="841238455">
                      <w:marLeft w:val="0"/>
                      <w:marRight w:val="0"/>
                      <w:marTop w:val="0"/>
                      <w:marBottom w:val="0"/>
                      <w:divBdr>
                        <w:top w:val="none" w:sz="0" w:space="0" w:color="auto"/>
                        <w:left w:val="none" w:sz="0" w:space="0" w:color="auto"/>
                        <w:bottom w:val="none" w:sz="0" w:space="0" w:color="auto"/>
                        <w:right w:val="none" w:sz="0" w:space="0" w:color="auto"/>
                      </w:divBdr>
                    </w:div>
                  </w:divsChild>
                </w:div>
                <w:div w:id="1649941551">
                  <w:marLeft w:val="0"/>
                  <w:marRight w:val="0"/>
                  <w:marTop w:val="0"/>
                  <w:marBottom w:val="0"/>
                  <w:divBdr>
                    <w:top w:val="none" w:sz="0" w:space="0" w:color="auto"/>
                    <w:left w:val="none" w:sz="0" w:space="0" w:color="auto"/>
                    <w:bottom w:val="none" w:sz="0" w:space="0" w:color="auto"/>
                    <w:right w:val="none" w:sz="0" w:space="0" w:color="auto"/>
                  </w:divBdr>
                  <w:divsChild>
                    <w:div w:id="45498392">
                      <w:marLeft w:val="0"/>
                      <w:marRight w:val="0"/>
                      <w:marTop w:val="0"/>
                      <w:marBottom w:val="0"/>
                      <w:divBdr>
                        <w:top w:val="none" w:sz="0" w:space="0" w:color="auto"/>
                        <w:left w:val="none" w:sz="0" w:space="0" w:color="auto"/>
                        <w:bottom w:val="none" w:sz="0" w:space="0" w:color="auto"/>
                        <w:right w:val="none" w:sz="0" w:space="0" w:color="auto"/>
                      </w:divBdr>
                    </w:div>
                  </w:divsChild>
                </w:div>
                <w:div w:id="1671567916">
                  <w:marLeft w:val="0"/>
                  <w:marRight w:val="0"/>
                  <w:marTop w:val="0"/>
                  <w:marBottom w:val="0"/>
                  <w:divBdr>
                    <w:top w:val="none" w:sz="0" w:space="0" w:color="auto"/>
                    <w:left w:val="none" w:sz="0" w:space="0" w:color="auto"/>
                    <w:bottom w:val="none" w:sz="0" w:space="0" w:color="auto"/>
                    <w:right w:val="none" w:sz="0" w:space="0" w:color="auto"/>
                  </w:divBdr>
                  <w:divsChild>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696230186">
                  <w:marLeft w:val="0"/>
                  <w:marRight w:val="0"/>
                  <w:marTop w:val="0"/>
                  <w:marBottom w:val="0"/>
                  <w:divBdr>
                    <w:top w:val="none" w:sz="0" w:space="0" w:color="auto"/>
                    <w:left w:val="none" w:sz="0" w:space="0" w:color="auto"/>
                    <w:bottom w:val="none" w:sz="0" w:space="0" w:color="auto"/>
                    <w:right w:val="none" w:sz="0" w:space="0" w:color="auto"/>
                  </w:divBdr>
                  <w:divsChild>
                    <w:div w:id="1558852601">
                      <w:marLeft w:val="0"/>
                      <w:marRight w:val="0"/>
                      <w:marTop w:val="0"/>
                      <w:marBottom w:val="0"/>
                      <w:divBdr>
                        <w:top w:val="none" w:sz="0" w:space="0" w:color="auto"/>
                        <w:left w:val="none" w:sz="0" w:space="0" w:color="auto"/>
                        <w:bottom w:val="none" w:sz="0" w:space="0" w:color="auto"/>
                        <w:right w:val="none" w:sz="0" w:space="0" w:color="auto"/>
                      </w:divBdr>
                    </w:div>
                  </w:divsChild>
                </w:div>
                <w:div w:id="1720740544">
                  <w:marLeft w:val="0"/>
                  <w:marRight w:val="0"/>
                  <w:marTop w:val="0"/>
                  <w:marBottom w:val="0"/>
                  <w:divBdr>
                    <w:top w:val="none" w:sz="0" w:space="0" w:color="auto"/>
                    <w:left w:val="none" w:sz="0" w:space="0" w:color="auto"/>
                    <w:bottom w:val="none" w:sz="0" w:space="0" w:color="auto"/>
                    <w:right w:val="none" w:sz="0" w:space="0" w:color="auto"/>
                  </w:divBdr>
                  <w:divsChild>
                    <w:div w:id="1887906268">
                      <w:marLeft w:val="0"/>
                      <w:marRight w:val="0"/>
                      <w:marTop w:val="0"/>
                      <w:marBottom w:val="0"/>
                      <w:divBdr>
                        <w:top w:val="none" w:sz="0" w:space="0" w:color="auto"/>
                        <w:left w:val="none" w:sz="0" w:space="0" w:color="auto"/>
                        <w:bottom w:val="none" w:sz="0" w:space="0" w:color="auto"/>
                        <w:right w:val="none" w:sz="0" w:space="0" w:color="auto"/>
                      </w:divBdr>
                    </w:div>
                  </w:divsChild>
                </w:div>
                <w:div w:id="1737893585">
                  <w:marLeft w:val="0"/>
                  <w:marRight w:val="0"/>
                  <w:marTop w:val="0"/>
                  <w:marBottom w:val="0"/>
                  <w:divBdr>
                    <w:top w:val="none" w:sz="0" w:space="0" w:color="auto"/>
                    <w:left w:val="none" w:sz="0" w:space="0" w:color="auto"/>
                    <w:bottom w:val="none" w:sz="0" w:space="0" w:color="auto"/>
                    <w:right w:val="none" w:sz="0" w:space="0" w:color="auto"/>
                  </w:divBdr>
                  <w:divsChild>
                    <w:div w:id="1737707648">
                      <w:marLeft w:val="0"/>
                      <w:marRight w:val="0"/>
                      <w:marTop w:val="0"/>
                      <w:marBottom w:val="0"/>
                      <w:divBdr>
                        <w:top w:val="none" w:sz="0" w:space="0" w:color="auto"/>
                        <w:left w:val="none" w:sz="0" w:space="0" w:color="auto"/>
                        <w:bottom w:val="none" w:sz="0" w:space="0" w:color="auto"/>
                        <w:right w:val="none" w:sz="0" w:space="0" w:color="auto"/>
                      </w:divBdr>
                    </w:div>
                  </w:divsChild>
                </w:div>
                <w:div w:id="1877303759">
                  <w:marLeft w:val="0"/>
                  <w:marRight w:val="0"/>
                  <w:marTop w:val="0"/>
                  <w:marBottom w:val="0"/>
                  <w:divBdr>
                    <w:top w:val="none" w:sz="0" w:space="0" w:color="auto"/>
                    <w:left w:val="none" w:sz="0" w:space="0" w:color="auto"/>
                    <w:bottom w:val="none" w:sz="0" w:space="0" w:color="auto"/>
                    <w:right w:val="none" w:sz="0" w:space="0" w:color="auto"/>
                  </w:divBdr>
                  <w:divsChild>
                    <w:div w:id="1038899229">
                      <w:marLeft w:val="0"/>
                      <w:marRight w:val="0"/>
                      <w:marTop w:val="0"/>
                      <w:marBottom w:val="0"/>
                      <w:divBdr>
                        <w:top w:val="none" w:sz="0" w:space="0" w:color="auto"/>
                        <w:left w:val="none" w:sz="0" w:space="0" w:color="auto"/>
                        <w:bottom w:val="none" w:sz="0" w:space="0" w:color="auto"/>
                        <w:right w:val="none" w:sz="0" w:space="0" w:color="auto"/>
                      </w:divBdr>
                    </w:div>
                  </w:divsChild>
                </w:div>
                <w:div w:id="1949002548">
                  <w:marLeft w:val="0"/>
                  <w:marRight w:val="0"/>
                  <w:marTop w:val="0"/>
                  <w:marBottom w:val="0"/>
                  <w:divBdr>
                    <w:top w:val="none" w:sz="0" w:space="0" w:color="auto"/>
                    <w:left w:val="none" w:sz="0" w:space="0" w:color="auto"/>
                    <w:bottom w:val="none" w:sz="0" w:space="0" w:color="auto"/>
                    <w:right w:val="none" w:sz="0" w:space="0" w:color="auto"/>
                  </w:divBdr>
                  <w:divsChild>
                    <w:div w:id="4479582">
                      <w:marLeft w:val="0"/>
                      <w:marRight w:val="0"/>
                      <w:marTop w:val="0"/>
                      <w:marBottom w:val="0"/>
                      <w:divBdr>
                        <w:top w:val="none" w:sz="0" w:space="0" w:color="auto"/>
                        <w:left w:val="none" w:sz="0" w:space="0" w:color="auto"/>
                        <w:bottom w:val="none" w:sz="0" w:space="0" w:color="auto"/>
                        <w:right w:val="none" w:sz="0" w:space="0" w:color="auto"/>
                      </w:divBdr>
                    </w:div>
                  </w:divsChild>
                </w:div>
                <w:div w:id="2000578339">
                  <w:marLeft w:val="0"/>
                  <w:marRight w:val="0"/>
                  <w:marTop w:val="0"/>
                  <w:marBottom w:val="0"/>
                  <w:divBdr>
                    <w:top w:val="none" w:sz="0" w:space="0" w:color="auto"/>
                    <w:left w:val="none" w:sz="0" w:space="0" w:color="auto"/>
                    <w:bottom w:val="none" w:sz="0" w:space="0" w:color="auto"/>
                    <w:right w:val="none" w:sz="0" w:space="0" w:color="auto"/>
                  </w:divBdr>
                  <w:divsChild>
                    <w:div w:id="293558048">
                      <w:marLeft w:val="0"/>
                      <w:marRight w:val="0"/>
                      <w:marTop w:val="0"/>
                      <w:marBottom w:val="0"/>
                      <w:divBdr>
                        <w:top w:val="none" w:sz="0" w:space="0" w:color="auto"/>
                        <w:left w:val="none" w:sz="0" w:space="0" w:color="auto"/>
                        <w:bottom w:val="none" w:sz="0" w:space="0" w:color="auto"/>
                        <w:right w:val="none" w:sz="0" w:space="0" w:color="auto"/>
                      </w:divBdr>
                    </w:div>
                  </w:divsChild>
                </w:div>
                <w:div w:id="2056923479">
                  <w:marLeft w:val="0"/>
                  <w:marRight w:val="0"/>
                  <w:marTop w:val="0"/>
                  <w:marBottom w:val="0"/>
                  <w:divBdr>
                    <w:top w:val="none" w:sz="0" w:space="0" w:color="auto"/>
                    <w:left w:val="none" w:sz="0" w:space="0" w:color="auto"/>
                    <w:bottom w:val="none" w:sz="0" w:space="0" w:color="auto"/>
                    <w:right w:val="none" w:sz="0" w:space="0" w:color="auto"/>
                  </w:divBdr>
                  <w:divsChild>
                    <w:div w:id="1387028286">
                      <w:marLeft w:val="0"/>
                      <w:marRight w:val="0"/>
                      <w:marTop w:val="0"/>
                      <w:marBottom w:val="0"/>
                      <w:divBdr>
                        <w:top w:val="none" w:sz="0" w:space="0" w:color="auto"/>
                        <w:left w:val="none" w:sz="0" w:space="0" w:color="auto"/>
                        <w:bottom w:val="none" w:sz="0" w:space="0" w:color="auto"/>
                        <w:right w:val="none" w:sz="0" w:space="0" w:color="auto"/>
                      </w:divBdr>
                    </w:div>
                  </w:divsChild>
                </w:div>
                <w:div w:id="2073044102">
                  <w:marLeft w:val="0"/>
                  <w:marRight w:val="0"/>
                  <w:marTop w:val="0"/>
                  <w:marBottom w:val="0"/>
                  <w:divBdr>
                    <w:top w:val="none" w:sz="0" w:space="0" w:color="auto"/>
                    <w:left w:val="none" w:sz="0" w:space="0" w:color="auto"/>
                    <w:bottom w:val="none" w:sz="0" w:space="0" w:color="auto"/>
                    <w:right w:val="none" w:sz="0" w:space="0" w:color="auto"/>
                  </w:divBdr>
                  <w:divsChild>
                    <w:div w:id="1800415305">
                      <w:marLeft w:val="0"/>
                      <w:marRight w:val="0"/>
                      <w:marTop w:val="0"/>
                      <w:marBottom w:val="0"/>
                      <w:divBdr>
                        <w:top w:val="none" w:sz="0" w:space="0" w:color="auto"/>
                        <w:left w:val="none" w:sz="0" w:space="0" w:color="auto"/>
                        <w:bottom w:val="none" w:sz="0" w:space="0" w:color="auto"/>
                        <w:right w:val="none" w:sz="0" w:space="0" w:color="auto"/>
                      </w:divBdr>
                    </w:div>
                  </w:divsChild>
                </w:div>
                <w:div w:id="2103454323">
                  <w:marLeft w:val="0"/>
                  <w:marRight w:val="0"/>
                  <w:marTop w:val="0"/>
                  <w:marBottom w:val="0"/>
                  <w:divBdr>
                    <w:top w:val="none" w:sz="0" w:space="0" w:color="auto"/>
                    <w:left w:val="none" w:sz="0" w:space="0" w:color="auto"/>
                    <w:bottom w:val="none" w:sz="0" w:space="0" w:color="auto"/>
                    <w:right w:val="none" w:sz="0" w:space="0" w:color="auto"/>
                  </w:divBdr>
                  <w:divsChild>
                    <w:div w:id="18695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1421">
          <w:marLeft w:val="0"/>
          <w:marRight w:val="0"/>
          <w:marTop w:val="0"/>
          <w:marBottom w:val="0"/>
          <w:divBdr>
            <w:top w:val="none" w:sz="0" w:space="0" w:color="auto"/>
            <w:left w:val="none" w:sz="0" w:space="0" w:color="auto"/>
            <w:bottom w:val="none" w:sz="0" w:space="0" w:color="auto"/>
            <w:right w:val="none" w:sz="0" w:space="0" w:color="auto"/>
          </w:divBdr>
        </w:div>
        <w:div w:id="1573737123">
          <w:marLeft w:val="0"/>
          <w:marRight w:val="0"/>
          <w:marTop w:val="0"/>
          <w:marBottom w:val="0"/>
          <w:divBdr>
            <w:top w:val="none" w:sz="0" w:space="0" w:color="auto"/>
            <w:left w:val="none" w:sz="0" w:space="0" w:color="auto"/>
            <w:bottom w:val="none" w:sz="0" w:space="0" w:color="auto"/>
            <w:right w:val="none" w:sz="0" w:space="0" w:color="auto"/>
          </w:divBdr>
        </w:div>
      </w:divsChild>
    </w:div>
    <w:div w:id="1614364431">
      <w:bodyDiv w:val="1"/>
      <w:marLeft w:val="0"/>
      <w:marRight w:val="0"/>
      <w:marTop w:val="0"/>
      <w:marBottom w:val="0"/>
      <w:divBdr>
        <w:top w:val="none" w:sz="0" w:space="0" w:color="auto"/>
        <w:left w:val="none" w:sz="0" w:space="0" w:color="auto"/>
        <w:bottom w:val="none" w:sz="0" w:space="0" w:color="auto"/>
        <w:right w:val="none" w:sz="0" w:space="0" w:color="auto"/>
      </w:divBdr>
    </w:div>
    <w:div w:id="1647054837">
      <w:bodyDiv w:val="1"/>
      <w:marLeft w:val="0"/>
      <w:marRight w:val="0"/>
      <w:marTop w:val="0"/>
      <w:marBottom w:val="0"/>
      <w:divBdr>
        <w:top w:val="none" w:sz="0" w:space="0" w:color="auto"/>
        <w:left w:val="none" w:sz="0" w:space="0" w:color="auto"/>
        <w:bottom w:val="none" w:sz="0" w:space="0" w:color="auto"/>
        <w:right w:val="none" w:sz="0" w:space="0" w:color="auto"/>
      </w:divBdr>
    </w:div>
    <w:div w:id="1658220997">
      <w:bodyDiv w:val="1"/>
      <w:marLeft w:val="0"/>
      <w:marRight w:val="0"/>
      <w:marTop w:val="0"/>
      <w:marBottom w:val="0"/>
      <w:divBdr>
        <w:top w:val="none" w:sz="0" w:space="0" w:color="auto"/>
        <w:left w:val="none" w:sz="0" w:space="0" w:color="auto"/>
        <w:bottom w:val="none" w:sz="0" w:space="0" w:color="auto"/>
        <w:right w:val="none" w:sz="0" w:space="0" w:color="auto"/>
      </w:divBdr>
    </w:div>
    <w:div w:id="1710908249">
      <w:bodyDiv w:val="1"/>
      <w:marLeft w:val="0"/>
      <w:marRight w:val="0"/>
      <w:marTop w:val="0"/>
      <w:marBottom w:val="0"/>
      <w:divBdr>
        <w:top w:val="none" w:sz="0" w:space="0" w:color="auto"/>
        <w:left w:val="none" w:sz="0" w:space="0" w:color="auto"/>
        <w:bottom w:val="none" w:sz="0" w:space="0" w:color="auto"/>
        <w:right w:val="none" w:sz="0" w:space="0" w:color="auto"/>
      </w:divBdr>
      <w:divsChild>
        <w:div w:id="303123035">
          <w:marLeft w:val="0"/>
          <w:marRight w:val="0"/>
          <w:marTop w:val="0"/>
          <w:marBottom w:val="0"/>
          <w:divBdr>
            <w:top w:val="none" w:sz="0" w:space="0" w:color="auto"/>
            <w:left w:val="none" w:sz="0" w:space="0" w:color="auto"/>
            <w:bottom w:val="none" w:sz="0" w:space="0" w:color="auto"/>
            <w:right w:val="none" w:sz="0" w:space="0" w:color="auto"/>
          </w:divBdr>
        </w:div>
        <w:div w:id="363599332">
          <w:marLeft w:val="0"/>
          <w:marRight w:val="0"/>
          <w:marTop w:val="0"/>
          <w:marBottom w:val="0"/>
          <w:divBdr>
            <w:top w:val="none" w:sz="0" w:space="0" w:color="auto"/>
            <w:left w:val="none" w:sz="0" w:space="0" w:color="auto"/>
            <w:bottom w:val="none" w:sz="0" w:space="0" w:color="auto"/>
            <w:right w:val="none" w:sz="0" w:space="0" w:color="auto"/>
          </w:divBdr>
        </w:div>
      </w:divsChild>
    </w:div>
    <w:div w:id="1713963228">
      <w:bodyDiv w:val="1"/>
      <w:marLeft w:val="0"/>
      <w:marRight w:val="0"/>
      <w:marTop w:val="0"/>
      <w:marBottom w:val="0"/>
      <w:divBdr>
        <w:top w:val="none" w:sz="0" w:space="0" w:color="auto"/>
        <w:left w:val="none" w:sz="0" w:space="0" w:color="auto"/>
        <w:bottom w:val="none" w:sz="0" w:space="0" w:color="auto"/>
        <w:right w:val="none" w:sz="0" w:space="0" w:color="auto"/>
      </w:divBdr>
      <w:divsChild>
        <w:div w:id="68818158">
          <w:marLeft w:val="0"/>
          <w:marRight w:val="0"/>
          <w:marTop w:val="0"/>
          <w:marBottom w:val="0"/>
          <w:divBdr>
            <w:top w:val="none" w:sz="0" w:space="0" w:color="auto"/>
            <w:left w:val="none" w:sz="0" w:space="0" w:color="auto"/>
            <w:bottom w:val="none" w:sz="0" w:space="0" w:color="auto"/>
            <w:right w:val="none" w:sz="0" w:space="0" w:color="auto"/>
          </w:divBdr>
        </w:div>
        <w:div w:id="89594706">
          <w:marLeft w:val="0"/>
          <w:marRight w:val="0"/>
          <w:marTop w:val="0"/>
          <w:marBottom w:val="0"/>
          <w:divBdr>
            <w:top w:val="none" w:sz="0" w:space="0" w:color="auto"/>
            <w:left w:val="none" w:sz="0" w:space="0" w:color="auto"/>
            <w:bottom w:val="none" w:sz="0" w:space="0" w:color="auto"/>
            <w:right w:val="none" w:sz="0" w:space="0" w:color="auto"/>
          </w:divBdr>
        </w:div>
        <w:div w:id="340277505">
          <w:marLeft w:val="0"/>
          <w:marRight w:val="0"/>
          <w:marTop w:val="0"/>
          <w:marBottom w:val="0"/>
          <w:divBdr>
            <w:top w:val="none" w:sz="0" w:space="0" w:color="auto"/>
            <w:left w:val="none" w:sz="0" w:space="0" w:color="auto"/>
            <w:bottom w:val="none" w:sz="0" w:space="0" w:color="auto"/>
            <w:right w:val="none" w:sz="0" w:space="0" w:color="auto"/>
          </w:divBdr>
        </w:div>
        <w:div w:id="481505564">
          <w:marLeft w:val="0"/>
          <w:marRight w:val="0"/>
          <w:marTop w:val="0"/>
          <w:marBottom w:val="0"/>
          <w:divBdr>
            <w:top w:val="none" w:sz="0" w:space="0" w:color="auto"/>
            <w:left w:val="none" w:sz="0" w:space="0" w:color="auto"/>
            <w:bottom w:val="none" w:sz="0" w:space="0" w:color="auto"/>
            <w:right w:val="none" w:sz="0" w:space="0" w:color="auto"/>
          </w:divBdr>
        </w:div>
        <w:div w:id="782529774">
          <w:marLeft w:val="0"/>
          <w:marRight w:val="0"/>
          <w:marTop w:val="0"/>
          <w:marBottom w:val="0"/>
          <w:divBdr>
            <w:top w:val="none" w:sz="0" w:space="0" w:color="auto"/>
            <w:left w:val="none" w:sz="0" w:space="0" w:color="auto"/>
            <w:bottom w:val="none" w:sz="0" w:space="0" w:color="auto"/>
            <w:right w:val="none" w:sz="0" w:space="0" w:color="auto"/>
          </w:divBdr>
        </w:div>
        <w:div w:id="861866121">
          <w:marLeft w:val="0"/>
          <w:marRight w:val="0"/>
          <w:marTop w:val="0"/>
          <w:marBottom w:val="0"/>
          <w:divBdr>
            <w:top w:val="none" w:sz="0" w:space="0" w:color="auto"/>
            <w:left w:val="none" w:sz="0" w:space="0" w:color="auto"/>
            <w:bottom w:val="none" w:sz="0" w:space="0" w:color="auto"/>
            <w:right w:val="none" w:sz="0" w:space="0" w:color="auto"/>
          </w:divBdr>
        </w:div>
        <w:div w:id="903102046">
          <w:marLeft w:val="0"/>
          <w:marRight w:val="0"/>
          <w:marTop w:val="0"/>
          <w:marBottom w:val="0"/>
          <w:divBdr>
            <w:top w:val="none" w:sz="0" w:space="0" w:color="auto"/>
            <w:left w:val="none" w:sz="0" w:space="0" w:color="auto"/>
            <w:bottom w:val="none" w:sz="0" w:space="0" w:color="auto"/>
            <w:right w:val="none" w:sz="0" w:space="0" w:color="auto"/>
          </w:divBdr>
        </w:div>
        <w:div w:id="1013338726">
          <w:marLeft w:val="0"/>
          <w:marRight w:val="0"/>
          <w:marTop w:val="0"/>
          <w:marBottom w:val="0"/>
          <w:divBdr>
            <w:top w:val="none" w:sz="0" w:space="0" w:color="auto"/>
            <w:left w:val="none" w:sz="0" w:space="0" w:color="auto"/>
            <w:bottom w:val="none" w:sz="0" w:space="0" w:color="auto"/>
            <w:right w:val="none" w:sz="0" w:space="0" w:color="auto"/>
          </w:divBdr>
        </w:div>
        <w:div w:id="1041783693">
          <w:marLeft w:val="0"/>
          <w:marRight w:val="0"/>
          <w:marTop w:val="0"/>
          <w:marBottom w:val="0"/>
          <w:divBdr>
            <w:top w:val="none" w:sz="0" w:space="0" w:color="auto"/>
            <w:left w:val="none" w:sz="0" w:space="0" w:color="auto"/>
            <w:bottom w:val="none" w:sz="0" w:space="0" w:color="auto"/>
            <w:right w:val="none" w:sz="0" w:space="0" w:color="auto"/>
          </w:divBdr>
        </w:div>
        <w:div w:id="1082142108">
          <w:marLeft w:val="0"/>
          <w:marRight w:val="0"/>
          <w:marTop w:val="0"/>
          <w:marBottom w:val="0"/>
          <w:divBdr>
            <w:top w:val="none" w:sz="0" w:space="0" w:color="auto"/>
            <w:left w:val="none" w:sz="0" w:space="0" w:color="auto"/>
            <w:bottom w:val="none" w:sz="0" w:space="0" w:color="auto"/>
            <w:right w:val="none" w:sz="0" w:space="0" w:color="auto"/>
          </w:divBdr>
        </w:div>
        <w:div w:id="1488404175">
          <w:marLeft w:val="0"/>
          <w:marRight w:val="0"/>
          <w:marTop w:val="0"/>
          <w:marBottom w:val="0"/>
          <w:divBdr>
            <w:top w:val="none" w:sz="0" w:space="0" w:color="auto"/>
            <w:left w:val="none" w:sz="0" w:space="0" w:color="auto"/>
            <w:bottom w:val="none" w:sz="0" w:space="0" w:color="auto"/>
            <w:right w:val="none" w:sz="0" w:space="0" w:color="auto"/>
          </w:divBdr>
        </w:div>
        <w:div w:id="1505827917">
          <w:marLeft w:val="0"/>
          <w:marRight w:val="0"/>
          <w:marTop w:val="0"/>
          <w:marBottom w:val="0"/>
          <w:divBdr>
            <w:top w:val="none" w:sz="0" w:space="0" w:color="auto"/>
            <w:left w:val="none" w:sz="0" w:space="0" w:color="auto"/>
            <w:bottom w:val="none" w:sz="0" w:space="0" w:color="auto"/>
            <w:right w:val="none" w:sz="0" w:space="0" w:color="auto"/>
          </w:divBdr>
        </w:div>
        <w:div w:id="1524712695">
          <w:marLeft w:val="0"/>
          <w:marRight w:val="0"/>
          <w:marTop w:val="0"/>
          <w:marBottom w:val="0"/>
          <w:divBdr>
            <w:top w:val="none" w:sz="0" w:space="0" w:color="auto"/>
            <w:left w:val="none" w:sz="0" w:space="0" w:color="auto"/>
            <w:bottom w:val="none" w:sz="0" w:space="0" w:color="auto"/>
            <w:right w:val="none" w:sz="0" w:space="0" w:color="auto"/>
          </w:divBdr>
        </w:div>
        <w:div w:id="1724600205">
          <w:marLeft w:val="0"/>
          <w:marRight w:val="0"/>
          <w:marTop w:val="0"/>
          <w:marBottom w:val="0"/>
          <w:divBdr>
            <w:top w:val="none" w:sz="0" w:space="0" w:color="auto"/>
            <w:left w:val="none" w:sz="0" w:space="0" w:color="auto"/>
            <w:bottom w:val="none" w:sz="0" w:space="0" w:color="auto"/>
            <w:right w:val="none" w:sz="0" w:space="0" w:color="auto"/>
          </w:divBdr>
        </w:div>
        <w:div w:id="1818302779">
          <w:marLeft w:val="0"/>
          <w:marRight w:val="0"/>
          <w:marTop w:val="0"/>
          <w:marBottom w:val="0"/>
          <w:divBdr>
            <w:top w:val="none" w:sz="0" w:space="0" w:color="auto"/>
            <w:left w:val="none" w:sz="0" w:space="0" w:color="auto"/>
            <w:bottom w:val="none" w:sz="0" w:space="0" w:color="auto"/>
            <w:right w:val="none" w:sz="0" w:space="0" w:color="auto"/>
          </w:divBdr>
        </w:div>
        <w:div w:id="1835998470">
          <w:marLeft w:val="0"/>
          <w:marRight w:val="0"/>
          <w:marTop w:val="0"/>
          <w:marBottom w:val="0"/>
          <w:divBdr>
            <w:top w:val="none" w:sz="0" w:space="0" w:color="auto"/>
            <w:left w:val="none" w:sz="0" w:space="0" w:color="auto"/>
            <w:bottom w:val="none" w:sz="0" w:space="0" w:color="auto"/>
            <w:right w:val="none" w:sz="0" w:space="0" w:color="auto"/>
          </w:divBdr>
        </w:div>
        <w:div w:id="2047175575">
          <w:marLeft w:val="0"/>
          <w:marRight w:val="0"/>
          <w:marTop w:val="0"/>
          <w:marBottom w:val="0"/>
          <w:divBdr>
            <w:top w:val="none" w:sz="0" w:space="0" w:color="auto"/>
            <w:left w:val="none" w:sz="0" w:space="0" w:color="auto"/>
            <w:bottom w:val="none" w:sz="0" w:space="0" w:color="auto"/>
            <w:right w:val="none" w:sz="0" w:space="0" w:color="auto"/>
          </w:divBdr>
        </w:div>
      </w:divsChild>
    </w:div>
    <w:div w:id="1726679011">
      <w:bodyDiv w:val="1"/>
      <w:marLeft w:val="0"/>
      <w:marRight w:val="0"/>
      <w:marTop w:val="0"/>
      <w:marBottom w:val="0"/>
      <w:divBdr>
        <w:top w:val="none" w:sz="0" w:space="0" w:color="auto"/>
        <w:left w:val="none" w:sz="0" w:space="0" w:color="auto"/>
        <w:bottom w:val="none" w:sz="0" w:space="0" w:color="auto"/>
        <w:right w:val="none" w:sz="0" w:space="0" w:color="auto"/>
      </w:divBdr>
    </w:div>
    <w:div w:id="1727873871">
      <w:bodyDiv w:val="1"/>
      <w:marLeft w:val="0"/>
      <w:marRight w:val="0"/>
      <w:marTop w:val="0"/>
      <w:marBottom w:val="0"/>
      <w:divBdr>
        <w:top w:val="none" w:sz="0" w:space="0" w:color="auto"/>
        <w:left w:val="none" w:sz="0" w:space="0" w:color="auto"/>
        <w:bottom w:val="none" w:sz="0" w:space="0" w:color="auto"/>
        <w:right w:val="none" w:sz="0" w:space="0" w:color="auto"/>
      </w:divBdr>
    </w:div>
    <w:div w:id="1731343591">
      <w:bodyDiv w:val="1"/>
      <w:marLeft w:val="0"/>
      <w:marRight w:val="0"/>
      <w:marTop w:val="0"/>
      <w:marBottom w:val="0"/>
      <w:divBdr>
        <w:top w:val="none" w:sz="0" w:space="0" w:color="auto"/>
        <w:left w:val="none" w:sz="0" w:space="0" w:color="auto"/>
        <w:bottom w:val="none" w:sz="0" w:space="0" w:color="auto"/>
        <w:right w:val="none" w:sz="0" w:space="0" w:color="auto"/>
      </w:divBdr>
      <w:divsChild>
        <w:div w:id="128399843">
          <w:marLeft w:val="0"/>
          <w:marRight w:val="0"/>
          <w:marTop w:val="0"/>
          <w:marBottom w:val="0"/>
          <w:divBdr>
            <w:top w:val="none" w:sz="0" w:space="0" w:color="auto"/>
            <w:left w:val="none" w:sz="0" w:space="0" w:color="auto"/>
            <w:bottom w:val="none" w:sz="0" w:space="0" w:color="auto"/>
            <w:right w:val="none" w:sz="0" w:space="0" w:color="auto"/>
          </w:divBdr>
        </w:div>
        <w:div w:id="408893120">
          <w:marLeft w:val="0"/>
          <w:marRight w:val="0"/>
          <w:marTop w:val="0"/>
          <w:marBottom w:val="0"/>
          <w:divBdr>
            <w:top w:val="none" w:sz="0" w:space="0" w:color="auto"/>
            <w:left w:val="none" w:sz="0" w:space="0" w:color="auto"/>
            <w:bottom w:val="none" w:sz="0" w:space="0" w:color="auto"/>
            <w:right w:val="none" w:sz="0" w:space="0" w:color="auto"/>
          </w:divBdr>
        </w:div>
        <w:div w:id="528878089">
          <w:marLeft w:val="0"/>
          <w:marRight w:val="0"/>
          <w:marTop w:val="0"/>
          <w:marBottom w:val="0"/>
          <w:divBdr>
            <w:top w:val="none" w:sz="0" w:space="0" w:color="auto"/>
            <w:left w:val="none" w:sz="0" w:space="0" w:color="auto"/>
            <w:bottom w:val="none" w:sz="0" w:space="0" w:color="auto"/>
            <w:right w:val="none" w:sz="0" w:space="0" w:color="auto"/>
          </w:divBdr>
        </w:div>
        <w:div w:id="576548762">
          <w:marLeft w:val="0"/>
          <w:marRight w:val="0"/>
          <w:marTop w:val="0"/>
          <w:marBottom w:val="0"/>
          <w:divBdr>
            <w:top w:val="none" w:sz="0" w:space="0" w:color="auto"/>
            <w:left w:val="none" w:sz="0" w:space="0" w:color="auto"/>
            <w:bottom w:val="none" w:sz="0" w:space="0" w:color="auto"/>
            <w:right w:val="none" w:sz="0" w:space="0" w:color="auto"/>
          </w:divBdr>
        </w:div>
        <w:div w:id="627665423">
          <w:marLeft w:val="0"/>
          <w:marRight w:val="0"/>
          <w:marTop w:val="0"/>
          <w:marBottom w:val="0"/>
          <w:divBdr>
            <w:top w:val="none" w:sz="0" w:space="0" w:color="auto"/>
            <w:left w:val="none" w:sz="0" w:space="0" w:color="auto"/>
            <w:bottom w:val="none" w:sz="0" w:space="0" w:color="auto"/>
            <w:right w:val="none" w:sz="0" w:space="0" w:color="auto"/>
          </w:divBdr>
        </w:div>
        <w:div w:id="746927728">
          <w:marLeft w:val="0"/>
          <w:marRight w:val="0"/>
          <w:marTop w:val="0"/>
          <w:marBottom w:val="0"/>
          <w:divBdr>
            <w:top w:val="none" w:sz="0" w:space="0" w:color="auto"/>
            <w:left w:val="none" w:sz="0" w:space="0" w:color="auto"/>
            <w:bottom w:val="none" w:sz="0" w:space="0" w:color="auto"/>
            <w:right w:val="none" w:sz="0" w:space="0" w:color="auto"/>
          </w:divBdr>
        </w:div>
        <w:div w:id="785123539">
          <w:marLeft w:val="0"/>
          <w:marRight w:val="0"/>
          <w:marTop w:val="0"/>
          <w:marBottom w:val="0"/>
          <w:divBdr>
            <w:top w:val="none" w:sz="0" w:space="0" w:color="auto"/>
            <w:left w:val="none" w:sz="0" w:space="0" w:color="auto"/>
            <w:bottom w:val="none" w:sz="0" w:space="0" w:color="auto"/>
            <w:right w:val="none" w:sz="0" w:space="0" w:color="auto"/>
          </w:divBdr>
        </w:div>
        <w:div w:id="849101044">
          <w:marLeft w:val="0"/>
          <w:marRight w:val="0"/>
          <w:marTop w:val="0"/>
          <w:marBottom w:val="0"/>
          <w:divBdr>
            <w:top w:val="none" w:sz="0" w:space="0" w:color="auto"/>
            <w:left w:val="none" w:sz="0" w:space="0" w:color="auto"/>
            <w:bottom w:val="none" w:sz="0" w:space="0" w:color="auto"/>
            <w:right w:val="none" w:sz="0" w:space="0" w:color="auto"/>
          </w:divBdr>
        </w:div>
        <w:div w:id="1023942849">
          <w:marLeft w:val="0"/>
          <w:marRight w:val="0"/>
          <w:marTop w:val="0"/>
          <w:marBottom w:val="0"/>
          <w:divBdr>
            <w:top w:val="none" w:sz="0" w:space="0" w:color="auto"/>
            <w:left w:val="none" w:sz="0" w:space="0" w:color="auto"/>
            <w:bottom w:val="none" w:sz="0" w:space="0" w:color="auto"/>
            <w:right w:val="none" w:sz="0" w:space="0" w:color="auto"/>
          </w:divBdr>
        </w:div>
        <w:div w:id="1037386846">
          <w:marLeft w:val="0"/>
          <w:marRight w:val="0"/>
          <w:marTop w:val="0"/>
          <w:marBottom w:val="0"/>
          <w:divBdr>
            <w:top w:val="none" w:sz="0" w:space="0" w:color="auto"/>
            <w:left w:val="none" w:sz="0" w:space="0" w:color="auto"/>
            <w:bottom w:val="none" w:sz="0" w:space="0" w:color="auto"/>
            <w:right w:val="none" w:sz="0" w:space="0" w:color="auto"/>
          </w:divBdr>
        </w:div>
        <w:div w:id="1119957648">
          <w:marLeft w:val="0"/>
          <w:marRight w:val="0"/>
          <w:marTop w:val="0"/>
          <w:marBottom w:val="0"/>
          <w:divBdr>
            <w:top w:val="none" w:sz="0" w:space="0" w:color="auto"/>
            <w:left w:val="none" w:sz="0" w:space="0" w:color="auto"/>
            <w:bottom w:val="none" w:sz="0" w:space="0" w:color="auto"/>
            <w:right w:val="none" w:sz="0" w:space="0" w:color="auto"/>
          </w:divBdr>
        </w:div>
        <w:div w:id="1128473638">
          <w:marLeft w:val="0"/>
          <w:marRight w:val="0"/>
          <w:marTop w:val="0"/>
          <w:marBottom w:val="0"/>
          <w:divBdr>
            <w:top w:val="none" w:sz="0" w:space="0" w:color="auto"/>
            <w:left w:val="none" w:sz="0" w:space="0" w:color="auto"/>
            <w:bottom w:val="none" w:sz="0" w:space="0" w:color="auto"/>
            <w:right w:val="none" w:sz="0" w:space="0" w:color="auto"/>
          </w:divBdr>
        </w:div>
        <w:div w:id="1141577118">
          <w:marLeft w:val="0"/>
          <w:marRight w:val="0"/>
          <w:marTop w:val="0"/>
          <w:marBottom w:val="0"/>
          <w:divBdr>
            <w:top w:val="none" w:sz="0" w:space="0" w:color="auto"/>
            <w:left w:val="none" w:sz="0" w:space="0" w:color="auto"/>
            <w:bottom w:val="none" w:sz="0" w:space="0" w:color="auto"/>
            <w:right w:val="none" w:sz="0" w:space="0" w:color="auto"/>
          </w:divBdr>
        </w:div>
        <w:div w:id="1181430867">
          <w:marLeft w:val="0"/>
          <w:marRight w:val="0"/>
          <w:marTop w:val="0"/>
          <w:marBottom w:val="0"/>
          <w:divBdr>
            <w:top w:val="none" w:sz="0" w:space="0" w:color="auto"/>
            <w:left w:val="none" w:sz="0" w:space="0" w:color="auto"/>
            <w:bottom w:val="none" w:sz="0" w:space="0" w:color="auto"/>
            <w:right w:val="none" w:sz="0" w:space="0" w:color="auto"/>
          </w:divBdr>
        </w:div>
        <w:div w:id="1385526817">
          <w:marLeft w:val="0"/>
          <w:marRight w:val="0"/>
          <w:marTop w:val="0"/>
          <w:marBottom w:val="0"/>
          <w:divBdr>
            <w:top w:val="none" w:sz="0" w:space="0" w:color="auto"/>
            <w:left w:val="none" w:sz="0" w:space="0" w:color="auto"/>
            <w:bottom w:val="none" w:sz="0" w:space="0" w:color="auto"/>
            <w:right w:val="none" w:sz="0" w:space="0" w:color="auto"/>
          </w:divBdr>
        </w:div>
        <w:div w:id="1390615705">
          <w:marLeft w:val="0"/>
          <w:marRight w:val="0"/>
          <w:marTop w:val="0"/>
          <w:marBottom w:val="0"/>
          <w:divBdr>
            <w:top w:val="none" w:sz="0" w:space="0" w:color="auto"/>
            <w:left w:val="none" w:sz="0" w:space="0" w:color="auto"/>
            <w:bottom w:val="none" w:sz="0" w:space="0" w:color="auto"/>
            <w:right w:val="none" w:sz="0" w:space="0" w:color="auto"/>
          </w:divBdr>
        </w:div>
        <w:div w:id="1500389535">
          <w:marLeft w:val="0"/>
          <w:marRight w:val="0"/>
          <w:marTop w:val="0"/>
          <w:marBottom w:val="0"/>
          <w:divBdr>
            <w:top w:val="none" w:sz="0" w:space="0" w:color="auto"/>
            <w:left w:val="none" w:sz="0" w:space="0" w:color="auto"/>
            <w:bottom w:val="none" w:sz="0" w:space="0" w:color="auto"/>
            <w:right w:val="none" w:sz="0" w:space="0" w:color="auto"/>
          </w:divBdr>
        </w:div>
        <w:div w:id="1513950702">
          <w:marLeft w:val="0"/>
          <w:marRight w:val="0"/>
          <w:marTop w:val="0"/>
          <w:marBottom w:val="0"/>
          <w:divBdr>
            <w:top w:val="none" w:sz="0" w:space="0" w:color="auto"/>
            <w:left w:val="none" w:sz="0" w:space="0" w:color="auto"/>
            <w:bottom w:val="none" w:sz="0" w:space="0" w:color="auto"/>
            <w:right w:val="none" w:sz="0" w:space="0" w:color="auto"/>
          </w:divBdr>
        </w:div>
        <w:div w:id="1565214856">
          <w:marLeft w:val="0"/>
          <w:marRight w:val="0"/>
          <w:marTop w:val="0"/>
          <w:marBottom w:val="0"/>
          <w:divBdr>
            <w:top w:val="none" w:sz="0" w:space="0" w:color="auto"/>
            <w:left w:val="none" w:sz="0" w:space="0" w:color="auto"/>
            <w:bottom w:val="none" w:sz="0" w:space="0" w:color="auto"/>
            <w:right w:val="none" w:sz="0" w:space="0" w:color="auto"/>
          </w:divBdr>
        </w:div>
        <w:div w:id="1688215000">
          <w:marLeft w:val="0"/>
          <w:marRight w:val="0"/>
          <w:marTop w:val="0"/>
          <w:marBottom w:val="0"/>
          <w:divBdr>
            <w:top w:val="none" w:sz="0" w:space="0" w:color="auto"/>
            <w:left w:val="none" w:sz="0" w:space="0" w:color="auto"/>
            <w:bottom w:val="none" w:sz="0" w:space="0" w:color="auto"/>
            <w:right w:val="none" w:sz="0" w:space="0" w:color="auto"/>
          </w:divBdr>
        </w:div>
        <w:div w:id="1689985376">
          <w:marLeft w:val="0"/>
          <w:marRight w:val="0"/>
          <w:marTop w:val="0"/>
          <w:marBottom w:val="0"/>
          <w:divBdr>
            <w:top w:val="none" w:sz="0" w:space="0" w:color="auto"/>
            <w:left w:val="none" w:sz="0" w:space="0" w:color="auto"/>
            <w:bottom w:val="none" w:sz="0" w:space="0" w:color="auto"/>
            <w:right w:val="none" w:sz="0" w:space="0" w:color="auto"/>
          </w:divBdr>
        </w:div>
        <w:div w:id="1860586680">
          <w:marLeft w:val="0"/>
          <w:marRight w:val="0"/>
          <w:marTop w:val="0"/>
          <w:marBottom w:val="0"/>
          <w:divBdr>
            <w:top w:val="none" w:sz="0" w:space="0" w:color="auto"/>
            <w:left w:val="none" w:sz="0" w:space="0" w:color="auto"/>
            <w:bottom w:val="none" w:sz="0" w:space="0" w:color="auto"/>
            <w:right w:val="none" w:sz="0" w:space="0" w:color="auto"/>
          </w:divBdr>
        </w:div>
        <w:div w:id="2014188592">
          <w:marLeft w:val="0"/>
          <w:marRight w:val="0"/>
          <w:marTop w:val="0"/>
          <w:marBottom w:val="0"/>
          <w:divBdr>
            <w:top w:val="none" w:sz="0" w:space="0" w:color="auto"/>
            <w:left w:val="none" w:sz="0" w:space="0" w:color="auto"/>
            <w:bottom w:val="none" w:sz="0" w:space="0" w:color="auto"/>
            <w:right w:val="none" w:sz="0" w:space="0" w:color="auto"/>
          </w:divBdr>
        </w:div>
        <w:div w:id="2054771951">
          <w:marLeft w:val="0"/>
          <w:marRight w:val="0"/>
          <w:marTop w:val="0"/>
          <w:marBottom w:val="0"/>
          <w:divBdr>
            <w:top w:val="none" w:sz="0" w:space="0" w:color="auto"/>
            <w:left w:val="none" w:sz="0" w:space="0" w:color="auto"/>
            <w:bottom w:val="none" w:sz="0" w:space="0" w:color="auto"/>
            <w:right w:val="none" w:sz="0" w:space="0" w:color="auto"/>
          </w:divBdr>
        </w:div>
        <w:div w:id="2101756771">
          <w:marLeft w:val="0"/>
          <w:marRight w:val="0"/>
          <w:marTop w:val="0"/>
          <w:marBottom w:val="0"/>
          <w:divBdr>
            <w:top w:val="none" w:sz="0" w:space="0" w:color="auto"/>
            <w:left w:val="none" w:sz="0" w:space="0" w:color="auto"/>
            <w:bottom w:val="none" w:sz="0" w:space="0" w:color="auto"/>
            <w:right w:val="none" w:sz="0" w:space="0" w:color="auto"/>
          </w:divBdr>
        </w:div>
      </w:divsChild>
    </w:div>
    <w:div w:id="1775705753">
      <w:bodyDiv w:val="1"/>
      <w:marLeft w:val="0"/>
      <w:marRight w:val="0"/>
      <w:marTop w:val="0"/>
      <w:marBottom w:val="0"/>
      <w:divBdr>
        <w:top w:val="none" w:sz="0" w:space="0" w:color="auto"/>
        <w:left w:val="none" w:sz="0" w:space="0" w:color="auto"/>
        <w:bottom w:val="none" w:sz="0" w:space="0" w:color="auto"/>
        <w:right w:val="none" w:sz="0" w:space="0" w:color="auto"/>
      </w:divBdr>
    </w:div>
    <w:div w:id="1778867118">
      <w:bodyDiv w:val="1"/>
      <w:marLeft w:val="0"/>
      <w:marRight w:val="0"/>
      <w:marTop w:val="0"/>
      <w:marBottom w:val="0"/>
      <w:divBdr>
        <w:top w:val="none" w:sz="0" w:space="0" w:color="auto"/>
        <w:left w:val="none" w:sz="0" w:space="0" w:color="auto"/>
        <w:bottom w:val="none" w:sz="0" w:space="0" w:color="auto"/>
        <w:right w:val="none" w:sz="0" w:space="0" w:color="auto"/>
      </w:divBdr>
    </w:div>
    <w:div w:id="1784614939">
      <w:bodyDiv w:val="1"/>
      <w:marLeft w:val="0"/>
      <w:marRight w:val="0"/>
      <w:marTop w:val="0"/>
      <w:marBottom w:val="0"/>
      <w:divBdr>
        <w:top w:val="none" w:sz="0" w:space="0" w:color="auto"/>
        <w:left w:val="none" w:sz="0" w:space="0" w:color="auto"/>
        <w:bottom w:val="none" w:sz="0" w:space="0" w:color="auto"/>
        <w:right w:val="none" w:sz="0" w:space="0" w:color="auto"/>
      </w:divBdr>
    </w:div>
    <w:div w:id="1785424188">
      <w:bodyDiv w:val="1"/>
      <w:marLeft w:val="0"/>
      <w:marRight w:val="0"/>
      <w:marTop w:val="0"/>
      <w:marBottom w:val="0"/>
      <w:divBdr>
        <w:top w:val="none" w:sz="0" w:space="0" w:color="auto"/>
        <w:left w:val="none" w:sz="0" w:space="0" w:color="auto"/>
        <w:bottom w:val="none" w:sz="0" w:space="0" w:color="auto"/>
        <w:right w:val="none" w:sz="0" w:space="0" w:color="auto"/>
      </w:divBdr>
    </w:div>
    <w:div w:id="1790662442">
      <w:bodyDiv w:val="1"/>
      <w:marLeft w:val="0"/>
      <w:marRight w:val="0"/>
      <w:marTop w:val="0"/>
      <w:marBottom w:val="0"/>
      <w:divBdr>
        <w:top w:val="none" w:sz="0" w:space="0" w:color="auto"/>
        <w:left w:val="none" w:sz="0" w:space="0" w:color="auto"/>
        <w:bottom w:val="none" w:sz="0" w:space="0" w:color="auto"/>
        <w:right w:val="none" w:sz="0" w:space="0" w:color="auto"/>
      </w:divBdr>
    </w:div>
    <w:div w:id="1811709483">
      <w:bodyDiv w:val="1"/>
      <w:marLeft w:val="0"/>
      <w:marRight w:val="0"/>
      <w:marTop w:val="0"/>
      <w:marBottom w:val="0"/>
      <w:divBdr>
        <w:top w:val="none" w:sz="0" w:space="0" w:color="auto"/>
        <w:left w:val="none" w:sz="0" w:space="0" w:color="auto"/>
        <w:bottom w:val="none" w:sz="0" w:space="0" w:color="auto"/>
        <w:right w:val="none" w:sz="0" w:space="0" w:color="auto"/>
      </w:divBdr>
    </w:div>
    <w:div w:id="1819414515">
      <w:bodyDiv w:val="1"/>
      <w:marLeft w:val="0"/>
      <w:marRight w:val="0"/>
      <w:marTop w:val="0"/>
      <w:marBottom w:val="0"/>
      <w:divBdr>
        <w:top w:val="none" w:sz="0" w:space="0" w:color="auto"/>
        <w:left w:val="none" w:sz="0" w:space="0" w:color="auto"/>
        <w:bottom w:val="none" w:sz="0" w:space="0" w:color="auto"/>
        <w:right w:val="none" w:sz="0" w:space="0" w:color="auto"/>
      </w:divBdr>
    </w:div>
    <w:div w:id="1823158419">
      <w:bodyDiv w:val="1"/>
      <w:marLeft w:val="0"/>
      <w:marRight w:val="0"/>
      <w:marTop w:val="0"/>
      <w:marBottom w:val="0"/>
      <w:divBdr>
        <w:top w:val="none" w:sz="0" w:space="0" w:color="auto"/>
        <w:left w:val="none" w:sz="0" w:space="0" w:color="auto"/>
        <w:bottom w:val="none" w:sz="0" w:space="0" w:color="auto"/>
        <w:right w:val="none" w:sz="0" w:space="0" w:color="auto"/>
      </w:divBdr>
    </w:div>
    <w:div w:id="1843858570">
      <w:bodyDiv w:val="1"/>
      <w:marLeft w:val="0"/>
      <w:marRight w:val="0"/>
      <w:marTop w:val="0"/>
      <w:marBottom w:val="0"/>
      <w:divBdr>
        <w:top w:val="none" w:sz="0" w:space="0" w:color="auto"/>
        <w:left w:val="none" w:sz="0" w:space="0" w:color="auto"/>
        <w:bottom w:val="none" w:sz="0" w:space="0" w:color="auto"/>
        <w:right w:val="none" w:sz="0" w:space="0" w:color="auto"/>
      </w:divBdr>
    </w:div>
    <w:div w:id="1870951328">
      <w:bodyDiv w:val="1"/>
      <w:marLeft w:val="0"/>
      <w:marRight w:val="0"/>
      <w:marTop w:val="0"/>
      <w:marBottom w:val="0"/>
      <w:divBdr>
        <w:top w:val="none" w:sz="0" w:space="0" w:color="auto"/>
        <w:left w:val="none" w:sz="0" w:space="0" w:color="auto"/>
        <w:bottom w:val="none" w:sz="0" w:space="0" w:color="auto"/>
        <w:right w:val="none" w:sz="0" w:space="0" w:color="auto"/>
      </w:divBdr>
      <w:divsChild>
        <w:div w:id="1091582142">
          <w:marLeft w:val="0"/>
          <w:marRight w:val="0"/>
          <w:marTop w:val="0"/>
          <w:marBottom w:val="0"/>
          <w:divBdr>
            <w:top w:val="none" w:sz="0" w:space="0" w:color="auto"/>
            <w:left w:val="none" w:sz="0" w:space="0" w:color="auto"/>
            <w:bottom w:val="none" w:sz="0" w:space="0" w:color="auto"/>
            <w:right w:val="none" w:sz="0" w:space="0" w:color="auto"/>
          </w:divBdr>
        </w:div>
        <w:div w:id="1806703841">
          <w:marLeft w:val="0"/>
          <w:marRight w:val="0"/>
          <w:marTop w:val="0"/>
          <w:marBottom w:val="0"/>
          <w:divBdr>
            <w:top w:val="none" w:sz="0" w:space="0" w:color="auto"/>
            <w:left w:val="none" w:sz="0" w:space="0" w:color="auto"/>
            <w:bottom w:val="none" w:sz="0" w:space="0" w:color="auto"/>
            <w:right w:val="none" w:sz="0" w:space="0" w:color="auto"/>
          </w:divBdr>
        </w:div>
      </w:divsChild>
    </w:div>
    <w:div w:id="1889415364">
      <w:bodyDiv w:val="1"/>
      <w:marLeft w:val="0"/>
      <w:marRight w:val="0"/>
      <w:marTop w:val="0"/>
      <w:marBottom w:val="0"/>
      <w:divBdr>
        <w:top w:val="none" w:sz="0" w:space="0" w:color="auto"/>
        <w:left w:val="none" w:sz="0" w:space="0" w:color="auto"/>
        <w:bottom w:val="none" w:sz="0" w:space="0" w:color="auto"/>
        <w:right w:val="none" w:sz="0" w:space="0" w:color="auto"/>
      </w:divBdr>
    </w:div>
    <w:div w:id="1889606048">
      <w:bodyDiv w:val="1"/>
      <w:marLeft w:val="0"/>
      <w:marRight w:val="0"/>
      <w:marTop w:val="0"/>
      <w:marBottom w:val="0"/>
      <w:divBdr>
        <w:top w:val="none" w:sz="0" w:space="0" w:color="auto"/>
        <w:left w:val="none" w:sz="0" w:space="0" w:color="auto"/>
        <w:bottom w:val="none" w:sz="0" w:space="0" w:color="auto"/>
        <w:right w:val="none" w:sz="0" w:space="0" w:color="auto"/>
      </w:divBdr>
    </w:div>
    <w:div w:id="1911888558">
      <w:bodyDiv w:val="1"/>
      <w:marLeft w:val="0"/>
      <w:marRight w:val="0"/>
      <w:marTop w:val="0"/>
      <w:marBottom w:val="0"/>
      <w:divBdr>
        <w:top w:val="none" w:sz="0" w:space="0" w:color="auto"/>
        <w:left w:val="none" w:sz="0" w:space="0" w:color="auto"/>
        <w:bottom w:val="none" w:sz="0" w:space="0" w:color="auto"/>
        <w:right w:val="none" w:sz="0" w:space="0" w:color="auto"/>
      </w:divBdr>
      <w:divsChild>
        <w:div w:id="51588907">
          <w:marLeft w:val="0"/>
          <w:marRight w:val="0"/>
          <w:marTop w:val="0"/>
          <w:marBottom w:val="0"/>
          <w:divBdr>
            <w:top w:val="none" w:sz="0" w:space="0" w:color="auto"/>
            <w:left w:val="none" w:sz="0" w:space="0" w:color="auto"/>
            <w:bottom w:val="none" w:sz="0" w:space="0" w:color="auto"/>
            <w:right w:val="none" w:sz="0" w:space="0" w:color="auto"/>
          </w:divBdr>
        </w:div>
        <w:div w:id="275262186">
          <w:marLeft w:val="0"/>
          <w:marRight w:val="0"/>
          <w:marTop w:val="0"/>
          <w:marBottom w:val="0"/>
          <w:divBdr>
            <w:top w:val="none" w:sz="0" w:space="0" w:color="auto"/>
            <w:left w:val="none" w:sz="0" w:space="0" w:color="auto"/>
            <w:bottom w:val="none" w:sz="0" w:space="0" w:color="auto"/>
            <w:right w:val="none" w:sz="0" w:space="0" w:color="auto"/>
          </w:divBdr>
        </w:div>
        <w:div w:id="429398275">
          <w:marLeft w:val="0"/>
          <w:marRight w:val="0"/>
          <w:marTop w:val="0"/>
          <w:marBottom w:val="0"/>
          <w:divBdr>
            <w:top w:val="none" w:sz="0" w:space="0" w:color="auto"/>
            <w:left w:val="none" w:sz="0" w:space="0" w:color="auto"/>
            <w:bottom w:val="none" w:sz="0" w:space="0" w:color="auto"/>
            <w:right w:val="none" w:sz="0" w:space="0" w:color="auto"/>
          </w:divBdr>
        </w:div>
        <w:div w:id="524709319">
          <w:marLeft w:val="0"/>
          <w:marRight w:val="0"/>
          <w:marTop w:val="0"/>
          <w:marBottom w:val="0"/>
          <w:divBdr>
            <w:top w:val="none" w:sz="0" w:space="0" w:color="auto"/>
            <w:left w:val="none" w:sz="0" w:space="0" w:color="auto"/>
            <w:bottom w:val="none" w:sz="0" w:space="0" w:color="auto"/>
            <w:right w:val="none" w:sz="0" w:space="0" w:color="auto"/>
          </w:divBdr>
        </w:div>
        <w:div w:id="825393119">
          <w:marLeft w:val="0"/>
          <w:marRight w:val="0"/>
          <w:marTop w:val="0"/>
          <w:marBottom w:val="0"/>
          <w:divBdr>
            <w:top w:val="none" w:sz="0" w:space="0" w:color="auto"/>
            <w:left w:val="none" w:sz="0" w:space="0" w:color="auto"/>
            <w:bottom w:val="none" w:sz="0" w:space="0" w:color="auto"/>
            <w:right w:val="none" w:sz="0" w:space="0" w:color="auto"/>
          </w:divBdr>
        </w:div>
        <w:div w:id="882136549">
          <w:marLeft w:val="0"/>
          <w:marRight w:val="0"/>
          <w:marTop w:val="0"/>
          <w:marBottom w:val="0"/>
          <w:divBdr>
            <w:top w:val="none" w:sz="0" w:space="0" w:color="auto"/>
            <w:left w:val="none" w:sz="0" w:space="0" w:color="auto"/>
            <w:bottom w:val="none" w:sz="0" w:space="0" w:color="auto"/>
            <w:right w:val="none" w:sz="0" w:space="0" w:color="auto"/>
          </w:divBdr>
        </w:div>
        <w:div w:id="927694671">
          <w:marLeft w:val="0"/>
          <w:marRight w:val="0"/>
          <w:marTop w:val="0"/>
          <w:marBottom w:val="0"/>
          <w:divBdr>
            <w:top w:val="none" w:sz="0" w:space="0" w:color="auto"/>
            <w:left w:val="none" w:sz="0" w:space="0" w:color="auto"/>
            <w:bottom w:val="none" w:sz="0" w:space="0" w:color="auto"/>
            <w:right w:val="none" w:sz="0" w:space="0" w:color="auto"/>
          </w:divBdr>
        </w:div>
        <w:div w:id="994993519">
          <w:marLeft w:val="0"/>
          <w:marRight w:val="0"/>
          <w:marTop w:val="0"/>
          <w:marBottom w:val="0"/>
          <w:divBdr>
            <w:top w:val="none" w:sz="0" w:space="0" w:color="auto"/>
            <w:left w:val="none" w:sz="0" w:space="0" w:color="auto"/>
            <w:bottom w:val="none" w:sz="0" w:space="0" w:color="auto"/>
            <w:right w:val="none" w:sz="0" w:space="0" w:color="auto"/>
          </w:divBdr>
        </w:div>
        <w:div w:id="1202397404">
          <w:marLeft w:val="0"/>
          <w:marRight w:val="0"/>
          <w:marTop w:val="0"/>
          <w:marBottom w:val="0"/>
          <w:divBdr>
            <w:top w:val="none" w:sz="0" w:space="0" w:color="auto"/>
            <w:left w:val="none" w:sz="0" w:space="0" w:color="auto"/>
            <w:bottom w:val="none" w:sz="0" w:space="0" w:color="auto"/>
            <w:right w:val="none" w:sz="0" w:space="0" w:color="auto"/>
          </w:divBdr>
        </w:div>
        <w:div w:id="1293902505">
          <w:marLeft w:val="0"/>
          <w:marRight w:val="0"/>
          <w:marTop w:val="0"/>
          <w:marBottom w:val="0"/>
          <w:divBdr>
            <w:top w:val="none" w:sz="0" w:space="0" w:color="auto"/>
            <w:left w:val="none" w:sz="0" w:space="0" w:color="auto"/>
            <w:bottom w:val="none" w:sz="0" w:space="0" w:color="auto"/>
            <w:right w:val="none" w:sz="0" w:space="0" w:color="auto"/>
          </w:divBdr>
        </w:div>
        <w:div w:id="1572889234">
          <w:marLeft w:val="0"/>
          <w:marRight w:val="0"/>
          <w:marTop w:val="0"/>
          <w:marBottom w:val="0"/>
          <w:divBdr>
            <w:top w:val="none" w:sz="0" w:space="0" w:color="auto"/>
            <w:left w:val="none" w:sz="0" w:space="0" w:color="auto"/>
            <w:bottom w:val="none" w:sz="0" w:space="0" w:color="auto"/>
            <w:right w:val="none" w:sz="0" w:space="0" w:color="auto"/>
          </w:divBdr>
        </w:div>
        <w:div w:id="1630086353">
          <w:marLeft w:val="0"/>
          <w:marRight w:val="0"/>
          <w:marTop w:val="0"/>
          <w:marBottom w:val="0"/>
          <w:divBdr>
            <w:top w:val="none" w:sz="0" w:space="0" w:color="auto"/>
            <w:left w:val="none" w:sz="0" w:space="0" w:color="auto"/>
            <w:bottom w:val="none" w:sz="0" w:space="0" w:color="auto"/>
            <w:right w:val="none" w:sz="0" w:space="0" w:color="auto"/>
          </w:divBdr>
        </w:div>
        <w:div w:id="1674532084">
          <w:marLeft w:val="0"/>
          <w:marRight w:val="0"/>
          <w:marTop w:val="0"/>
          <w:marBottom w:val="0"/>
          <w:divBdr>
            <w:top w:val="none" w:sz="0" w:space="0" w:color="auto"/>
            <w:left w:val="none" w:sz="0" w:space="0" w:color="auto"/>
            <w:bottom w:val="none" w:sz="0" w:space="0" w:color="auto"/>
            <w:right w:val="none" w:sz="0" w:space="0" w:color="auto"/>
          </w:divBdr>
        </w:div>
        <w:div w:id="1780754100">
          <w:marLeft w:val="0"/>
          <w:marRight w:val="0"/>
          <w:marTop w:val="0"/>
          <w:marBottom w:val="0"/>
          <w:divBdr>
            <w:top w:val="none" w:sz="0" w:space="0" w:color="auto"/>
            <w:left w:val="none" w:sz="0" w:space="0" w:color="auto"/>
            <w:bottom w:val="none" w:sz="0" w:space="0" w:color="auto"/>
            <w:right w:val="none" w:sz="0" w:space="0" w:color="auto"/>
          </w:divBdr>
        </w:div>
        <w:div w:id="1976596955">
          <w:marLeft w:val="0"/>
          <w:marRight w:val="0"/>
          <w:marTop w:val="0"/>
          <w:marBottom w:val="0"/>
          <w:divBdr>
            <w:top w:val="none" w:sz="0" w:space="0" w:color="auto"/>
            <w:left w:val="none" w:sz="0" w:space="0" w:color="auto"/>
            <w:bottom w:val="none" w:sz="0" w:space="0" w:color="auto"/>
            <w:right w:val="none" w:sz="0" w:space="0" w:color="auto"/>
          </w:divBdr>
        </w:div>
        <w:div w:id="2020084534">
          <w:marLeft w:val="0"/>
          <w:marRight w:val="0"/>
          <w:marTop w:val="0"/>
          <w:marBottom w:val="0"/>
          <w:divBdr>
            <w:top w:val="none" w:sz="0" w:space="0" w:color="auto"/>
            <w:left w:val="none" w:sz="0" w:space="0" w:color="auto"/>
            <w:bottom w:val="none" w:sz="0" w:space="0" w:color="auto"/>
            <w:right w:val="none" w:sz="0" w:space="0" w:color="auto"/>
          </w:divBdr>
        </w:div>
        <w:div w:id="2049404528">
          <w:marLeft w:val="0"/>
          <w:marRight w:val="0"/>
          <w:marTop w:val="0"/>
          <w:marBottom w:val="0"/>
          <w:divBdr>
            <w:top w:val="none" w:sz="0" w:space="0" w:color="auto"/>
            <w:left w:val="none" w:sz="0" w:space="0" w:color="auto"/>
            <w:bottom w:val="none" w:sz="0" w:space="0" w:color="auto"/>
            <w:right w:val="none" w:sz="0" w:space="0" w:color="auto"/>
          </w:divBdr>
        </w:div>
      </w:divsChild>
    </w:div>
    <w:div w:id="1915703465">
      <w:bodyDiv w:val="1"/>
      <w:marLeft w:val="0"/>
      <w:marRight w:val="0"/>
      <w:marTop w:val="0"/>
      <w:marBottom w:val="0"/>
      <w:divBdr>
        <w:top w:val="none" w:sz="0" w:space="0" w:color="auto"/>
        <w:left w:val="none" w:sz="0" w:space="0" w:color="auto"/>
        <w:bottom w:val="none" w:sz="0" w:space="0" w:color="auto"/>
        <w:right w:val="none" w:sz="0" w:space="0" w:color="auto"/>
      </w:divBdr>
    </w:div>
    <w:div w:id="1926069967">
      <w:bodyDiv w:val="1"/>
      <w:marLeft w:val="0"/>
      <w:marRight w:val="0"/>
      <w:marTop w:val="0"/>
      <w:marBottom w:val="0"/>
      <w:divBdr>
        <w:top w:val="none" w:sz="0" w:space="0" w:color="auto"/>
        <w:left w:val="none" w:sz="0" w:space="0" w:color="auto"/>
        <w:bottom w:val="none" w:sz="0" w:space="0" w:color="auto"/>
        <w:right w:val="none" w:sz="0" w:space="0" w:color="auto"/>
      </w:divBdr>
      <w:divsChild>
        <w:div w:id="25178713">
          <w:marLeft w:val="0"/>
          <w:marRight w:val="0"/>
          <w:marTop w:val="0"/>
          <w:marBottom w:val="0"/>
          <w:divBdr>
            <w:top w:val="none" w:sz="0" w:space="0" w:color="auto"/>
            <w:left w:val="none" w:sz="0" w:space="0" w:color="auto"/>
            <w:bottom w:val="none" w:sz="0" w:space="0" w:color="auto"/>
            <w:right w:val="none" w:sz="0" w:space="0" w:color="auto"/>
          </w:divBdr>
          <w:divsChild>
            <w:div w:id="156768090">
              <w:marLeft w:val="0"/>
              <w:marRight w:val="0"/>
              <w:marTop w:val="0"/>
              <w:marBottom w:val="0"/>
              <w:divBdr>
                <w:top w:val="none" w:sz="0" w:space="0" w:color="auto"/>
                <w:left w:val="none" w:sz="0" w:space="0" w:color="auto"/>
                <w:bottom w:val="none" w:sz="0" w:space="0" w:color="auto"/>
                <w:right w:val="none" w:sz="0" w:space="0" w:color="auto"/>
              </w:divBdr>
            </w:div>
            <w:div w:id="496118181">
              <w:marLeft w:val="0"/>
              <w:marRight w:val="0"/>
              <w:marTop w:val="0"/>
              <w:marBottom w:val="0"/>
              <w:divBdr>
                <w:top w:val="none" w:sz="0" w:space="0" w:color="auto"/>
                <w:left w:val="none" w:sz="0" w:space="0" w:color="auto"/>
                <w:bottom w:val="none" w:sz="0" w:space="0" w:color="auto"/>
                <w:right w:val="none" w:sz="0" w:space="0" w:color="auto"/>
              </w:divBdr>
            </w:div>
            <w:div w:id="545291596">
              <w:marLeft w:val="0"/>
              <w:marRight w:val="0"/>
              <w:marTop w:val="0"/>
              <w:marBottom w:val="0"/>
              <w:divBdr>
                <w:top w:val="none" w:sz="0" w:space="0" w:color="auto"/>
                <w:left w:val="none" w:sz="0" w:space="0" w:color="auto"/>
                <w:bottom w:val="none" w:sz="0" w:space="0" w:color="auto"/>
                <w:right w:val="none" w:sz="0" w:space="0" w:color="auto"/>
              </w:divBdr>
            </w:div>
            <w:div w:id="646593058">
              <w:marLeft w:val="0"/>
              <w:marRight w:val="0"/>
              <w:marTop w:val="0"/>
              <w:marBottom w:val="0"/>
              <w:divBdr>
                <w:top w:val="none" w:sz="0" w:space="0" w:color="auto"/>
                <w:left w:val="none" w:sz="0" w:space="0" w:color="auto"/>
                <w:bottom w:val="none" w:sz="0" w:space="0" w:color="auto"/>
                <w:right w:val="none" w:sz="0" w:space="0" w:color="auto"/>
              </w:divBdr>
            </w:div>
            <w:div w:id="766736341">
              <w:marLeft w:val="0"/>
              <w:marRight w:val="0"/>
              <w:marTop w:val="0"/>
              <w:marBottom w:val="0"/>
              <w:divBdr>
                <w:top w:val="none" w:sz="0" w:space="0" w:color="auto"/>
                <w:left w:val="none" w:sz="0" w:space="0" w:color="auto"/>
                <w:bottom w:val="none" w:sz="0" w:space="0" w:color="auto"/>
                <w:right w:val="none" w:sz="0" w:space="0" w:color="auto"/>
              </w:divBdr>
            </w:div>
            <w:div w:id="956713114">
              <w:marLeft w:val="0"/>
              <w:marRight w:val="0"/>
              <w:marTop w:val="0"/>
              <w:marBottom w:val="0"/>
              <w:divBdr>
                <w:top w:val="none" w:sz="0" w:space="0" w:color="auto"/>
                <w:left w:val="none" w:sz="0" w:space="0" w:color="auto"/>
                <w:bottom w:val="none" w:sz="0" w:space="0" w:color="auto"/>
                <w:right w:val="none" w:sz="0" w:space="0" w:color="auto"/>
              </w:divBdr>
            </w:div>
            <w:div w:id="2023970662">
              <w:marLeft w:val="0"/>
              <w:marRight w:val="0"/>
              <w:marTop w:val="0"/>
              <w:marBottom w:val="0"/>
              <w:divBdr>
                <w:top w:val="none" w:sz="0" w:space="0" w:color="auto"/>
                <w:left w:val="none" w:sz="0" w:space="0" w:color="auto"/>
                <w:bottom w:val="none" w:sz="0" w:space="0" w:color="auto"/>
                <w:right w:val="none" w:sz="0" w:space="0" w:color="auto"/>
              </w:divBdr>
            </w:div>
            <w:div w:id="2082944353">
              <w:marLeft w:val="0"/>
              <w:marRight w:val="0"/>
              <w:marTop w:val="0"/>
              <w:marBottom w:val="0"/>
              <w:divBdr>
                <w:top w:val="none" w:sz="0" w:space="0" w:color="auto"/>
                <w:left w:val="none" w:sz="0" w:space="0" w:color="auto"/>
                <w:bottom w:val="none" w:sz="0" w:space="0" w:color="auto"/>
                <w:right w:val="none" w:sz="0" w:space="0" w:color="auto"/>
              </w:divBdr>
            </w:div>
          </w:divsChild>
        </w:div>
        <w:div w:id="489637913">
          <w:marLeft w:val="0"/>
          <w:marRight w:val="0"/>
          <w:marTop w:val="0"/>
          <w:marBottom w:val="0"/>
          <w:divBdr>
            <w:top w:val="none" w:sz="0" w:space="0" w:color="auto"/>
            <w:left w:val="none" w:sz="0" w:space="0" w:color="auto"/>
            <w:bottom w:val="none" w:sz="0" w:space="0" w:color="auto"/>
            <w:right w:val="none" w:sz="0" w:space="0" w:color="auto"/>
          </w:divBdr>
        </w:div>
      </w:divsChild>
    </w:div>
    <w:div w:id="1946303931">
      <w:bodyDiv w:val="1"/>
      <w:marLeft w:val="0"/>
      <w:marRight w:val="0"/>
      <w:marTop w:val="0"/>
      <w:marBottom w:val="0"/>
      <w:divBdr>
        <w:top w:val="none" w:sz="0" w:space="0" w:color="auto"/>
        <w:left w:val="none" w:sz="0" w:space="0" w:color="auto"/>
        <w:bottom w:val="none" w:sz="0" w:space="0" w:color="auto"/>
        <w:right w:val="none" w:sz="0" w:space="0" w:color="auto"/>
      </w:divBdr>
    </w:div>
    <w:div w:id="1955287005">
      <w:bodyDiv w:val="1"/>
      <w:marLeft w:val="0"/>
      <w:marRight w:val="0"/>
      <w:marTop w:val="0"/>
      <w:marBottom w:val="0"/>
      <w:divBdr>
        <w:top w:val="none" w:sz="0" w:space="0" w:color="auto"/>
        <w:left w:val="none" w:sz="0" w:space="0" w:color="auto"/>
        <w:bottom w:val="none" w:sz="0" w:space="0" w:color="auto"/>
        <w:right w:val="none" w:sz="0" w:space="0" w:color="auto"/>
      </w:divBdr>
    </w:div>
    <w:div w:id="1960063222">
      <w:bodyDiv w:val="1"/>
      <w:marLeft w:val="0"/>
      <w:marRight w:val="0"/>
      <w:marTop w:val="0"/>
      <w:marBottom w:val="0"/>
      <w:divBdr>
        <w:top w:val="none" w:sz="0" w:space="0" w:color="auto"/>
        <w:left w:val="none" w:sz="0" w:space="0" w:color="auto"/>
        <w:bottom w:val="none" w:sz="0" w:space="0" w:color="auto"/>
        <w:right w:val="none" w:sz="0" w:space="0" w:color="auto"/>
      </w:divBdr>
    </w:div>
    <w:div w:id="1968468798">
      <w:bodyDiv w:val="1"/>
      <w:marLeft w:val="0"/>
      <w:marRight w:val="0"/>
      <w:marTop w:val="0"/>
      <w:marBottom w:val="0"/>
      <w:divBdr>
        <w:top w:val="none" w:sz="0" w:space="0" w:color="auto"/>
        <w:left w:val="none" w:sz="0" w:space="0" w:color="auto"/>
        <w:bottom w:val="none" w:sz="0" w:space="0" w:color="auto"/>
        <w:right w:val="none" w:sz="0" w:space="0" w:color="auto"/>
      </w:divBdr>
    </w:div>
    <w:div w:id="1969386842">
      <w:bodyDiv w:val="1"/>
      <w:marLeft w:val="0"/>
      <w:marRight w:val="0"/>
      <w:marTop w:val="0"/>
      <w:marBottom w:val="0"/>
      <w:divBdr>
        <w:top w:val="none" w:sz="0" w:space="0" w:color="auto"/>
        <w:left w:val="none" w:sz="0" w:space="0" w:color="auto"/>
        <w:bottom w:val="none" w:sz="0" w:space="0" w:color="auto"/>
        <w:right w:val="none" w:sz="0" w:space="0" w:color="auto"/>
      </w:divBdr>
    </w:div>
    <w:div w:id="1982886755">
      <w:bodyDiv w:val="1"/>
      <w:marLeft w:val="0"/>
      <w:marRight w:val="0"/>
      <w:marTop w:val="0"/>
      <w:marBottom w:val="0"/>
      <w:divBdr>
        <w:top w:val="none" w:sz="0" w:space="0" w:color="auto"/>
        <w:left w:val="none" w:sz="0" w:space="0" w:color="auto"/>
        <w:bottom w:val="none" w:sz="0" w:space="0" w:color="auto"/>
        <w:right w:val="none" w:sz="0" w:space="0" w:color="auto"/>
      </w:divBdr>
    </w:div>
    <w:div w:id="2014647408">
      <w:bodyDiv w:val="1"/>
      <w:marLeft w:val="0"/>
      <w:marRight w:val="0"/>
      <w:marTop w:val="0"/>
      <w:marBottom w:val="0"/>
      <w:divBdr>
        <w:top w:val="none" w:sz="0" w:space="0" w:color="auto"/>
        <w:left w:val="none" w:sz="0" w:space="0" w:color="auto"/>
        <w:bottom w:val="none" w:sz="0" w:space="0" w:color="auto"/>
        <w:right w:val="none" w:sz="0" w:space="0" w:color="auto"/>
      </w:divBdr>
    </w:div>
    <w:div w:id="2019960839">
      <w:bodyDiv w:val="1"/>
      <w:marLeft w:val="0"/>
      <w:marRight w:val="0"/>
      <w:marTop w:val="0"/>
      <w:marBottom w:val="0"/>
      <w:divBdr>
        <w:top w:val="none" w:sz="0" w:space="0" w:color="auto"/>
        <w:left w:val="none" w:sz="0" w:space="0" w:color="auto"/>
        <w:bottom w:val="none" w:sz="0" w:space="0" w:color="auto"/>
        <w:right w:val="none" w:sz="0" w:space="0" w:color="auto"/>
      </w:divBdr>
    </w:div>
    <w:div w:id="2089423697">
      <w:bodyDiv w:val="1"/>
      <w:marLeft w:val="0"/>
      <w:marRight w:val="0"/>
      <w:marTop w:val="0"/>
      <w:marBottom w:val="0"/>
      <w:divBdr>
        <w:top w:val="none" w:sz="0" w:space="0" w:color="auto"/>
        <w:left w:val="none" w:sz="0" w:space="0" w:color="auto"/>
        <w:bottom w:val="none" w:sz="0" w:space="0" w:color="auto"/>
        <w:right w:val="none" w:sz="0" w:space="0" w:color="auto"/>
      </w:divBdr>
    </w:div>
    <w:div w:id="2098820098">
      <w:bodyDiv w:val="1"/>
      <w:marLeft w:val="0"/>
      <w:marRight w:val="0"/>
      <w:marTop w:val="0"/>
      <w:marBottom w:val="0"/>
      <w:divBdr>
        <w:top w:val="none" w:sz="0" w:space="0" w:color="auto"/>
        <w:left w:val="none" w:sz="0" w:space="0" w:color="auto"/>
        <w:bottom w:val="none" w:sz="0" w:space="0" w:color="auto"/>
        <w:right w:val="none" w:sz="0" w:space="0" w:color="auto"/>
      </w:divBdr>
      <w:divsChild>
        <w:div w:id="937566786">
          <w:marLeft w:val="0"/>
          <w:marRight w:val="0"/>
          <w:marTop w:val="0"/>
          <w:marBottom w:val="0"/>
          <w:divBdr>
            <w:top w:val="none" w:sz="0" w:space="0" w:color="auto"/>
            <w:left w:val="none" w:sz="0" w:space="0" w:color="auto"/>
            <w:bottom w:val="none" w:sz="0" w:space="0" w:color="auto"/>
            <w:right w:val="none" w:sz="0" w:space="0" w:color="auto"/>
          </w:divBdr>
        </w:div>
      </w:divsChild>
    </w:div>
    <w:div w:id="2114863824">
      <w:bodyDiv w:val="1"/>
      <w:marLeft w:val="0"/>
      <w:marRight w:val="0"/>
      <w:marTop w:val="0"/>
      <w:marBottom w:val="0"/>
      <w:divBdr>
        <w:top w:val="none" w:sz="0" w:space="0" w:color="auto"/>
        <w:left w:val="none" w:sz="0" w:space="0" w:color="auto"/>
        <w:bottom w:val="none" w:sz="0" w:space="0" w:color="auto"/>
        <w:right w:val="none" w:sz="0" w:space="0" w:color="auto"/>
      </w:divBdr>
    </w:div>
    <w:div w:id="213544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ommunityplanningaberdeen.org.uk/wp-content/uploads/2025/05/PNA-2025-draft-health-determinants.pdf" TargetMode="External"/><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3.xml"/><Relationship Id="rId50" Type="http://schemas.openxmlformats.org/officeDocument/2006/relationships/image" Target="media/image26.png"/><Relationship Id="rId55" Type="http://schemas.microsoft.com/office/2011/relationships/commentsExtended" Target="commentsExtended.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svg"/><Relationship Id="rId11" Type="http://schemas.openxmlformats.org/officeDocument/2006/relationships/image" Target="media/image1.jpg"/><Relationship Id="rId24" Type="http://schemas.openxmlformats.org/officeDocument/2006/relationships/image" Target="media/image7.sv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1.xml"/><Relationship Id="rId53" Type="http://schemas.openxmlformats.org/officeDocument/2006/relationships/image" Target="media/image29.png"/><Relationship Id="rId58" Type="http://schemas.openxmlformats.org/officeDocument/2006/relationships/header" Target="header5.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s://www.aberdeencityhscp.scot/globalassets/documents/achscp-strategic-plan-2025--2029-and-route-map-for-delivery.pdf" TargetMode="External"/><Relationship Id="rId27" Type="http://schemas.openxmlformats.org/officeDocument/2006/relationships/hyperlink" Target="https://www.aberdeencityhscp.scot/globalassets/documents/achscp-strategic-plan-2025--2029-and-route-map-for-delivery.pdf"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5.png"/><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aberdeencityhscp.scot/globalassets/aberdeen-city-integration-scheme-april-2023.pdf" TargetMode="External"/><Relationship Id="rId33" Type="http://schemas.openxmlformats.org/officeDocument/2006/relationships/image" Target="media/image13.svg"/><Relationship Id="rId38" Type="http://schemas.openxmlformats.org/officeDocument/2006/relationships/image" Target="media/image18.svg"/><Relationship Id="rId46" Type="http://schemas.openxmlformats.org/officeDocument/2006/relationships/chart" Target="charts/chart2.xml"/><Relationship Id="rId59" Type="http://schemas.openxmlformats.org/officeDocument/2006/relationships/footer" Target="footer5.xml"/><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comments" Target="comments.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chart" Target="charts/chart4.xm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berdeencitycouncilo365.sharepoint.com/sites/ACHSCP-DataandEvaluation/Shared%20Documents/General/04.%20Performance%20Monitoring/14.%20Accounts%20Audit/Raw%20Data%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SD</a:t>
            </a:r>
            <a:r>
              <a:rPr lang="en-GB" baseline="0"/>
              <a:t>S Option 2 Clients supported monthly and Cost of Care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'Overall SDS Option 2'!$A$3</c:f>
              <c:strCache>
                <c:ptCount val="1"/>
                <c:pt idx="0">
                  <c:v>Monthly Client Numbers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'Overall SDS Option 2'!$B$2:$Y$2</c:f>
              <c:numCache>
                <c:formatCode>mmm\-yy</c:formatCode>
                <c:ptCount val="24"/>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pt idx="12">
                  <c:v>45748</c:v>
                </c:pt>
                <c:pt idx="13">
                  <c:v>45778</c:v>
                </c:pt>
                <c:pt idx="14">
                  <c:v>45809</c:v>
                </c:pt>
                <c:pt idx="15">
                  <c:v>45839</c:v>
                </c:pt>
                <c:pt idx="16">
                  <c:v>45870</c:v>
                </c:pt>
                <c:pt idx="17">
                  <c:v>45901</c:v>
                </c:pt>
                <c:pt idx="18">
                  <c:v>45931</c:v>
                </c:pt>
                <c:pt idx="19">
                  <c:v>45962</c:v>
                </c:pt>
                <c:pt idx="20">
                  <c:v>45992</c:v>
                </c:pt>
                <c:pt idx="21">
                  <c:v>46023</c:v>
                </c:pt>
                <c:pt idx="22">
                  <c:v>46054</c:v>
                </c:pt>
                <c:pt idx="23">
                  <c:v>46082</c:v>
                </c:pt>
              </c:numCache>
            </c:numRef>
          </c:cat>
          <c:val>
            <c:numRef>
              <c:f>'Overall SDS Option 2'!$B$3:$Y$3</c:f>
              <c:numCache>
                <c:formatCode>General</c:formatCode>
                <c:ptCount val="24"/>
                <c:pt idx="0">
                  <c:v>319</c:v>
                </c:pt>
                <c:pt idx="1">
                  <c:v>333</c:v>
                </c:pt>
                <c:pt idx="2">
                  <c:v>389</c:v>
                </c:pt>
                <c:pt idx="3">
                  <c:v>405</c:v>
                </c:pt>
                <c:pt idx="4">
                  <c:v>419</c:v>
                </c:pt>
                <c:pt idx="5">
                  <c:v>448</c:v>
                </c:pt>
                <c:pt idx="6">
                  <c:v>488</c:v>
                </c:pt>
                <c:pt idx="7">
                  <c:v>492</c:v>
                </c:pt>
                <c:pt idx="8">
                  <c:v>492</c:v>
                </c:pt>
                <c:pt idx="9">
                  <c:v>508</c:v>
                </c:pt>
                <c:pt idx="10">
                  <c:v>529</c:v>
                </c:pt>
                <c:pt idx="11">
                  <c:v>535</c:v>
                </c:pt>
                <c:pt idx="12">
                  <c:v>515</c:v>
                </c:pt>
                <c:pt idx="13">
                  <c:v>472</c:v>
                </c:pt>
                <c:pt idx="14">
                  <c:v>464</c:v>
                </c:pt>
                <c:pt idx="15">
                  <c:v>483</c:v>
                </c:pt>
                <c:pt idx="16">
                  <c:v>491</c:v>
                </c:pt>
                <c:pt idx="17">
                  <c:v>498</c:v>
                </c:pt>
                <c:pt idx="18">
                  <c:v>505</c:v>
                </c:pt>
                <c:pt idx="19">
                  <c:v>527</c:v>
                </c:pt>
                <c:pt idx="20">
                  <c:v>509</c:v>
                </c:pt>
                <c:pt idx="21">
                  <c:v>502</c:v>
                </c:pt>
                <c:pt idx="22">
                  <c:v>511</c:v>
                </c:pt>
                <c:pt idx="23">
                  <c:v>514</c:v>
                </c:pt>
              </c:numCache>
            </c:numRef>
          </c:val>
          <c:extLst>
            <c:ext xmlns:c16="http://schemas.microsoft.com/office/drawing/2014/chart" uri="{C3380CC4-5D6E-409C-BE32-E72D297353CC}">
              <c16:uniqueId val="{00000001-541B-4A96-B3CD-3A6F469EAD7D}"/>
            </c:ext>
          </c:extLst>
        </c:ser>
        <c:dLbls>
          <c:showLegendKey val="0"/>
          <c:showVal val="0"/>
          <c:showCatName val="0"/>
          <c:showSerName val="0"/>
          <c:showPercent val="0"/>
          <c:showBubbleSize val="0"/>
        </c:dLbls>
        <c:gapWidth val="150"/>
        <c:axId val="1643170687"/>
        <c:axId val="1643166847"/>
      </c:barChart>
      <c:lineChart>
        <c:grouping val="standard"/>
        <c:varyColors val="0"/>
        <c:ser>
          <c:idx val="1"/>
          <c:order val="1"/>
          <c:tx>
            <c:strRef>
              <c:f>'Overall SDS Option 2'!$A$4</c:f>
              <c:strCache>
                <c:ptCount val="1"/>
                <c:pt idx="0">
                  <c:v>Monthly invoice cost</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'Overall SDS Option 2'!$B$2:$Y$2</c:f>
              <c:numCache>
                <c:formatCode>mmm\-yy</c:formatCode>
                <c:ptCount val="24"/>
                <c:pt idx="0">
                  <c:v>45383</c:v>
                </c:pt>
                <c:pt idx="1">
                  <c:v>45413</c:v>
                </c:pt>
                <c:pt idx="2">
                  <c:v>45444</c:v>
                </c:pt>
                <c:pt idx="3">
                  <c:v>45474</c:v>
                </c:pt>
                <c:pt idx="4">
                  <c:v>45505</c:v>
                </c:pt>
                <c:pt idx="5">
                  <c:v>45536</c:v>
                </c:pt>
                <c:pt idx="6">
                  <c:v>45566</c:v>
                </c:pt>
                <c:pt idx="7">
                  <c:v>45597</c:v>
                </c:pt>
                <c:pt idx="8">
                  <c:v>45627</c:v>
                </c:pt>
                <c:pt idx="9">
                  <c:v>45658</c:v>
                </c:pt>
                <c:pt idx="10">
                  <c:v>45689</c:v>
                </c:pt>
                <c:pt idx="11">
                  <c:v>45717</c:v>
                </c:pt>
                <c:pt idx="12">
                  <c:v>45748</c:v>
                </c:pt>
                <c:pt idx="13">
                  <c:v>45778</c:v>
                </c:pt>
                <c:pt idx="14">
                  <c:v>45809</c:v>
                </c:pt>
                <c:pt idx="15">
                  <c:v>45839</c:v>
                </c:pt>
                <c:pt idx="16">
                  <c:v>45870</c:v>
                </c:pt>
                <c:pt idx="17">
                  <c:v>45901</c:v>
                </c:pt>
                <c:pt idx="18">
                  <c:v>45931</c:v>
                </c:pt>
                <c:pt idx="19">
                  <c:v>45962</c:v>
                </c:pt>
                <c:pt idx="20">
                  <c:v>45992</c:v>
                </c:pt>
                <c:pt idx="21">
                  <c:v>46023</c:v>
                </c:pt>
                <c:pt idx="22">
                  <c:v>46054</c:v>
                </c:pt>
                <c:pt idx="23">
                  <c:v>46082</c:v>
                </c:pt>
              </c:numCache>
            </c:numRef>
          </c:cat>
          <c:val>
            <c:numRef>
              <c:f>'Overall SDS Option 2'!$B$4:$Y$4</c:f>
              <c:numCache>
                <c:formatCode>"£"#,##0.00</c:formatCode>
                <c:ptCount val="24"/>
                <c:pt idx="0">
                  <c:v>420250.72</c:v>
                </c:pt>
                <c:pt idx="1">
                  <c:v>428708.81</c:v>
                </c:pt>
                <c:pt idx="2">
                  <c:v>378250.65</c:v>
                </c:pt>
                <c:pt idx="3">
                  <c:v>273776.76</c:v>
                </c:pt>
                <c:pt idx="4">
                  <c:v>304748.03999999998</c:v>
                </c:pt>
                <c:pt idx="5">
                  <c:v>627038.55000000005</c:v>
                </c:pt>
                <c:pt idx="6">
                  <c:v>493735.71</c:v>
                </c:pt>
                <c:pt idx="7">
                  <c:v>616506.98</c:v>
                </c:pt>
                <c:pt idx="8">
                  <c:v>745273.6</c:v>
                </c:pt>
                <c:pt idx="9">
                  <c:v>752173.49</c:v>
                </c:pt>
                <c:pt idx="10">
                  <c:v>589762.56999999995</c:v>
                </c:pt>
                <c:pt idx="11">
                  <c:v>972779.64</c:v>
                </c:pt>
                <c:pt idx="12">
                  <c:v>581482.06999999995</c:v>
                </c:pt>
                <c:pt idx="13">
                  <c:v>525771.26</c:v>
                </c:pt>
                <c:pt idx="14">
                  <c:v>576329.71</c:v>
                </c:pt>
                <c:pt idx="15">
                  <c:v>594313.1</c:v>
                </c:pt>
                <c:pt idx="16">
                  <c:v>657384.37</c:v>
                </c:pt>
                <c:pt idx="17">
                  <c:v>724604.23</c:v>
                </c:pt>
                <c:pt idx="18">
                  <c:v>984909.07</c:v>
                </c:pt>
                <c:pt idx="19">
                  <c:v>774565.31</c:v>
                </c:pt>
                <c:pt idx="20">
                  <c:v>842462.55</c:v>
                </c:pt>
                <c:pt idx="21">
                  <c:v>678164.93</c:v>
                </c:pt>
                <c:pt idx="22">
                  <c:v>634008.35</c:v>
                </c:pt>
                <c:pt idx="23">
                  <c:v>918144.22</c:v>
                </c:pt>
              </c:numCache>
            </c:numRef>
          </c:val>
          <c:smooth val="0"/>
          <c:extLst>
            <c:ext xmlns:c16="http://schemas.microsoft.com/office/drawing/2014/chart" uri="{C3380CC4-5D6E-409C-BE32-E72D297353CC}">
              <c16:uniqueId val="{00000003-541B-4A96-B3CD-3A6F469EAD7D}"/>
            </c:ext>
          </c:extLst>
        </c:ser>
        <c:dLbls>
          <c:showLegendKey val="0"/>
          <c:showVal val="0"/>
          <c:showCatName val="0"/>
          <c:showSerName val="0"/>
          <c:showPercent val="0"/>
          <c:showBubbleSize val="0"/>
        </c:dLbls>
        <c:marker val="1"/>
        <c:smooth val="0"/>
        <c:axId val="1643171167"/>
        <c:axId val="1643173087"/>
      </c:lineChart>
      <c:dateAx>
        <c:axId val="16431706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166847"/>
        <c:crosses val="autoZero"/>
        <c:auto val="1"/>
        <c:lblOffset val="100"/>
        <c:baseTimeUnit val="months"/>
      </c:dateAx>
      <c:valAx>
        <c:axId val="1643166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170687"/>
        <c:crosses val="autoZero"/>
        <c:crossBetween val="between"/>
      </c:valAx>
      <c:valAx>
        <c:axId val="1643173087"/>
        <c:scaling>
          <c:orientation val="minMax"/>
        </c:scaling>
        <c:delete val="0"/>
        <c:axPos val="r"/>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171167"/>
        <c:crosses val="max"/>
        <c:crossBetween val="between"/>
      </c:valAx>
      <c:dateAx>
        <c:axId val="1643171167"/>
        <c:scaling>
          <c:orientation val="minMax"/>
        </c:scaling>
        <c:delete val="1"/>
        <c:axPos val="b"/>
        <c:numFmt formatCode="mmm\-yy" sourceLinked="1"/>
        <c:majorTickMark val="out"/>
        <c:minorTickMark val="none"/>
        <c:tickLblPos val="nextTo"/>
        <c:crossAx val="1643173087"/>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SDS Option 2 Learning Disability clients supported.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'LD Option 2'!$A$11</c:f>
              <c:strCache>
                <c:ptCount val="1"/>
                <c:pt idx="0">
                  <c:v>Learning Disability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'LD Option 2'!$B$10:$D$10</c:f>
              <c:strCache>
                <c:ptCount val="3"/>
                <c:pt idx="0">
                  <c:v>2023/24</c:v>
                </c:pt>
                <c:pt idx="1">
                  <c:v>2024/25</c:v>
                </c:pt>
                <c:pt idx="2">
                  <c:v>2025/26</c:v>
                </c:pt>
              </c:strCache>
            </c:strRef>
          </c:cat>
          <c:val>
            <c:numRef>
              <c:f>'LD Option 2'!$B$11:$D$11</c:f>
              <c:numCache>
                <c:formatCode>General</c:formatCode>
                <c:ptCount val="3"/>
                <c:pt idx="0">
                  <c:v>530</c:v>
                </c:pt>
                <c:pt idx="1">
                  <c:v>602</c:v>
                </c:pt>
                <c:pt idx="2">
                  <c:v>626</c:v>
                </c:pt>
              </c:numCache>
            </c:numRef>
          </c:val>
          <c:smooth val="0"/>
          <c:extLst>
            <c:ext xmlns:c16="http://schemas.microsoft.com/office/drawing/2014/chart" uri="{C3380CC4-5D6E-409C-BE32-E72D297353CC}">
              <c16:uniqueId val="{00000000-BEE2-4A08-AE0C-8FDF19D7DBC5}"/>
            </c:ext>
          </c:extLst>
        </c:ser>
        <c:ser>
          <c:idx val="1"/>
          <c:order val="1"/>
          <c:tx>
            <c:strRef>
              <c:f>'LD Option 2'!$A$12</c:f>
              <c:strCache>
                <c:ptCount val="1"/>
                <c:pt idx="0">
                  <c:v>Learning Disability Carer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'LD Option 2'!$B$10:$D$10</c:f>
              <c:strCache>
                <c:ptCount val="3"/>
                <c:pt idx="0">
                  <c:v>2023/24</c:v>
                </c:pt>
                <c:pt idx="1">
                  <c:v>2024/25</c:v>
                </c:pt>
                <c:pt idx="2">
                  <c:v>2025/26</c:v>
                </c:pt>
              </c:strCache>
            </c:strRef>
          </c:cat>
          <c:val>
            <c:numRef>
              <c:f>'LD Option 2'!$B$12:$D$12</c:f>
              <c:numCache>
                <c:formatCode>General</c:formatCode>
                <c:ptCount val="3"/>
                <c:pt idx="0">
                  <c:v>6</c:v>
                </c:pt>
                <c:pt idx="1">
                  <c:v>34</c:v>
                </c:pt>
                <c:pt idx="2">
                  <c:v>26</c:v>
                </c:pt>
              </c:numCache>
            </c:numRef>
          </c:val>
          <c:smooth val="0"/>
          <c:extLst>
            <c:ext xmlns:c16="http://schemas.microsoft.com/office/drawing/2014/chart" uri="{C3380CC4-5D6E-409C-BE32-E72D297353CC}">
              <c16:uniqueId val="{00000001-BEE2-4A08-AE0C-8FDF19D7DBC5}"/>
            </c:ext>
          </c:extLst>
        </c:ser>
        <c:dLbls>
          <c:dLblPos val="t"/>
          <c:showLegendKey val="0"/>
          <c:showVal val="1"/>
          <c:showCatName val="0"/>
          <c:showSerName val="0"/>
          <c:showPercent val="0"/>
          <c:showBubbleSize val="0"/>
        </c:dLbls>
        <c:smooth val="0"/>
        <c:axId val="1547433087"/>
        <c:axId val="1547436927"/>
      </c:lineChart>
      <c:catAx>
        <c:axId val="154743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36927"/>
        <c:crosses val="autoZero"/>
        <c:auto val="1"/>
        <c:lblAlgn val="ctr"/>
        <c:lblOffset val="100"/>
        <c:noMultiLvlLbl val="0"/>
      </c:catAx>
      <c:valAx>
        <c:axId val="154743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clients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433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Client group breakdown of Care Packages costing £1,500+</a:t>
            </a:r>
          </a:p>
        </c:rich>
      </c:tx>
      <c:layout>
        <c:manualLayout>
          <c:xMode val="edge"/>
          <c:yMode val="edge"/>
          <c:x val="0.14829735835259397"/>
          <c:y val="1.70357751277683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08-482B-9881-9123CBE783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08-482B-9881-9123CBE783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08-482B-9881-9123CBE783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08-482B-9881-9123CBE783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08-482B-9881-9123CBE783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08-482B-9881-9123CBE783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08-482B-9881-9123CBE783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08-482B-9881-9123CBE783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08-482B-9881-9123CBE783BD}"/>
              </c:ext>
            </c:extLst>
          </c:dPt>
          <c:dLbls>
            <c:dLbl>
              <c:idx val="3"/>
              <c:layout>
                <c:manualLayout>
                  <c:x val="0.14372581536760642"/>
                  <c:y val="1.36286201022146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08-482B-9881-9123CBE783BD}"/>
                </c:ext>
              </c:extLst>
            </c:dLbl>
            <c:dLbl>
              <c:idx val="4"/>
              <c:layout>
                <c:manualLayout>
                  <c:x val="0.19237147595356552"/>
                  <c:y val="0.160136286201022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08-482B-9881-9123CBE783B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Sheet4!$B$25:$B$33</c:f>
              <c:strCache>
                <c:ptCount val="9"/>
                <c:pt idx="0">
                  <c:v>Alcohol Dependency</c:v>
                </c:pt>
                <c:pt idx="1">
                  <c:v>Children with Disabilities</c:v>
                </c:pt>
                <c:pt idx="2">
                  <c:v>Drug Dependency</c:v>
                </c:pt>
                <c:pt idx="3">
                  <c:v>Elderly Client 65+</c:v>
                </c:pt>
                <c:pt idx="4">
                  <c:v>Elderly Client 65+ with Dementia</c:v>
                </c:pt>
                <c:pt idx="5">
                  <c:v>Learning Disabilities</c:v>
                </c:pt>
                <c:pt idx="6">
                  <c:v>Mental Health</c:v>
                </c:pt>
                <c:pt idx="7">
                  <c:v>No Client Group</c:v>
                </c:pt>
                <c:pt idx="8">
                  <c:v>Physical / Sensory Impairment</c:v>
                </c:pt>
              </c:strCache>
            </c:strRef>
          </c:cat>
          <c:val>
            <c:numRef>
              <c:f>Sheet4!$C$25:$C$33</c:f>
              <c:numCache>
                <c:formatCode>General</c:formatCode>
                <c:ptCount val="9"/>
                <c:pt idx="0">
                  <c:v>2</c:v>
                </c:pt>
                <c:pt idx="3">
                  <c:v>12</c:v>
                </c:pt>
                <c:pt idx="4">
                  <c:v>2</c:v>
                </c:pt>
                <c:pt idx="5">
                  <c:v>177</c:v>
                </c:pt>
                <c:pt idx="6">
                  <c:v>6</c:v>
                </c:pt>
                <c:pt idx="8">
                  <c:v>38</c:v>
                </c:pt>
              </c:numCache>
            </c:numRef>
          </c:val>
          <c:extLst>
            <c:ext xmlns:c16="http://schemas.microsoft.com/office/drawing/2014/chart" uri="{C3380CC4-5D6E-409C-BE32-E72D297353CC}">
              <c16:uniqueId val="{00000012-F708-482B-9881-9123CBE783B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a:t>
            </a:r>
            <a:r>
              <a:rPr lang="en-GB" baseline="0"/>
              <a:t> of referrals who start treatment within 3 weeks- Alcohol and Drugs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Sheet1!$C$3</c:f>
              <c:strCache>
                <c:ptCount val="1"/>
                <c:pt idx="0">
                  <c:v>Drugs</c:v>
                </c:pt>
              </c:strCache>
            </c:strRef>
          </c:tx>
          <c:spPr>
            <a:ln w="28575" cap="rnd">
              <a:solidFill>
                <a:schemeClr val="accent1"/>
              </a:solidFill>
              <a:round/>
            </a:ln>
            <a:effectLst/>
          </c:spPr>
          <c:marker>
            <c:symbol val="none"/>
          </c:marker>
          <c:cat>
            <c:strRef>
              <c:f>Sheet1!$B$4:$B$7</c:f>
              <c:strCache>
                <c:ptCount val="4"/>
                <c:pt idx="0">
                  <c:v>2022/23</c:v>
                </c:pt>
                <c:pt idx="1">
                  <c:v>2023/24</c:v>
                </c:pt>
                <c:pt idx="2">
                  <c:v>2024/25</c:v>
                </c:pt>
                <c:pt idx="3">
                  <c:v>2025/26</c:v>
                </c:pt>
              </c:strCache>
            </c:strRef>
          </c:cat>
          <c:val>
            <c:numRef>
              <c:f>Sheet1!$C$4:$C$7</c:f>
              <c:numCache>
                <c:formatCode>0%</c:formatCode>
                <c:ptCount val="4"/>
                <c:pt idx="0">
                  <c:v>0.95</c:v>
                </c:pt>
                <c:pt idx="1">
                  <c:v>0.98</c:v>
                </c:pt>
                <c:pt idx="2">
                  <c:v>0.99</c:v>
                </c:pt>
                <c:pt idx="3">
                  <c:v>0.99</c:v>
                </c:pt>
              </c:numCache>
            </c:numRef>
          </c:val>
          <c:smooth val="0"/>
          <c:extLst>
            <c:ext xmlns:c16="http://schemas.microsoft.com/office/drawing/2014/chart" uri="{C3380CC4-5D6E-409C-BE32-E72D297353CC}">
              <c16:uniqueId val="{00000000-483D-4017-A4FD-CF316E238CED}"/>
            </c:ext>
          </c:extLst>
        </c:ser>
        <c:ser>
          <c:idx val="1"/>
          <c:order val="1"/>
          <c:tx>
            <c:strRef>
              <c:f>Sheet1!$D$3</c:f>
              <c:strCache>
                <c:ptCount val="1"/>
                <c:pt idx="0">
                  <c:v>Alcohol</c:v>
                </c:pt>
              </c:strCache>
            </c:strRef>
          </c:tx>
          <c:spPr>
            <a:ln w="28575" cap="rnd">
              <a:solidFill>
                <a:schemeClr val="accent2"/>
              </a:solidFill>
              <a:round/>
            </a:ln>
            <a:effectLst/>
          </c:spPr>
          <c:marker>
            <c:symbol val="none"/>
          </c:marker>
          <c:cat>
            <c:strRef>
              <c:f>Sheet1!$B$4:$B$7</c:f>
              <c:strCache>
                <c:ptCount val="4"/>
                <c:pt idx="0">
                  <c:v>2022/23</c:v>
                </c:pt>
                <c:pt idx="1">
                  <c:v>2023/24</c:v>
                </c:pt>
                <c:pt idx="2">
                  <c:v>2024/25</c:v>
                </c:pt>
                <c:pt idx="3">
                  <c:v>2025/26</c:v>
                </c:pt>
              </c:strCache>
            </c:strRef>
          </c:cat>
          <c:val>
            <c:numRef>
              <c:f>Sheet1!$D$4:$D$7</c:f>
              <c:numCache>
                <c:formatCode>0%</c:formatCode>
                <c:ptCount val="4"/>
                <c:pt idx="0">
                  <c:v>0.91</c:v>
                </c:pt>
                <c:pt idx="1">
                  <c:v>0.94</c:v>
                </c:pt>
                <c:pt idx="2">
                  <c:v>0.88</c:v>
                </c:pt>
                <c:pt idx="3">
                  <c:v>0.9</c:v>
                </c:pt>
              </c:numCache>
            </c:numRef>
          </c:val>
          <c:smooth val="0"/>
          <c:extLst>
            <c:ext xmlns:c16="http://schemas.microsoft.com/office/drawing/2014/chart" uri="{C3380CC4-5D6E-409C-BE32-E72D297353CC}">
              <c16:uniqueId val="{00000001-483D-4017-A4FD-CF316E238CED}"/>
            </c:ext>
          </c:extLst>
        </c:ser>
        <c:dLbls>
          <c:showLegendKey val="0"/>
          <c:showVal val="0"/>
          <c:showCatName val="0"/>
          <c:showSerName val="0"/>
          <c:showPercent val="0"/>
          <c:showBubbleSize val="0"/>
        </c:dLbls>
        <c:smooth val="0"/>
        <c:axId val="220790431"/>
        <c:axId val="220792351"/>
      </c:lineChart>
      <c:catAx>
        <c:axId val="22079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2351"/>
        <c:crosses val="autoZero"/>
        <c:auto val="1"/>
        <c:lblAlgn val="ctr"/>
        <c:lblOffset val="100"/>
        <c:noMultiLvlLbl val="0"/>
      </c:catAx>
      <c:valAx>
        <c:axId val="2207923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47242CEC4C2C4F8463D6FF8C094389" ma:contentTypeVersion="3" ma:contentTypeDescription="Create a new document." ma:contentTypeScope="" ma:versionID="26b788a462616a39144515c5adf52e7a">
  <xsd:schema xmlns:xsd="http://www.w3.org/2001/XMLSchema" xmlns:xs="http://www.w3.org/2001/XMLSchema" xmlns:p="http://schemas.microsoft.com/office/2006/metadata/properties" xmlns:ns2="30e8a990-db1a-4a70-9a3f-08ed5941c765" targetNamespace="http://schemas.microsoft.com/office/2006/metadata/properties" ma:root="true" ma:fieldsID="428039fdad03332c996d1601cf9fca06" ns2:_="">
    <xsd:import namespace="30e8a990-db1a-4a70-9a3f-08ed5941c76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8a990-db1a-4a70-9a3f-08ed5941c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FB12E-813C-4C85-BCEC-FBE209F0BC43}">
  <ds:schemaRefs>
    <ds:schemaRef ds:uri="http://schemas.openxmlformats.org/officeDocument/2006/bibliography"/>
  </ds:schemaRefs>
</ds:datastoreItem>
</file>

<file path=customXml/itemProps2.xml><?xml version="1.0" encoding="utf-8"?>
<ds:datastoreItem xmlns:ds="http://schemas.openxmlformats.org/officeDocument/2006/customXml" ds:itemID="{E39D2F2B-19E0-4FCD-A2C1-B66AE8AA8EC5}">
  <ds:schemaRefs>
    <ds:schemaRef ds:uri="http://schemas.microsoft.com/sharepoint/v3/contenttype/forms"/>
  </ds:schemaRefs>
</ds:datastoreItem>
</file>

<file path=customXml/itemProps3.xml><?xml version="1.0" encoding="utf-8"?>
<ds:datastoreItem xmlns:ds="http://schemas.openxmlformats.org/officeDocument/2006/customXml" ds:itemID="{F358250A-259A-475E-AEB8-0C423BE801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234A75-653C-4ABD-A8D1-B87AC33FB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8a990-db1a-4a70-9a3f-08ed5941c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21890</Words>
  <Characters>129156</Characters>
  <Application>Microsoft Office Word</Application>
  <DocSecurity>0</DocSecurity>
  <Lines>4036</Lines>
  <Paragraphs>1936</Paragraphs>
  <ScaleCrop>false</ScaleCrop>
  <Company>Microsoft</Company>
  <LinksUpToDate>false</LinksUpToDate>
  <CharactersWithSpaces>149110</CharactersWithSpaces>
  <SharedDoc>false</SharedDoc>
  <HLinks>
    <vt:vector size="222" baseType="variant">
      <vt:variant>
        <vt:i4>983104</vt:i4>
      </vt:variant>
      <vt:variant>
        <vt:i4>210</vt:i4>
      </vt:variant>
      <vt:variant>
        <vt:i4>0</vt:i4>
      </vt:variant>
      <vt:variant>
        <vt:i4>5</vt:i4>
      </vt:variant>
      <vt:variant>
        <vt:lpwstr>https://www.aberdeencityhscp.scot/globalassets/documents/achscp-strategic-plan-2025--2029-and-route-map-for-delivery.pdf</vt:lpwstr>
      </vt:variant>
      <vt:variant>
        <vt:lpwstr/>
      </vt:variant>
      <vt:variant>
        <vt:i4>2424867</vt:i4>
      </vt:variant>
      <vt:variant>
        <vt:i4>207</vt:i4>
      </vt:variant>
      <vt:variant>
        <vt:i4>0</vt:i4>
      </vt:variant>
      <vt:variant>
        <vt:i4>5</vt:i4>
      </vt:variant>
      <vt:variant>
        <vt:lpwstr>https://communityplanningaberdeen.org.uk/wp-content/uploads/2025/05/PNA-2025-draft-health-determinants.pdf</vt:lpwstr>
      </vt:variant>
      <vt:variant>
        <vt:lpwstr/>
      </vt:variant>
      <vt:variant>
        <vt:i4>2752632</vt:i4>
      </vt:variant>
      <vt:variant>
        <vt:i4>204</vt:i4>
      </vt:variant>
      <vt:variant>
        <vt:i4>0</vt:i4>
      </vt:variant>
      <vt:variant>
        <vt:i4>5</vt:i4>
      </vt:variant>
      <vt:variant>
        <vt:lpwstr>https://www.aberdeencityhscp.scot/globalassets/aberdeen-city-integration-scheme-april-2023.pdf</vt:lpwstr>
      </vt:variant>
      <vt:variant>
        <vt:lpwstr/>
      </vt:variant>
      <vt:variant>
        <vt:i4>983104</vt:i4>
      </vt:variant>
      <vt:variant>
        <vt:i4>201</vt:i4>
      </vt:variant>
      <vt:variant>
        <vt:i4>0</vt:i4>
      </vt:variant>
      <vt:variant>
        <vt:i4>5</vt:i4>
      </vt:variant>
      <vt:variant>
        <vt:lpwstr>https://www.aberdeencityhscp.scot/globalassets/documents/achscp-strategic-plan-2025--2029-and-route-map-for-delivery.pdf</vt:lpwstr>
      </vt:variant>
      <vt:variant>
        <vt:lpwstr/>
      </vt:variant>
      <vt:variant>
        <vt:i4>1245245</vt:i4>
      </vt:variant>
      <vt:variant>
        <vt:i4>194</vt:i4>
      </vt:variant>
      <vt:variant>
        <vt:i4>0</vt:i4>
      </vt:variant>
      <vt:variant>
        <vt:i4>5</vt:i4>
      </vt:variant>
      <vt:variant>
        <vt:lpwstr/>
      </vt:variant>
      <vt:variant>
        <vt:lpwstr>_Toc232082551</vt:lpwstr>
      </vt:variant>
      <vt:variant>
        <vt:i4>1245245</vt:i4>
      </vt:variant>
      <vt:variant>
        <vt:i4>188</vt:i4>
      </vt:variant>
      <vt:variant>
        <vt:i4>0</vt:i4>
      </vt:variant>
      <vt:variant>
        <vt:i4>5</vt:i4>
      </vt:variant>
      <vt:variant>
        <vt:lpwstr/>
      </vt:variant>
      <vt:variant>
        <vt:lpwstr>_Toc232082550</vt:lpwstr>
      </vt:variant>
      <vt:variant>
        <vt:i4>1179709</vt:i4>
      </vt:variant>
      <vt:variant>
        <vt:i4>182</vt:i4>
      </vt:variant>
      <vt:variant>
        <vt:i4>0</vt:i4>
      </vt:variant>
      <vt:variant>
        <vt:i4>5</vt:i4>
      </vt:variant>
      <vt:variant>
        <vt:lpwstr/>
      </vt:variant>
      <vt:variant>
        <vt:lpwstr>_Toc232082549</vt:lpwstr>
      </vt:variant>
      <vt:variant>
        <vt:i4>1179709</vt:i4>
      </vt:variant>
      <vt:variant>
        <vt:i4>176</vt:i4>
      </vt:variant>
      <vt:variant>
        <vt:i4>0</vt:i4>
      </vt:variant>
      <vt:variant>
        <vt:i4>5</vt:i4>
      </vt:variant>
      <vt:variant>
        <vt:lpwstr/>
      </vt:variant>
      <vt:variant>
        <vt:lpwstr>_Toc232082548</vt:lpwstr>
      </vt:variant>
      <vt:variant>
        <vt:i4>1179709</vt:i4>
      </vt:variant>
      <vt:variant>
        <vt:i4>170</vt:i4>
      </vt:variant>
      <vt:variant>
        <vt:i4>0</vt:i4>
      </vt:variant>
      <vt:variant>
        <vt:i4>5</vt:i4>
      </vt:variant>
      <vt:variant>
        <vt:lpwstr/>
      </vt:variant>
      <vt:variant>
        <vt:lpwstr>_Toc232082547</vt:lpwstr>
      </vt:variant>
      <vt:variant>
        <vt:i4>1179709</vt:i4>
      </vt:variant>
      <vt:variant>
        <vt:i4>164</vt:i4>
      </vt:variant>
      <vt:variant>
        <vt:i4>0</vt:i4>
      </vt:variant>
      <vt:variant>
        <vt:i4>5</vt:i4>
      </vt:variant>
      <vt:variant>
        <vt:lpwstr/>
      </vt:variant>
      <vt:variant>
        <vt:lpwstr>_Toc232082546</vt:lpwstr>
      </vt:variant>
      <vt:variant>
        <vt:i4>1179709</vt:i4>
      </vt:variant>
      <vt:variant>
        <vt:i4>158</vt:i4>
      </vt:variant>
      <vt:variant>
        <vt:i4>0</vt:i4>
      </vt:variant>
      <vt:variant>
        <vt:i4>5</vt:i4>
      </vt:variant>
      <vt:variant>
        <vt:lpwstr/>
      </vt:variant>
      <vt:variant>
        <vt:lpwstr>_Toc232082545</vt:lpwstr>
      </vt:variant>
      <vt:variant>
        <vt:i4>1179709</vt:i4>
      </vt:variant>
      <vt:variant>
        <vt:i4>152</vt:i4>
      </vt:variant>
      <vt:variant>
        <vt:i4>0</vt:i4>
      </vt:variant>
      <vt:variant>
        <vt:i4>5</vt:i4>
      </vt:variant>
      <vt:variant>
        <vt:lpwstr/>
      </vt:variant>
      <vt:variant>
        <vt:lpwstr>_Toc232082544</vt:lpwstr>
      </vt:variant>
      <vt:variant>
        <vt:i4>1179709</vt:i4>
      </vt:variant>
      <vt:variant>
        <vt:i4>146</vt:i4>
      </vt:variant>
      <vt:variant>
        <vt:i4>0</vt:i4>
      </vt:variant>
      <vt:variant>
        <vt:i4>5</vt:i4>
      </vt:variant>
      <vt:variant>
        <vt:lpwstr/>
      </vt:variant>
      <vt:variant>
        <vt:lpwstr>_Toc232082543</vt:lpwstr>
      </vt:variant>
      <vt:variant>
        <vt:i4>1179709</vt:i4>
      </vt:variant>
      <vt:variant>
        <vt:i4>140</vt:i4>
      </vt:variant>
      <vt:variant>
        <vt:i4>0</vt:i4>
      </vt:variant>
      <vt:variant>
        <vt:i4>5</vt:i4>
      </vt:variant>
      <vt:variant>
        <vt:lpwstr/>
      </vt:variant>
      <vt:variant>
        <vt:lpwstr>_Toc232082542</vt:lpwstr>
      </vt:variant>
      <vt:variant>
        <vt:i4>1179709</vt:i4>
      </vt:variant>
      <vt:variant>
        <vt:i4>134</vt:i4>
      </vt:variant>
      <vt:variant>
        <vt:i4>0</vt:i4>
      </vt:variant>
      <vt:variant>
        <vt:i4>5</vt:i4>
      </vt:variant>
      <vt:variant>
        <vt:lpwstr/>
      </vt:variant>
      <vt:variant>
        <vt:lpwstr>_Toc232082541</vt:lpwstr>
      </vt:variant>
      <vt:variant>
        <vt:i4>1179709</vt:i4>
      </vt:variant>
      <vt:variant>
        <vt:i4>128</vt:i4>
      </vt:variant>
      <vt:variant>
        <vt:i4>0</vt:i4>
      </vt:variant>
      <vt:variant>
        <vt:i4>5</vt:i4>
      </vt:variant>
      <vt:variant>
        <vt:lpwstr/>
      </vt:variant>
      <vt:variant>
        <vt:lpwstr>_Toc232082540</vt:lpwstr>
      </vt:variant>
      <vt:variant>
        <vt:i4>1376317</vt:i4>
      </vt:variant>
      <vt:variant>
        <vt:i4>122</vt:i4>
      </vt:variant>
      <vt:variant>
        <vt:i4>0</vt:i4>
      </vt:variant>
      <vt:variant>
        <vt:i4>5</vt:i4>
      </vt:variant>
      <vt:variant>
        <vt:lpwstr/>
      </vt:variant>
      <vt:variant>
        <vt:lpwstr>_Toc232082539</vt:lpwstr>
      </vt:variant>
      <vt:variant>
        <vt:i4>1376317</vt:i4>
      </vt:variant>
      <vt:variant>
        <vt:i4>116</vt:i4>
      </vt:variant>
      <vt:variant>
        <vt:i4>0</vt:i4>
      </vt:variant>
      <vt:variant>
        <vt:i4>5</vt:i4>
      </vt:variant>
      <vt:variant>
        <vt:lpwstr/>
      </vt:variant>
      <vt:variant>
        <vt:lpwstr>_Toc232082538</vt:lpwstr>
      </vt:variant>
      <vt:variant>
        <vt:i4>1376317</vt:i4>
      </vt:variant>
      <vt:variant>
        <vt:i4>110</vt:i4>
      </vt:variant>
      <vt:variant>
        <vt:i4>0</vt:i4>
      </vt:variant>
      <vt:variant>
        <vt:i4>5</vt:i4>
      </vt:variant>
      <vt:variant>
        <vt:lpwstr/>
      </vt:variant>
      <vt:variant>
        <vt:lpwstr>_Toc232082537</vt:lpwstr>
      </vt:variant>
      <vt:variant>
        <vt:i4>1376317</vt:i4>
      </vt:variant>
      <vt:variant>
        <vt:i4>104</vt:i4>
      </vt:variant>
      <vt:variant>
        <vt:i4>0</vt:i4>
      </vt:variant>
      <vt:variant>
        <vt:i4>5</vt:i4>
      </vt:variant>
      <vt:variant>
        <vt:lpwstr/>
      </vt:variant>
      <vt:variant>
        <vt:lpwstr>_Toc232082536</vt:lpwstr>
      </vt:variant>
      <vt:variant>
        <vt:i4>1376317</vt:i4>
      </vt:variant>
      <vt:variant>
        <vt:i4>98</vt:i4>
      </vt:variant>
      <vt:variant>
        <vt:i4>0</vt:i4>
      </vt:variant>
      <vt:variant>
        <vt:i4>5</vt:i4>
      </vt:variant>
      <vt:variant>
        <vt:lpwstr/>
      </vt:variant>
      <vt:variant>
        <vt:lpwstr>_Toc232082535</vt:lpwstr>
      </vt:variant>
      <vt:variant>
        <vt:i4>1376317</vt:i4>
      </vt:variant>
      <vt:variant>
        <vt:i4>92</vt:i4>
      </vt:variant>
      <vt:variant>
        <vt:i4>0</vt:i4>
      </vt:variant>
      <vt:variant>
        <vt:i4>5</vt:i4>
      </vt:variant>
      <vt:variant>
        <vt:lpwstr/>
      </vt:variant>
      <vt:variant>
        <vt:lpwstr>_Toc232082534</vt:lpwstr>
      </vt:variant>
      <vt:variant>
        <vt:i4>1376317</vt:i4>
      </vt:variant>
      <vt:variant>
        <vt:i4>86</vt:i4>
      </vt:variant>
      <vt:variant>
        <vt:i4>0</vt:i4>
      </vt:variant>
      <vt:variant>
        <vt:i4>5</vt:i4>
      </vt:variant>
      <vt:variant>
        <vt:lpwstr/>
      </vt:variant>
      <vt:variant>
        <vt:lpwstr>_Toc232082533</vt:lpwstr>
      </vt:variant>
      <vt:variant>
        <vt:i4>1376317</vt:i4>
      </vt:variant>
      <vt:variant>
        <vt:i4>80</vt:i4>
      </vt:variant>
      <vt:variant>
        <vt:i4>0</vt:i4>
      </vt:variant>
      <vt:variant>
        <vt:i4>5</vt:i4>
      </vt:variant>
      <vt:variant>
        <vt:lpwstr/>
      </vt:variant>
      <vt:variant>
        <vt:lpwstr>_Toc232082532</vt:lpwstr>
      </vt:variant>
      <vt:variant>
        <vt:i4>1376317</vt:i4>
      </vt:variant>
      <vt:variant>
        <vt:i4>74</vt:i4>
      </vt:variant>
      <vt:variant>
        <vt:i4>0</vt:i4>
      </vt:variant>
      <vt:variant>
        <vt:i4>5</vt:i4>
      </vt:variant>
      <vt:variant>
        <vt:lpwstr/>
      </vt:variant>
      <vt:variant>
        <vt:lpwstr>_Toc232082531</vt:lpwstr>
      </vt:variant>
      <vt:variant>
        <vt:i4>1376317</vt:i4>
      </vt:variant>
      <vt:variant>
        <vt:i4>68</vt:i4>
      </vt:variant>
      <vt:variant>
        <vt:i4>0</vt:i4>
      </vt:variant>
      <vt:variant>
        <vt:i4>5</vt:i4>
      </vt:variant>
      <vt:variant>
        <vt:lpwstr/>
      </vt:variant>
      <vt:variant>
        <vt:lpwstr>_Toc232082530</vt:lpwstr>
      </vt:variant>
      <vt:variant>
        <vt:i4>1310781</vt:i4>
      </vt:variant>
      <vt:variant>
        <vt:i4>62</vt:i4>
      </vt:variant>
      <vt:variant>
        <vt:i4>0</vt:i4>
      </vt:variant>
      <vt:variant>
        <vt:i4>5</vt:i4>
      </vt:variant>
      <vt:variant>
        <vt:lpwstr/>
      </vt:variant>
      <vt:variant>
        <vt:lpwstr>_Toc232082529</vt:lpwstr>
      </vt:variant>
      <vt:variant>
        <vt:i4>1310781</vt:i4>
      </vt:variant>
      <vt:variant>
        <vt:i4>56</vt:i4>
      </vt:variant>
      <vt:variant>
        <vt:i4>0</vt:i4>
      </vt:variant>
      <vt:variant>
        <vt:i4>5</vt:i4>
      </vt:variant>
      <vt:variant>
        <vt:lpwstr/>
      </vt:variant>
      <vt:variant>
        <vt:lpwstr>_Toc232082528</vt:lpwstr>
      </vt:variant>
      <vt:variant>
        <vt:i4>1310781</vt:i4>
      </vt:variant>
      <vt:variant>
        <vt:i4>50</vt:i4>
      </vt:variant>
      <vt:variant>
        <vt:i4>0</vt:i4>
      </vt:variant>
      <vt:variant>
        <vt:i4>5</vt:i4>
      </vt:variant>
      <vt:variant>
        <vt:lpwstr/>
      </vt:variant>
      <vt:variant>
        <vt:lpwstr>_Toc232082527</vt:lpwstr>
      </vt:variant>
      <vt:variant>
        <vt:i4>1310781</vt:i4>
      </vt:variant>
      <vt:variant>
        <vt:i4>44</vt:i4>
      </vt:variant>
      <vt:variant>
        <vt:i4>0</vt:i4>
      </vt:variant>
      <vt:variant>
        <vt:i4>5</vt:i4>
      </vt:variant>
      <vt:variant>
        <vt:lpwstr/>
      </vt:variant>
      <vt:variant>
        <vt:lpwstr>_Toc232082526</vt:lpwstr>
      </vt:variant>
      <vt:variant>
        <vt:i4>1310781</vt:i4>
      </vt:variant>
      <vt:variant>
        <vt:i4>38</vt:i4>
      </vt:variant>
      <vt:variant>
        <vt:i4>0</vt:i4>
      </vt:variant>
      <vt:variant>
        <vt:i4>5</vt:i4>
      </vt:variant>
      <vt:variant>
        <vt:lpwstr/>
      </vt:variant>
      <vt:variant>
        <vt:lpwstr>_Toc232082525</vt:lpwstr>
      </vt:variant>
      <vt:variant>
        <vt:i4>1310781</vt:i4>
      </vt:variant>
      <vt:variant>
        <vt:i4>32</vt:i4>
      </vt:variant>
      <vt:variant>
        <vt:i4>0</vt:i4>
      </vt:variant>
      <vt:variant>
        <vt:i4>5</vt:i4>
      </vt:variant>
      <vt:variant>
        <vt:lpwstr/>
      </vt:variant>
      <vt:variant>
        <vt:lpwstr>_Toc232082524</vt:lpwstr>
      </vt:variant>
      <vt:variant>
        <vt:i4>1310781</vt:i4>
      </vt:variant>
      <vt:variant>
        <vt:i4>26</vt:i4>
      </vt:variant>
      <vt:variant>
        <vt:i4>0</vt:i4>
      </vt:variant>
      <vt:variant>
        <vt:i4>5</vt:i4>
      </vt:variant>
      <vt:variant>
        <vt:lpwstr/>
      </vt:variant>
      <vt:variant>
        <vt:lpwstr>_Toc232082523</vt:lpwstr>
      </vt:variant>
      <vt:variant>
        <vt:i4>1310781</vt:i4>
      </vt:variant>
      <vt:variant>
        <vt:i4>20</vt:i4>
      </vt:variant>
      <vt:variant>
        <vt:i4>0</vt:i4>
      </vt:variant>
      <vt:variant>
        <vt:i4>5</vt:i4>
      </vt:variant>
      <vt:variant>
        <vt:lpwstr/>
      </vt:variant>
      <vt:variant>
        <vt:lpwstr>_Toc232082522</vt:lpwstr>
      </vt:variant>
      <vt:variant>
        <vt:i4>1310781</vt:i4>
      </vt:variant>
      <vt:variant>
        <vt:i4>14</vt:i4>
      </vt:variant>
      <vt:variant>
        <vt:i4>0</vt:i4>
      </vt:variant>
      <vt:variant>
        <vt:i4>5</vt:i4>
      </vt:variant>
      <vt:variant>
        <vt:lpwstr/>
      </vt:variant>
      <vt:variant>
        <vt:lpwstr>_Toc232082521</vt:lpwstr>
      </vt:variant>
      <vt:variant>
        <vt:i4>1310781</vt:i4>
      </vt:variant>
      <vt:variant>
        <vt:i4>8</vt:i4>
      </vt:variant>
      <vt:variant>
        <vt:i4>0</vt:i4>
      </vt:variant>
      <vt:variant>
        <vt:i4>5</vt:i4>
      </vt:variant>
      <vt:variant>
        <vt:lpwstr/>
      </vt:variant>
      <vt:variant>
        <vt:lpwstr>_Toc232082520</vt:lpwstr>
      </vt:variant>
      <vt:variant>
        <vt:i4>1507389</vt:i4>
      </vt:variant>
      <vt:variant>
        <vt:i4>2</vt:i4>
      </vt:variant>
      <vt:variant>
        <vt:i4>0</vt:i4>
      </vt:variant>
      <vt:variant>
        <vt:i4>5</vt:i4>
      </vt:variant>
      <vt:variant>
        <vt:lpwstr/>
      </vt:variant>
      <vt:variant>
        <vt:lpwstr>_Toc232082519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SCOTTISH LOCAL GOVERNMENT PENSION SCHEME (LGPS) FINANCIAL STATEMENTS</dc:title>
  <dc:subject/>
  <dc:creator>Gareth Davies</dc:creator>
  <cp:keywords/>
  <cp:lastModifiedBy>Peter McAndrew</cp:lastModifiedBy>
  <cp:revision>4</cp:revision>
  <cp:lastPrinted>2025-10-01T20:51:00Z</cp:lastPrinted>
  <dcterms:created xsi:type="dcterms:W3CDTF">2026-06-30T08:34:00Z</dcterms:created>
  <dcterms:modified xsi:type="dcterms:W3CDTF">2026-06-30T09:05:00Z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0x0101002347242CEC4C2C4F8463D6FF8C094389</vt:lpwstr>
  </property>
  <property fmtid="{D5CDD505-2E9C-101B-9397-08002B2CF9AE}" pid="3" name="MediaServiceImageTags">
    <vt:lpwstr/>
  </property>
  <property fmtid="{D5CDD505-2E9C-101B-9397-08002B2CF9AE}" pid="4" name="docLang">
    <vt:lpwstr>en</vt:lpwstr>
  </property>
</Properties>
</file>